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DUCKWORKS</w:t>
        <w:br/>
      </w:r>
      <w:r>
        <w:rPr>
          <w:color w:val="17324D"/>
          <w:sz w:val="46"/>
        </w:rPr>
        <w:t>HUDERIA Iterative Review Plan &amp; Log</w:t>
      </w:r>
    </w:p>
    <w:p>
      <w:pPr>
        <w:spacing w:after="200"/>
      </w:pPr>
      <w:r>
        <w:rPr>
          <w:b/>
          <w:color w:val="0F6B72"/>
          <w:sz w:val="23"/>
        </w:rPr>
        <w:t>Lifecycle monitoring, reassessment and mitigation-effectiveness review - DuckTalent AI (AI-005)</w:t>
      </w:r>
    </w:p>
    <w:tbl>
      <w:tblPr>
        <w:tblW w:type="auto" w:w="0"/>
        <w:jc w:val="left"/>
        <w:tblLayout w:type="autofit"/>
        <w:tblLook w:firstColumn="1" w:firstRow="1" w:lastColumn="0" w:lastRow="0" w:noHBand="0" w:noVBand="1" w:val="04A0"/>
      </w:tblPr>
      <w:tblGrid>
        <w:gridCol w:w="5083"/>
        <w:gridCol w:w="5083"/>
      </w:tblGrid>
      <w:tr>
        <w:tc>
          <w:tcPr>
            <w:tcW w:type="dxa" w:w="5083"/>
            <w:vAlign w:val="center"/>
            <w:tcMar>
              <w:top w:w="70" w:type="dxa"/>
              <w:start w:w="90" w:type="dxa"/>
              <w:bottom w:w="70" w:type="dxa"/>
              <w:end w:w="90" w:type="dxa"/>
            </w:tcMar>
            <w:shd w:fill="EAF2F4"/>
          </w:tcPr>
          <w:p>
            <w:r/>
            <w:r>
              <w:rPr>
                <w:rFonts w:ascii="Liberation Sans" w:hAnsi="Liberation Sans"/>
                <w:b/>
                <w:color w:val="17324D"/>
                <w:sz w:val="17"/>
              </w:rPr>
              <w:t>Document ID</w:t>
            </w:r>
          </w:p>
        </w:tc>
        <w:tc>
          <w:tcPr>
            <w:tcW w:type="dxa" w:w="5083"/>
            <w:vAlign w:val="center"/>
            <w:tcMar>
              <w:top w:w="70" w:type="dxa"/>
              <w:start w:w="90" w:type="dxa"/>
              <w:bottom w:w="70" w:type="dxa"/>
              <w:end w:w="90" w:type="dxa"/>
            </w:tcMar>
          </w:tcPr>
          <w:p>
            <w:r/>
            <w:r>
              <w:rPr>
                <w:rFonts w:ascii="Liberation Sans" w:hAnsi="Liberation Sans"/>
                <w:b w:val="0"/>
                <w:sz w:val="17"/>
              </w:rPr>
              <w:t>DW-WING-HUD-06</w:t>
            </w:r>
          </w:p>
        </w:tc>
      </w:tr>
      <w:tr>
        <w:tc>
          <w:tcPr>
            <w:tcW w:type="dxa" w:w="5083"/>
            <w:vAlign w:val="center"/>
            <w:tcMar>
              <w:top w:w="70" w:type="dxa"/>
              <w:start w:w="90" w:type="dxa"/>
              <w:bottom w:w="70" w:type="dxa"/>
              <w:end w:w="90" w:type="dxa"/>
            </w:tcMar>
            <w:shd w:fill="EAF2F4"/>
          </w:tcPr>
          <w:p>
            <w:r/>
            <w:r>
              <w:rPr>
                <w:rFonts w:ascii="Liberation Sans" w:hAnsi="Liberation Sans"/>
                <w:b/>
                <w:color w:val="17324D"/>
                <w:sz w:val="17"/>
              </w:rPr>
              <w:t>Version / date</w:t>
            </w:r>
          </w:p>
        </w:tc>
        <w:tc>
          <w:tcPr>
            <w:tcW w:type="dxa" w:w="5083"/>
            <w:vAlign w:val="center"/>
            <w:tcMar>
              <w:top w:w="70" w:type="dxa"/>
              <w:start w:w="90" w:type="dxa"/>
              <w:bottom w:w="70" w:type="dxa"/>
              <w:end w:w="90" w:type="dxa"/>
            </w:tcMar>
          </w:tcPr>
          <w:p>
            <w:r/>
            <w:r>
              <w:rPr>
                <w:rFonts w:ascii="Liberation Sans" w:hAnsi="Liberation Sans"/>
                <w:b w:val="0"/>
                <w:sz w:val="17"/>
              </w:rPr>
              <w:t>1.0 / 9 August 2026</w:t>
            </w:r>
          </w:p>
        </w:tc>
      </w:tr>
      <w:tr>
        <w:tc>
          <w:tcPr>
            <w:tcW w:type="dxa" w:w="5083"/>
            <w:vAlign w:val="center"/>
            <w:tcMar>
              <w:top w:w="70" w:type="dxa"/>
              <w:start w:w="90" w:type="dxa"/>
              <w:bottom w:w="70" w:type="dxa"/>
              <w:end w:w="90" w:type="dxa"/>
            </w:tcMar>
            <w:shd w:fill="EAF2F4"/>
          </w:tcPr>
          <w:p>
            <w:r/>
            <w:r>
              <w:rPr>
                <w:rFonts w:ascii="Liberation Sans" w:hAnsi="Liberation Sans"/>
                <w:b/>
                <w:color w:val="17324D"/>
                <w:sz w:val="17"/>
              </w:rPr>
              <w:t>Status</w:t>
            </w:r>
          </w:p>
        </w:tc>
        <w:tc>
          <w:tcPr>
            <w:tcW w:type="dxa" w:w="5083"/>
            <w:vAlign w:val="center"/>
            <w:tcMar>
              <w:top w:w="70" w:type="dxa"/>
              <w:start w:w="90" w:type="dxa"/>
              <w:bottom w:w="70" w:type="dxa"/>
              <w:end w:w="90" w:type="dxa"/>
            </w:tcMar>
          </w:tcPr>
          <w:p>
            <w:r/>
            <w:r>
              <w:rPr>
                <w:rFonts w:ascii="Liberation Sans" w:hAnsi="Liberation Sans"/>
                <w:b w:val="0"/>
                <w:sz w:val="17"/>
              </w:rPr>
              <w:t>Portfolio Draft</w:t>
            </w:r>
          </w:p>
        </w:tc>
      </w:tr>
      <w:tr>
        <w:tc>
          <w:tcPr>
            <w:tcW w:type="dxa" w:w="5083"/>
            <w:vAlign w:val="center"/>
            <w:tcMar>
              <w:top w:w="70" w:type="dxa"/>
              <w:start w:w="90" w:type="dxa"/>
              <w:bottom w:w="70" w:type="dxa"/>
              <w:end w:w="90" w:type="dxa"/>
            </w:tcMar>
            <w:shd w:fill="EAF2F4"/>
          </w:tcPr>
          <w:p>
            <w:r/>
            <w:r>
              <w:rPr>
                <w:rFonts w:ascii="Liberation Sans" w:hAnsi="Liberation Sans"/>
                <w:b/>
                <w:color w:val="17324D"/>
                <w:sz w:val="17"/>
              </w:rPr>
              <w:t>Classification</w:t>
            </w:r>
          </w:p>
        </w:tc>
        <w:tc>
          <w:tcPr>
            <w:tcW w:type="dxa" w:w="5083"/>
            <w:vAlign w:val="center"/>
            <w:tcMar>
              <w:top w:w="70" w:type="dxa"/>
              <w:start w:w="90" w:type="dxa"/>
              <w:bottom w:w="70" w:type="dxa"/>
              <w:end w:w="90" w:type="dxa"/>
            </w:tcMar>
          </w:tcPr>
          <w:p>
            <w:r/>
            <w:r>
              <w:rPr>
                <w:rFonts w:ascii="Liberation Sans" w:hAnsi="Liberation Sans"/>
                <w:b w:val="0"/>
                <w:sz w:val="17"/>
              </w:rPr>
              <w:t>Portfolio / Synthetic / Non-production</w:t>
            </w:r>
          </w:p>
        </w:tc>
      </w:tr>
    </w:tbl>
    <w:p/>
    <w:p>
      <w:r>
        <w:rPr>
          <w:b/>
          <w:color w:val="9C2F2F"/>
        </w:rPr>
        <w:t xml:space="preserve">Portfolio disclaimer. </w:t>
      </w:r>
      <w:r>
        <w:t>Duckworks, Project W.I.N.G., all personnel, AI systems, datasets, decisions, stakeholder inputs and evidence are fictional or synthetic. This document is an internal portfolio artifact, not legal advice, certification evidence, or a statement of regulatory conformity.</w:t>
      </w:r>
    </w:p>
    <w:p>
      <w:pPr>
        <w:pStyle w:val="Heading1"/>
      </w:pPr>
      <w:r>
        <w:t>1. Purpose</w:t>
      </w:r>
    </w:p>
    <w:p>
      <w:r>
        <w:t>HUDERIA treats risk and impact assessment as an iterative lifecycle process. This plan defines how Duckworks will revisit COBRA, stakeholder evidence, the RIA and the Mitigation Plan when the system, its data, its users, or the real-world environment changes.</w:t>
      </w:r>
    </w:p>
    <w:p>
      <w:pPr>
        <w:pStyle w:val="Heading1"/>
      </w:pPr>
      <w:r>
        <w:t>2. Review Cadence</w:t>
      </w:r>
    </w:p>
    <w:tbl>
      <w:tblPr>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2160"/>
            <w:vAlign w:val="center"/>
            <w:tcMar>
              <w:top w:w="70" w:type="dxa"/>
              <w:start w:w="90" w:type="dxa"/>
              <w:bottom w:w="70" w:type="dxa"/>
              <w:end w:w="90" w:type="dxa"/>
            </w:tcMar>
            <w:shd w:fill="17324D"/>
          </w:tcPr>
          <w:p>
            <w:r/>
            <w:r>
              <w:rPr>
                <w:rFonts w:ascii="Liberation Sans" w:hAnsi="Liberation Sans"/>
                <w:b/>
                <w:color w:val="FFFFFF"/>
                <w:sz w:val="15"/>
              </w:rPr>
              <w:t>Review point</w:t>
            </w:r>
          </w:p>
        </w:tc>
        <w:tc>
          <w:tcPr>
            <w:tcW w:type="dxa" w:w="2880"/>
            <w:vAlign w:val="center"/>
            <w:tcMar>
              <w:top w:w="70" w:type="dxa"/>
              <w:start w:w="90" w:type="dxa"/>
              <w:bottom w:w="70" w:type="dxa"/>
              <w:end w:w="90" w:type="dxa"/>
            </w:tcMar>
            <w:shd w:fill="17324D"/>
          </w:tcPr>
          <w:p>
            <w:r/>
            <w:r>
              <w:rPr>
                <w:rFonts w:ascii="Liberation Sans" w:hAnsi="Liberation Sans"/>
                <w:b/>
                <w:color w:val="FFFFFF"/>
                <w:sz w:val="15"/>
              </w:rPr>
              <w:t>Duckworks proposed cadence</w:t>
            </w:r>
          </w:p>
        </w:tc>
        <w:tc>
          <w:tcPr>
            <w:tcW w:type="dxa" w:w="5184"/>
            <w:vAlign w:val="center"/>
            <w:tcMar>
              <w:top w:w="70" w:type="dxa"/>
              <w:start w:w="90" w:type="dxa"/>
              <w:bottom w:w="70" w:type="dxa"/>
              <w:end w:w="90" w:type="dxa"/>
            </w:tcMar>
            <w:shd w:fill="17324D"/>
          </w:tcPr>
          <w:p>
            <w:r/>
            <w:r>
              <w:rPr>
                <w:rFonts w:ascii="Liberation Sans" w:hAnsi="Liberation Sans"/>
                <w:b/>
                <w:color w:val="FFFFFF"/>
                <w:sz w:val="15"/>
              </w:rPr>
              <w:t>Minimum scope</w:t>
            </w:r>
          </w:p>
        </w:tc>
      </w:tr>
      <w:tr>
        <w:tc>
          <w:tcPr>
            <w:tcW w:type="dxa" w:w="2160"/>
            <w:vAlign w:val="center"/>
            <w:tcMar>
              <w:top w:w="70" w:type="dxa"/>
              <w:start w:w="90" w:type="dxa"/>
              <w:bottom w:w="70" w:type="dxa"/>
              <w:end w:w="90" w:type="dxa"/>
            </w:tcMar>
          </w:tcPr>
          <w:p>
            <w:r/>
            <w:r>
              <w:rPr>
                <w:rFonts w:ascii="Liberation Sans" w:hAnsi="Liberation Sans"/>
                <w:b w:val="0"/>
                <w:sz w:val="15"/>
              </w:rPr>
              <w:t>Pre-pilot gate</w:t>
            </w:r>
          </w:p>
        </w:tc>
        <w:tc>
          <w:tcPr>
            <w:tcW w:type="dxa" w:w="2880"/>
            <w:vAlign w:val="center"/>
            <w:tcMar>
              <w:top w:w="70" w:type="dxa"/>
              <w:start w:w="90" w:type="dxa"/>
              <w:bottom w:w="70" w:type="dxa"/>
              <w:end w:w="90" w:type="dxa"/>
            </w:tcMar>
          </w:tcPr>
          <w:p>
            <w:r/>
            <w:r>
              <w:rPr>
                <w:rFonts w:ascii="Liberation Sans" w:hAnsi="Liberation Sans"/>
                <w:b w:val="0"/>
                <w:sz w:val="15"/>
              </w:rPr>
              <w:t>Before any real-applicant pilot</w:t>
            </w:r>
          </w:p>
        </w:tc>
        <w:tc>
          <w:tcPr>
            <w:tcW w:type="dxa" w:w="5184"/>
            <w:vAlign w:val="center"/>
            <w:tcMar>
              <w:top w:w="70" w:type="dxa"/>
              <w:start w:w="90" w:type="dxa"/>
              <w:bottom w:w="70" w:type="dxa"/>
              <w:end w:w="90" w:type="dxa"/>
            </w:tcMar>
          </w:tcPr>
          <w:p>
            <w:r/>
            <w:r>
              <w:rPr>
                <w:rFonts w:ascii="Liberation Sans" w:hAnsi="Liberation Sans"/>
                <w:b w:val="0"/>
                <w:sz w:val="15"/>
              </w:rPr>
              <w:t>Refresh COBRA; complete SEP; RIA; mitigation closure; Legal/Privacy/Security/HR review.</w:t>
            </w:r>
          </w:p>
        </w:tc>
      </w:tr>
      <w:tr>
        <w:tc>
          <w:tcPr>
            <w:tcW w:type="dxa" w:w="2160"/>
            <w:vAlign w:val="center"/>
            <w:tcMar>
              <w:top w:w="70" w:type="dxa"/>
              <w:start w:w="90" w:type="dxa"/>
              <w:bottom w:w="70" w:type="dxa"/>
              <w:end w:w="90" w:type="dxa"/>
            </w:tcMar>
            <w:shd w:fill="F5F7F9"/>
          </w:tcPr>
          <w:p>
            <w:r/>
            <w:r>
              <w:rPr>
                <w:rFonts w:ascii="Liberation Sans" w:hAnsi="Liberation Sans"/>
                <w:b w:val="0"/>
                <w:sz w:val="15"/>
              </w:rPr>
              <w:t>Pre-production gate</w:t>
            </w:r>
          </w:p>
        </w:tc>
        <w:tc>
          <w:tcPr>
            <w:tcW w:type="dxa" w:w="2880"/>
            <w:vAlign w:val="center"/>
            <w:tcMar>
              <w:top w:w="70" w:type="dxa"/>
              <w:start w:w="90" w:type="dxa"/>
              <w:bottom w:w="70" w:type="dxa"/>
              <w:end w:w="90" w:type="dxa"/>
            </w:tcMar>
            <w:shd w:fill="F5F7F9"/>
          </w:tcPr>
          <w:p>
            <w:r/>
            <w:r>
              <w:rPr>
                <w:rFonts w:ascii="Liberation Sans" w:hAnsi="Liberation Sans"/>
                <w:b w:val="0"/>
                <w:sz w:val="15"/>
              </w:rPr>
              <w:t>Before production authorization</w:t>
            </w:r>
          </w:p>
        </w:tc>
        <w:tc>
          <w:tcPr>
            <w:tcW w:type="dxa" w:w="5184"/>
            <w:vAlign w:val="center"/>
            <w:tcMar>
              <w:top w:w="70" w:type="dxa"/>
              <w:start w:w="90" w:type="dxa"/>
              <w:bottom w:w="70" w:type="dxa"/>
              <w:end w:w="90" w:type="dxa"/>
            </w:tcMar>
            <w:shd w:fill="F5F7F9"/>
          </w:tcPr>
          <w:p>
            <w:r/>
            <w:r>
              <w:rPr>
                <w:rFonts w:ascii="Liberation Sans" w:hAnsi="Liberation Sans"/>
                <w:b w:val="0"/>
                <w:sz w:val="15"/>
              </w:rPr>
              <w:t>Full HUDERIA update using pilot evidence; verify remedies, human oversight, fairness, accessibility and monitoring.</w:t>
            </w:r>
          </w:p>
        </w:tc>
      </w:tr>
      <w:tr>
        <w:tc>
          <w:tcPr>
            <w:tcW w:type="dxa" w:w="2160"/>
            <w:vAlign w:val="center"/>
            <w:tcMar>
              <w:top w:w="70" w:type="dxa"/>
              <w:start w:w="90" w:type="dxa"/>
              <w:bottom w:w="70" w:type="dxa"/>
              <w:end w:w="90" w:type="dxa"/>
            </w:tcMar>
          </w:tcPr>
          <w:p>
            <w:r/>
            <w:r>
              <w:rPr>
                <w:rFonts w:ascii="Liberation Sans" w:hAnsi="Liberation Sans"/>
                <w:b w:val="0"/>
                <w:sz w:val="15"/>
              </w:rPr>
              <w:t>Early production review</w:t>
            </w:r>
          </w:p>
        </w:tc>
        <w:tc>
          <w:tcPr>
            <w:tcW w:type="dxa" w:w="2880"/>
            <w:vAlign w:val="center"/>
            <w:tcMar>
              <w:top w:w="70" w:type="dxa"/>
              <w:start w:w="90" w:type="dxa"/>
              <w:bottom w:w="70" w:type="dxa"/>
              <w:end w:w="90" w:type="dxa"/>
            </w:tcMar>
          </w:tcPr>
          <w:p>
            <w:r/>
            <w:r>
              <w:rPr>
                <w:rFonts w:ascii="Liberation Sans" w:hAnsi="Liberation Sans"/>
                <w:b w:val="0"/>
                <w:sz w:val="15"/>
              </w:rPr>
              <w:t>Quarterly for the first year if production is approved</w:t>
            </w:r>
          </w:p>
        </w:tc>
        <w:tc>
          <w:tcPr>
            <w:tcW w:type="dxa" w:w="5184"/>
            <w:vAlign w:val="center"/>
            <w:tcMar>
              <w:top w:w="70" w:type="dxa"/>
              <w:start w:w="90" w:type="dxa"/>
              <w:bottom w:w="70" w:type="dxa"/>
              <w:end w:w="90" w:type="dxa"/>
            </w:tcMar>
          </w:tcPr>
          <w:p>
            <w:r/>
            <w:r>
              <w:rPr>
                <w:rFonts w:ascii="Liberation Sans" w:hAnsi="Liberation Sans"/>
                <w:b w:val="0"/>
                <w:sz w:val="15"/>
              </w:rPr>
              <w:t>Impact trends, complaints/challenges, override behavior, error distribution, security/privacy events, mitigation effectiveness.</w:t>
            </w:r>
          </w:p>
        </w:tc>
      </w:tr>
      <w:tr>
        <w:tc>
          <w:tcPr>
            <w:tcW w:type="dxa" w:w="2160"/>
            <w:vAlign w:val="center"/>
            <w:tcMar>
              <w:top w:w="70" w:type="dxa"/>
              <w:start w:w="90" w:type="dxa"/>
              <w:bottom w:w="70" w:type="dxa"/>
              <w:end w:w="90" w:type="dxa"/>
            </w:tcMar>
            <w:shd w:fill="F5F7F9"/>
          </w:tcPr>
          <w:p>
            <w:r/>
            <w:r>
              <w:rPr>
                <w:rFonts w:ascii="Liberation Sans" w:hAnsi="Liberation Sans"/>
                <w:b w:val="0"/>
                <w:sz w:val="15"/>
              </w:rPr>
              <w:t>Steady-state review</w:t>
            </w:r>
          </w:p>
        </w:tc>
        <w:tc>
          <w:tcPr>
            <w:tcW w:type="dxa" w:w="2880"/>
            <w:vAlign w:val="center"/>
            <w:tcMar>
              <w:top w:w="70" w:type="dxa"/>
              <w:start w:w="90" w:type="dxa"/>
              <w:bottom w:w="70" w:type="dxa"/>
              <w:end w:w="90" w:type="dxa"/>
            </w:tcMar>
            <w:shd w:fill="F5F7F9"/>
          </w:tcPr>
          <w:p>
            <w:r/>
            <w:r>
              <w:rPr>
                <w:rFonts w:ascii="Liberation Sans" w:hAnsi="Liberation Sans"/>
                <w:b w:val="0"/>
                <w:sz w:val="15"/>
              </w:rPr>
              <w:t>At least annually while material use continues</w:t>
            </w:r>
          </w:p>
        </w:tc>
        <w:tc>
          <w:tcPr>
            <w:tcW w:type="dxa" w:w="5184"/>
            <w:vAlign w:val="center"/>
            <w:tcMar>
              <w:top w:w="70" w:type="dxa"/>
              <w:start w:w="90" w:type="dxa"/>
              <w:bottom w:w="70" w:type="dxa"/>
              <w:end w:w="90" w:type="dxa"/>
            </w:tcMar>
            <w:shd w:fill="F5F7F9"/>
          </w:tcPr>
          <w:p>
            <w:r/>
            <w:r>
              <w:rPr>
                <w:rFonts w:ascii="Liberation Sans" w:hAnsi="Liberation Sans"/>
                <w:b w:val="0"/>
                <w:sz w:val="15"/>
              </w:rPr>
              <w:t>Full rights/context review plus change history and stakeholder feedback.</w:t>
            </w:r>
          </w:p>
        </w:tc>
      </w:tr>
      <w:tr>
        <w:tc>
          <w:tcPr>
            <w:tcW w:type="dxa" w:w="2160"/>
            <w:vAlign w:val="center"/>
            <w:tcMar>
              <w:top w:w="70" w:type="dxa"/>
              <w:start w:w="90" w:type="dxa"/>
              <w:bottom w:w="70" w:type="dxa"/>
              <w:end w:w="90" w:type="dxa"/>
            </w:tcMar>
          </w:tcPr>
          <w:p>
            <w:r/>
            <w:r>
              <w:rPr>
                <w:rFonts w:ascii="Liberation Sans" w:hAnsi="Liberation Sans"/>
                <w:b w:val="0"/>
                <w:sz w:val="15"/>
              </w:rPr>
              <w:t>Event-driven review</w:t>
            </w:r>
          </w:p>
        </w:tc>
        <w:tc>
          <w:tcPr>
            <w:tcW w:type="dxa" w:w="2880"/>
            <w:vAlign w:val="center"/>
            <w:tcMar>
              <w:top w:w="70" w:type="dxa"/>
              <w:start w:w="90" w:type="dxa"/>
              <w:bottom w:w="70" w:type="dxa"/>
              <w:end w:w="90" w:type="dxa"/>
            </w:tcMar>
          </w:tcPr>
          <w:p>
            <w:r/>
            <w:r>
              <w:rPr>
                <w:rFonts w:ascii="Liberation Sans" w:hAnsi="Liberation Sans"/>
                <w:b w:val="0"/>
                <w:sz w:val="15"/>
              </w:rPr>
              <w:t>Immediately on a material trigger</w:t>
            </w:r>
          </w:p>
        </w:tc>
        <w:tc>
          <w:tcPr>
            <w:tcW w:type="dxa" w:w="5184"/>
            <w:vAlign w:val="center"/>
            <w:tcMar>
              <w:top w:w="70" w:type="dxa"/>
              <w:start w:w="90" w:type="dxa"/>
              <w:bottom w:w="70" w:type="dxa"/>
              <w:end w:w="90" w:type="dxa"/>
            </w:tcMar>
          </w:tcPr>
          <w:p>
            <w:r/>
            <w:r>
              <w:rPr>
                <w:rFonts w:ascii="Liberation Sans" w:hAnsi="Liberation Sans"/>
                <w:b w:val="0"/>
                <w:sz w:val="15"/>
              </w:rPr>
              <w:t>Reopen affected HUDERIA elements; suspend use where needed.</w:t>
            </w:r>
          </w:p>
        </w:tc>
      </w:tr>
    </w:tbl>
    <w:p>
      <w:pPr>
        <w:spacing w:after="0"/>
      </w:pPr>
    </w:p>
    <w:p>
      <w:r>
        <w:t>The cadence above is Duckworks recommended practice, not a HUDERIA-prescribed legal interval. Faster review is required where risk or contextual change warrants it.</w:t>
      </w:r>
    </w:p>
    <w:p>
      <w:pPr>
        <w:pStyle w:val="Heading1"/>
      </w:pPr>
      <w:r>
        <w:t>3. Material Reassessment Triggers</w:t>
      </w:r>
    </w:p>
    <w:p>
      <w:pPr>
        <w:pStyle w:val="ListBullet"/>
        <w:spacing w:after="40"/>
      </w:pPr>
      <w:r>
        <w:t>Change in intended purpose, autonomy, decision authority, ranking logic, feature set or use beyond recruitment screening/recommendation.</w:t>
      </w:r>
    </w:p>
    <w:p>
      <w:pPr>
        <w:pStyle w:val="ListBullet"/>
        <w:spacing w:after="40"/>
      </w:pPr>
      <w:r>
        <w:t>New model/provider/version, material configuration change, hosting/subprocessor change or new third-party integration.</w:t>
      </w:r>
    </w:p>
    <w:p>
      <w:pPr>
        <w:pStyle w:val="ListBullet"/>
        <w:spacing w:after="40"/>
      </w:pPr>
      <w:r>
        <w:t>New data categories, training/reference data, sensitive inferences, connectors, permissions or retention practices.</w:t>
      </w:r>
    </w:p>
    <w:p>
      <w:pPr>
        <w:pStyle w:val="ListBullet"/>
        <w:spacing w:after="40"/>
      </w:pPr>
      <w:r>
        <w:t>Expansion to new countries, business units, languages, job families, internal mobility, promotion, performance, termination or workforce monitoring.</w:t>
      </w:r>
    </w:p>
    <w:p>
      <w:pPr>
        <w:pStyle w:val="ListBullet"/>
        <w:spacing w:after="40"/>
      </w:pPr>
      <w:r>
        <w:t>Material change in applicant population, social context, employment practices or data distribution that may create drift or unequal effects.</w:t>
      </w:r>
    </w:p>
    <w:p>
      <w:pPr>
        <w:pStyle w:val="ListBullet"/>
        <w:spacing w:after="40"/>
      </w:pPr>
      <w:r>
        <w:t>Fairness signal, discriminatory outcome, material parsing/ranking error, accessibility failure, complaint pattern or successful challenge.</w:t>
      </w:r>
    </w:p>
    <w:p>
      <w:pPr>
        <w:pStyle w:val="ListBullet"/>
        <w:spacing w:after="40"/>
      </w:pPr>
      <w:r>
        <w:t>Evidence that recruiters are mechanically following rank, cannot override, lack training or do not review source information.</w:t>
      </w:r>
    </w:p>
    <w:p>
      <w:pPr>
        <w:pStyle w:val="ListBullet"/>
        <w:spacing w:after="40"/>
      </w:pPr>
      <w:r>
        <w:t>Privacy or security incident, unauthorized access, data leakage, vendor/model compromise or supply-chain event.</w:t>
      </w:r>
    </w:p>
    <w:p>
      <w:pPr>
        <w:pStyle w:val="ListBullet"/>
        <w:spacing w:after="40"/>
      </w:pPr>
      <w:r>
        <w:t>New misuse or out-of-scope use, including personality/emotion inference or automatic rejection/hiring.</w:t>
      </w:r>
    </w:p>
    <w:p>
      <w:pPr>
        <w:pStyle w:val="ListBullet"/>
        <w:spacing w:after="40"/>
      </w:pPr>
      <w:r>
        <w:t>Change in applicable law, regulatory guidance, policy or legal interpretation.</w:t>
      </w:r>
    </w:p>
    <w:p>
      <w:pPr>
        <w:pStyle w:val="ListBullet"/>
        <w:spacing w:after="40"/>
      </w:pPr>
      <w:r>
        <w:t>Control failure, evidence expiry, ineffective mitigation or inability to reconstruct material AI-supported decisions.</w:t>
      </w:r>
    </w:p>
    <w:p>
      <w:pPr>
        <w:pStyle w:val="ListBullet"/>
        <w:spacing w:after="40"/>
      </w:pPr>
      <w:r>
        <w:t>Decision to retire, replace or substantially redesign the system.</w:t>
      </w:r>
    </w:p>
    <w:p>
      <w:pPr>
        <w:pStyle w:val="Heading1"/>
      </w:pPr>
      <w:r>
        <w:t>4. Monitoring Indicators</w:t>
      </w:r>
    </w:p>
    <w:tbl>
      <w:tblPr>
        <w:tblW w:type="auto" w:w="0"/>
        <w:jc w:val="center"/>
        <w:tblLayout w:type="autofit"/>
        <w:tblLook w:firstColumn="1" w:firstRow="1" w:lastColumn="0" w:lastRow="0" w:noHBand="0" w:noVBand="1" w:val="04A0"/>
      </w:tblPr>
      <w:tblGrid>
        <w:gridCol w:w="2541"/>
        <w:gridCol w:w="2541"/>
        <w:gridCol w:w="2541"/>
        <w:gridCol w:w="2541"/>
      </w:tblGrid>
      <w:tr>
        <w:trPr>
          <w:tblHeader w:val="true"/>
        </w:trPr>
        <w:tc>
          <w:tcPr>
            <w:tcW w:type="dxa" w:w="2304"/>
            <w:vAlign w:val="center"/>
            <w:tcMar>
              <w:top w:w="70" w:type="dxa"/>
              <w:start w:w="90" w:type="dxa"/>
              <w:bottom w:w="70" w:type="dxa"/>
              <w:end w:w="90" w:type="dxa"/>
            </w:tcMar>
            <w:shd w:fill="17324D"/>
          </w:tcPr>
          <w:p>
            <w:r/>
            <w:r>
              <w:rPr>
                <w:rFonts w:ascii="Liberation Sans" w:hAnsi="Liberation Sans"/>
                <w:b/>
                <w:color w:val="FFFFFF"/>
                <w:sz w:val="14"/>
              </w:rPr>
              <w:t>Indicator</w:t>
            </w:r>
          </w:p>
        </w:tc>
        <w:tc>
          <w:tcPr>
            <w:tcW w:type="dxa" w:w="2880"/>
            <w:vAlign w:val="center"/>
            <w:tcMar>
              <w:top w:w="70" w:type="dxa"/>
              <w:start w:w="90" w:type="dxa"/>
              <w:bottom w:w="70" w:type="dxa"/>
              <w:end w:w="90" w:type="dxa"/>
            </w:tcMar>
            <w:shd w:fill="17324D"/>
          </w:tcPr>
          <w:p>
            <w:r/>
            <w:r>
              <w:rPr>
                <w:rFonts w:ascii="Liberation Sans" w:hAnsi="Liberation Sans"/>
                <w:b/>
                <w:color w:val="FFFFFF"/>
                <w:sz w:val="14"/>
              </w:rPr>
              <w:t>Purpose</w:t>
            </w:r>
          </w:p>
        </w:tc>
        <w:tc>
          <w:tcPr>
            <w:tcW w:type="dxa" w:w="2160"/>
            <w:vAlign w:val="center"/>
            <w:tcMar>
              <w:top w:w="70" w:type="dxa"/>
              <w:start w:w="90" w:type="dxa"/>
              <w:bottom w:w="70" w:type="dxa"/>
              <w:end w:w="90" w:type="dxa"/>
            </w:tcMar>
            <w:shd w:fill="17324D"/>
          </w:tcPr>
          <w:p>
            <w:r/>
            <w:r>
              <w:rPr>
                <w:rFonts w:ascii="Liberation Sans" w:hAnsi="Liberation Sans"/>
                <w:b/>
                <w:color w:val="FFFFFF"/>
                <w:sz w:val="14"/>
              </w:rPr>
              <w:t>Source</w:t>
            </w:r>
          </w:p>
        </w:tc>
        <w:tc>
          <w:tcPr>
            <w:tcW w:type="dxa" w:w="3024"/>
            <w:vAlign w:val="center"/>
            <w:tcMar>
              <w:top w:w="70" w:type="dxa"/>
              <w:start w:w="90" w:type="dxa"/>
              <w:bottom w:w="70" w:type="dxa"/>
              <w:end w:w="90" w:type="dxa"/>
            </w:tcMar>
            <w:shd w:fill="17324D"/>
          </w:tcPr>
          <w:p>
            <w:r/>
            <w:r>
              <w:rPr>
                <w:rFonts w:ascii="Liberation Sans" w:hAnsi="Liberation Sans"/>
                <w:b/>
                <w:color w:val="FFFFFF"/>
                <w:sz w:val="14"/>
              </w:rPr>
              <w:t>Trigger approach</w:t>
            </w:r>
          </w:p>
        </w:tc>
      </w:tr>
      <w:tr>
        <w:tc>
          <w:tcPr>
            <w:tcW w:type="dxa" w:w="2304"/>
            <w:vAlign w:val="center"/>
            <w:tcMar>
              <w:top w:w="70" w:type="dxa"/>
              <w:start w:w="90" w:type="dxa"/>
              <w:bottom w:w="70" w:type="dxa"/>
              <w:end w:w="90" w:type="dxa"/>
            </w:tcMar>
          </w:tcPr>
          <w:p>
            <w:r/>
            <w:r>
              <w:rPr>
                <w:rFonts w:ascii="Liberation Sans" w:hAnsi="Liberation Sans"/>
                <w:b w:val="0"/>
                <w:sz w:val="14"/>
              </w:rPr>
              <w:t>Parsing/ranking error distribution</w:t>
            </w:r>
          </w:p>
        </w:tc>
        <w:tc>
          <w:tcPr>
            <w:tcW w:type="dxa" w:w="2880"/>
            <w:vAlign w:val="center"/>
            <w:tcMar>
              <w:top w:w="70" w:type="dxa"/>
              <w:start w:w="90" w:type="dxa"/>
              <w:bottom w:w="70" w:type="dxa"/>
              <w:end w:w="90" w:type="dxa"/>
            </w:tcMar>
          </w:tcPr>
          <w:p>
            <w:r/>
            <w:r>
              <w:rPr>
                <w:rFonts w:ascii="Liberation Sans" w:hAnsi="Liberation Sans"/>
                <w:b w:val="0"/>
                <w:sz w:val="14"/>
              </w:rPr>
              <w:t>Detect reliability problems and uneven error patterns.</w:t>
            </w:r>
          </w:p>
        </w:tc>
        <w:tc>
          <w:tcPr>
            <w:tcW w:type="dxa" w:w="2160"/>
            <w:vAlign w:val="center"/>
            <w:tcMar>
              <w:top w:w="70" w:type="dxa"/>
              <w:start w:w="90" w:type="dxa"/>
              <w:bottom w:w="70" w:type="dxa"/>
              <w:end w:w="90" w:type="dxa"/>
            </w:tcMar>
          </w:tcPr>
          <w:p>
            <w:r/>
            <w:r>
              <w:rPr>
                <w:rFonts w:ascii="Liberation Sans" w:hAnsi="Liberation Sans"/>
                <w:b w:val="0"/>
                <w:sz w:val="14"/>
              </w:rPr>
              <w:t>Validation / QA samples</w:t>
            </w:r>
          </w:p>
        </w:tc>
        <w:tc>
          <w:tcPr>
            <w:tcW w:type="dxa" w:w="3024"/>
            <w:vAlign w:val="center"/>
            <w:tcMar>
              <w:top w:w="70" w:type="dxa"/>
              <w:start w:w="90" w:type="dxa"/>
              <w:bottom w:w="70" w:type="dxa"/>
              <w:end w:w="90" w:type="dxa"/>
            </w:tcMar>
          </w:tcPr>
          <w:p>
            <w:r/>
            <w:r>
              <w:rPr>
                <w:rFonts w:ascii="Liberation Sans" w:hAnsi="Liberation Sans"/>
                <w:b w:val="0"/>
                <w:sz w:val="14"/>
              </w:rPr>
              <w:t>Thresholds must be defined before production; material deviation triggers review.</w:t>
            </w:r>
          </w:p>
        </w:tc>
      </w:tr>
      <w:tr>
        <w:tc>
          <w:tcPr>
            <w:tcW w:type="dxa" w:w="2304"/>
            <w:vAlign w:val="center"/>
            <w:tcMar>
              <w:top w:w="70" w:type="dxa"/>
              <w:start w:w="90" w:type="dxa"/>
              <w:bottom w:w="70" w:type="dxa"/>
              <w:end w:w="90" w:type="dxa"/>
            </w:tcMar>
            <w:shd w:fill="F5F7F9"/>
          </w:tcPr>
          <w:p>
            <w:r/>
            <w:r>
              <w:rPr>
                <w:rFonts w:ascii="Liberation Sans" w:hAnsi="Liberation Sans"/>
                <w:b w:val="0"/>
                <w:sz w:val="14"/>
              </w:rPr>
              <w:t>Human override / correction rate</w:t>
            </w:r>
          </w:p>
        </w:tc>
        <w:tc>
          <w:tcPr>
            <w:tcW w:type="dxa" w:w="2880"/>
            <w:vAlign w:val="center"/>
            <w:tcMar>
              <w:top w:w="70" w:type="dxa"/>
              <w:start w:w="90" w:type="dxa"/>
              <w:bottom w:w="70" w:type="dxa"/>
              <w:end w:w="90" w:type="dxa"/>
            </w:tcMar>
            <w:shd w:fill="F5F7F9"/>
          </w:tcPr>
          <w:p>
            <w:r/>
            <w:r>
              <w:rPr>
                <w:rFonts w:ascii="Liberation Sans" w:hAnsi="Liberation Sans"/>
                <w:b w:val="0"/>
                <w:sz w:val="14"/>
              </w:rPr>
              <w:t>Detect over-reliance, model weakness or workflow problems.</w:t>
            </w:r>
          </w:p>
        </w:tc>
        <w:tc>
          <w:tcPr>
            <w:tcW w:type="dxa" w:w="2160"/>
            <w:vAlign w:val="center"/>
            <w:tcMar>
              <w:top w:w="70" w:type="dxa"/>
              <w:start w:w="90" w:type="dxa"/>
              <w:bottom w:w="70" w:type="dxa"/>
              <w:end w:w="90" w:type="dxa"/>
            </w:tcMar>
            <w:shd w:fill="F5F7F9"/>
          </w:tcPr>
          <w:p>
            <w:r/>
            <w:r>
              <w:rPr>
                <w:rFonts w:ascii="Liberation Sans" w:hAnsi="Liberation Sans"/>
                <w:b w:val="0"/>
                <w:sz w:val="14"/>
              </w:rPr>
              <w:t>Recruitment decision logs</w:t>
            </w:r>
          </w:p>
        </w:tc>
        <w:tc>
          <w:tcPr>
            <w:tcW w:type="dxa" w:w="3024"/>
            <w:vAlign w:val="center"/>
            <w:tcMar>
              <w:top w:w="70" w:type="dxa"/>
              <w:start w:w="90" w:type="dxa"/>
              <w:bottom w:w="70" w:type="dxa"/>
              <w:end w:w="90" w:type="dxa"/>
            </w:tcMar>
            <w:shd w:fill="F5F7F9"/>
          </w:tcPr>
          <w:p>
            <w:r/>
            <w:r>
              <w:rPr>
                <w:rFonts w:ascii="Liberation Sans" w:hAnsi="Liberation Sans"/>
                <w:b w:val="0"/>
                <w:sz w:val="14"/>
              </w:rPr>
              <w:t>Unexpected collapse or spike requires investigation; no invented target in portfolio.</w:t>
            </w:r>
          </w:p>
        </w:tc>
      </w:tr>
      <w:tr>
        <w:tc>
          <w:tcPr>
            <w:tcW w:type="dxa" w:w="2304"/>
            <w:vAlign w:val="center"/>
            <w:tcMar>
              <w:top w:w="70" w:type="dxa"/>
              <w:start w:w="90" w:type="dxa"/>
              <w:bottom w:w="70" w:type="dxa"/>
              <w:end w:w="90" w:type="dxa"/>
            </w:tcMar>
          </w:tcPr>
          <w:p>
            <w:r/>
            <w:r>
              <w:rPr>
                <w:rFonts w:ascii="Liberation Sans" w:hAnsi="Liberation Sans"/>
                <w:b w:val="0"/>
                <w:sz w:val="14"/>
              </w:rPr>
              <w:t>Applicant challenges / corrections / complaints</w:t>
            </w:r>
          </w:p>
        </w:tc>
        <w:tc>
          <w:tcPr>
            <w:tcW w:type="dxa" w:w="2880"/>
            <w:vAlign w:val="center"/>
            <w:tcMar>
              <w:top w:w="70" w:type="dxa"/>
              <w:start w:w="90" w:type="dxa"/>
              <w:bottom w:w="70" w:type="dxa"/>
              <w:end w:w="90" w:type="dxa"/>
            </w:tcMar>
          </w:tcPr>
          <w:p>
            <w:r/>
            <w:r>
              <w:rPr>
                <w:rFonts w:ascii="Liberation Sans" w:hAnsi="Liberation Sans"/>
                <w:b w:val="0"/>
                <w:sz w:val="14"/>
              </w:rPr>
              <w:t>Detect transparency, accuracy, fairness and remedy issues.</w:t>
            </w:r>
          </w:p>
        </w:tc>
        <w:tc>
          <w:tcPr>
            <w:tcW w:type="dxa" w:w="2160"/>
            <w:vAlign w:val="center"/>
            <w:tcMar>
              <w:top w:w="70" w:type="dxa"/>
              <w:start w:w="90" w:type="dxa"/>
              <w:bottom w:w="70" w:type="dxa"/>
              <w:end w:w="90" w:type="dxa"/>
            </w:tcMar>
          </w:tcPr>
          <w:p>
            <w:r/>
            <w:r>
              <w:rPr>
                <w:rFonts w:ascii="Liberation Sans" w:hAnsi="Liberation Sans"/>
                <w:b w:val="0"/>
                <w:sz w:val="14"/>
              </w:rPr>
              <w:t>Case-management log</w:t>
            </w:r>
          </w:p>
        </w:tc>
        <w:tc>
          <w:tcPr>
            <w:tcW w:type="dxa" w:w="3024"/>
            <w:vAlign w:val="center"/>
            <w:tcMar>
              <w:top w:w="70" w:type="dxa"/>
              <w:start w:w="90" w:type="dxa"/>
              <w:bottom w:w="70" w:type="dxa"/>
              <w:end w:w="90" w:type="dxa"/>
            </w:tcMar>
          </w:tcPr>
          <w:p>
            <w:r/>
            <w:r>
              <w:rPr>
                <w:rFonts w:ascii="Liberation Sans" w:hAnsi="Liberation Sans"/>
                <w:b w:val="0"/>
                <w:sz w:val="14"/>
              </w:rPr>
              <w:t>Pattern, severity or systemic issue triggers RIA/MP review.</w:t>
            </w:r>
          </w:p>
        </w:tc>
      </w:tr>
      <w:tr>
        <w:tc>
          <w:tcPr>
            <w:tcW w:type="dxa" w:w="2304"/>
            <w:vAlign w:val="center"/>
            <w:tcMar>
              <w:top w:w="70" w:type="dxa"/>
              <w:start w:w="90" w:type="dxa"/>
              <w:bottom w:w="70" w:type="dxa"/>
              <w:end w:w="90" w:type="dxa"/>
            </w:tcMar>
            <w:shd w:fill="F5F7F9"/>
          </w:tcPr>
          <w:p>
            <w:r/>
            <w:r>
              <w:rPr>
                <w:rFonts w:ascii="Liberation Sans" w:hAnsi="Liberation Sans"/>
                <w:b w:val="0"/>
                <w:sz w:val="14"/>
              </w:rPr>
              <w:t>Accessibility defects</w:t>
            </w:r>
          </w:p>
        </w:tc>
        <w:tc>
          <w:tcPr>
            <w:tcW w:type="dxa" w:w="2880"/>
            <w:vAlign w:val="center"/>
            <w:tcMar>
              <w:top w:w="70" w:type="dxa"/>
              <w:start w:w="90" w:type="dxa"/>
              <w:bottom w:w="70" w:type="dxa"/>
              <w:end w:w="90" w:type="dxa"/>
            </w:tcMar>
            <w:shd w:fill="F5F7F9"/>
          </w:tcPr>
          <w:p>
            <w:r/>
            <w:r>
              <w:rPr>
                <w:rFonts w:ascii="Liberation Sans" w:hAnsi="Liberation Sans"/>
                <w:b w:val="0"/>
                <w:sz w:val="14"/>
              </w:rPr>
              <w:t>Detect barriers for disabled or differently situated applicants.</w:t>
            </w:r>
          </w:p>
        </w:tc>
        <w:tc>
          <w:tcPr>
            <w:tcW w:type="dxa" w:w="2160"/>
            <w:vAlign w:val="center"/>
            <w:tcMar>
              <w:top w:w="70" w:type="dxa"/>
              <w:start w:w="90" w:type="dxa"/>
              <w:bottom w:w="70" w:type="dxa"/>
              <w:end w:w="90" w:type="dxa"/>
            </w:tcMar>
            <w:shd w:fill="F5F7F9"/>
          </w:tcPr>
          <w:p>
            <w:r/>
            <w:r>
              <w:rPr>
                <w:rFonts w:ascii="Liberation Sans" w:hAnsi="Liberation Sans"/>
                <w:b w:val="0"/>
                <w:sz w:val="14"/>
              </w:rPr>
              <w:t>Accessibility tests / feedback</w:t>
            </w:r>
          </w:p>
        </w:tc>
        <w:tc>
          <w:tcPr>
            <w:tcW w:type="dxa" w:w="3024"/>
            <w:vAlign w:val="center"/>
            <w:tcMar>
              <w:top w:w="70" w:type="dxa"/>
              <w:start w:w="90" w:type="dxa"/>
              <w:bottom w:w="70" w:type="dxa"/>
              <w:end w:w="90" w:type="dxa"/>
            </w:tcMar>
            <w:shd w:fill="F5F7F9"/>
          </w:tcPr>
          <w:p>
            <w:r/>
            <w:r>
              <w:rPr>
                <w:rFonts w:ascii="Liberation Sans" w:hAnsi="Liberation Sans"/>
                <w:b w:val="0"/>
                <w:sz w:val="14"/>
              </w:rPr>
              <w:t>Material barrier triggers stop/rework for affected workflow.</w:t>
            </w:r>
          </w:p>
        </w:tc>
      </w:tr>
      <w:tr>
        <w:tc>
          <w:tcPr>
            <w:tcW w:type="dxa" w:w="2304"/>
            <w:vAlign w:val="center"/>
            <w:tcMar>
              <w:top w:w="70" w:type="dxa"/>
              <w:start w:w="90" w:type="dxa"/>
              <w:bottom w:w="70" w:type="dxa"/>
              <w:end w:w="90" w:type="dxa"/>
            </w:tcMar>
          </w:tcPr>
          <w:p>
            <w:r/>
            <w:r>
              <w:rPr>
                <w:rFonts w:ascii="Liberation Sans" w:hAnsi="Liberation Sans"/>
                <w:b w:val="0"/>
                <w:sz w:val="14"/>
              </w:rPr>
              <w:t>Fairness / group-level outcome indicators</w:t>
            </w:r>
          </w:p>
        </w:tc>
        <w:tc>
          <w:tcPr>
            <w:tcW w:type="dxa" w:w="2880"/>
            <w:vAlign w:val="center"/>
            <w:tcMar>
              <w:top w:w="70" w:type="dxa"/>
              <w:start w:w="90" w:type="dxa"/>
              <w:bottom w:w="70" w:type="dxa"/>
              <w:end w:w="90" w:type="dxa"/>
            </w:tcMar>
          </w:tcPr>
          <w:p>
            <w:r/>
            <w:r>
              <w:rPr>
                <w:rFonts w:ascii="Liberation Sans" w:hAnsi="Liberation Sans"/>
                <w:b w:val="0"/>
                <w:sz w:val="14"/>
              </w:rPr>
              <w:t>Detect disparate effects where lawful and appropriate to measure.</w:t>
            </w:r>
          </w:p>
        </w:tc>
        <w:tc>
          <w:tcPr>
            <w:tcW w:type="dxa" w:w="2160"/>
            <w:vAlign w:val="center"/>
            <w:tcMar>
              <w:top w:w="70" w:type="dxa"/>
              <w:start w:w="90" w:type="dxa"/>
              <w:bottom w:w="70" w:type="dxa"/>
              <w:end w:w="90" w:type="dxa"/>
            </w:tcMar>
          </w:tcPr>
          <w:p>
            <w:r/>
            <w:r>
              <w:rPr>
                <w:rFonts w:ascii="Liberation Sans" w:hAnsi="Liberation Sans"/>
                <w:b w:val="0"/>
                <w:sz w:val="14"/>
              </w:rPr>
              <w:t>Approved fairness monitoring</w:t>
            </w:r>
          </w:p>
        </w:tc>
        <w:tc>
          <w:tcPr>
            <w:tcW w:type="dxa" w:w="3024"/>
            <w:vAlign w:val="center"/>
            <w:tcMar>
              <w:top w:w="70" w:type="dxa"/>
              <w:start w:w="90" w:type="dxa"/>
              <w:bottom w:w="70" w:type="dxa"/>
              <w:end w:w="90" w:type="dxa"/>
            </w:tcMar>
          </w:tcPr>
          <w:p>
            <w:r/>
            <w:r>
              <w:rPr>
                <w:rFonts w:ascii="Liberation Sans" w:hAnsi="Liberation Sans"/>
                <w:b w:val="0"/>
                <w:sz w:val="14"/>
              </w:rPr>
              <w:t>Material unexplained disparity triggers specialist review.</w:t>
            </w:r>
          </w:p>
        </w:tc>
      </w:tr>
      <w:tr>
        <w:tc>
          <w:tcPr>
            <w:tcW w:type="dxa" w:w="2304"/>
            <w:vAlign w:val="center"/>
            <w:tcMar>
              <w:top w:w="70" w:type="dxa"/>
              <w:start w:w="90" w:type="dxa"/>
              <w:bottom w:w="70" w:type="dxa"/>
              <w:end w:w="90" w:type="dxa"/>
            </w:tcMar>
            <w:shd w:fill="F5F7F9"/>
          </w:tcPr>
          <w:p>
            <w:r/>
            <w:r>
              <w:rPr>
                <w:rFonts w:ascii="Liberation Sans" w:hAnsi="Liberation Sans"/>
                <w:b w:val="0"/>
                <w:sz w:val="14"/>
              </w:rPr>
              <w:t>Security/privacy incidents</w:t>
            </w:r>
          </w:p>
        </w:tc>
        <w:tc>
          <w:tcPr>
            <w:tcW w:type="dxa" w:w="2880"/>
            <w:vAlign w:val="center"/>
            <w:tcMar>
              <w:top w:w="70" w:type="dxa"/>
              <w:start w:w="90" w:type="dxa"/>
              <w:bottom w:w="70" w:type="dxa"/>
              <w:end w:w="90" w:type="dxa"/>
            </w:tcMar>
            <w:shd w:fill="F5F7F9"/>
          </w:tcPr>
          <w:p>
            <w:r/>
            <w:r>
              <w:rPr>
                <w:rFonts w:ascii="Liberation Sans" w:hAnsi="Liberation Sans"/>
                <w:b w:val="0"/>
                <w:sz w:val="14"/>
              </w:rPr>
              <w:t>Detect confidentiality, integrity, vendor or access failures.</w:t>
            </w:r>
          </w:p>
        </w:tc>
        <w:tc>
          <w:tcPr>
            <w:tcW w:type="dxa" w:w="2160"/>
            <w:vAlign w:val="center"/>
            <w:tcMar>
              <w:top w:w="70" w:type="dxa"/>
              <w:start w:w="90" w:type="dxa"/>
              <w:bottom w:w="70" w:type="dxa"/>
              <w:end w:w="90" w:type="dxa"/>
            </w:tcMar>
            <w:shd w:fill="F5F7F9"/>
          </w:tcPr>
          <w:p>
            <w:r/>
            <w:r>
              <w:rPr>
                <w:rFonts w:ascii="Liberation Sans" w:hAnsi="Liberation Sans"/>
                <w:b w:val="0"/>
                <w:sz w:val="14"/>
              </w:rPr>
              <w:t>SOC/privacy incident process</w:t>
            </w:r>
          </w:p>
        </w:tc>
        <w:tc>
          <w:tcPr>
            <w:tcW w:type="dxa" w:w="3024"/>
            <w:vAlign w:val="center"/>
            <w:tcMar>
              <w:top w:w="70" w:type="dxa"/>
              <w:start w:w="90" w:type="dxa"/>
              <w:bottom w:w="70" w:type="dxa"/>
              <w:end w:w="90" w:type="dxa"/>
            </w:tcMar>
            <w:shd w:fill="F5F7F9"/>
          </w:tcPr>
          <w:p>
            <w:r/>
            <w:r>
              <w:rPr>
                <w:rFonts w:ascii="Liberation Sans" w:hAnsi="Liberation Sans"/>
                <w:b w:val="0"/>
                <w:sz w:val="14"/>
              </w:rPr>
              <w:t>Material event triggers immediate containment and reassessment.</w:t>
            </w:r>
          </w:p>
        </w:tc>
      </w:tr>
      <w:tr>
        <w:tc>
          <w:tcPr>
            <w:tcW w:type="dxa" w:w="2304"/>
            <w:vAlign w:val="center"/>
            <w:tcMar>
              <w:top w:w="70" w:type="dxa"/>
              <w:start w:w="90" w:type="dxa"/>
              <w:bottom w:w="70" w:type="dxa"/>
              <w:end w:w="90" w:type="dxa"/>
            </w:tcMar>
          </w:tcPr>
          <w:p>
            <w:r/>
            <w:r>
              <w:rPr>
                <w:rFonts w:ascii="Liberation Sans" w:hAnsi="Liberation Sans"/>
                <w:b w:val="0"/>
                <w:sz w:val="14"/>
              </w:rPr>
              <w:t>Model/vendor changes</w:t>
            </w:r>
          </w:p>
        </w:tc>
        <w:tc>
          <w:tcPr>
            <w:tcW w:type="dxa" w:w="2880"/>
            <w:vAlign w:val="center"/>
            <w:tcMar>
              <w:top w:w="70" w:type="dxa"/>
              <w:start w:w="90" w:type="dxa"/>
              <w:bottom w:w="70" w:type="dxa"/>
              <w:end w:w="90" w:type="dxa"/>
            </w:tcMar>
          </w:tcPr>
          <w:p>
            <w:r/>
            <w:r>
              <w:rPr>
                <w:rFonts w:ascii="Liberation Sans" w:hAnsi="Liberation Sans"/>
                <w:b w:val="0"/>
                <w:sz w:val="14"/>
              </w:rPr>
              <w:t>Detect evidence invalidation.</w:t>
            </w:r>
          </w:p>
        </w:tc>
        <w:tc>
          <w:tcPr>
            <w:tcW w:type="dxa" w:w="2160"/>
            <w:vAlign w:val="center"/>
            <w:tcMar>
              <w:top w:w="70" w:type="dxa"/>
              <w:start w:w="90" w:type="dxa"/>
              <w:bottom w:w="70" w:type="dxa"/>
              <w:end w:w="90" w:type="dxa"/>
            </w:tcMar>
          </w:tcPr>
          <w:p>
            <w:r/>
            <w:r>
              <w:rPr>
                <w:rFonts w:ascii="Liberation Sans" w:hAnsi="Liberation Sans"/>
                <w:b w:val="0"/>
                <w:sz w:val="14"/>
              </w:rPr>
              <w:t>Change/vendor management</w:t>
            </w:r>
          </w:p>
        </w:tc>
        <w:tc>
          <w:tcPr>
            <w:tcW w:type="dxa" w:w="3024"/>
            <w:vAlign w:val="center"/>
            <w:tcMar>
              <w:top w:w="70" w:type="dxa"/>
              <w:start w:w="90" w:type="dxa"/>
              <w:bottom w:w="70" w:type="dxa"/>
              <w:end w:w="90" w:type="dxa"/>
            </w:tcMar>
          </w:tcPr>
          <w:p>
            <w:r/>
            <w:r>
              <w:rPr>
                <w:rFonts w:ascii="Liberation Sans" w:hAnsi="Liberation Sans"/>
                <w:b w:val="0"/>
                <w:sz w:val="14"/>
              </w:rPr>
              <w:t>Material change requires revalidation before use.</w:t>
            </w:r>
          </w:p>
        </w:tc>
      </w:tr>
      <w:tr>
        <w:tc>
          <w:tcPr>
            <w:tcW w:type="dxa" w:w="2304"/>
            <w:vAlign w:val="center"/>
            <w:tcMar>
              <w:top w:w="70" w:type="dxa"/>
              <w:start w:w="90" w:type="dxa"/>
              <w:bottom w:w="70" w:type="dxa"/>
              <w:end w:w="90" w:type="dxa"/>
            </w:tcMar>
            <w:shd w:fill="F5F7F9"/>
          </w:tcPr>
          <w:p>
            <w:r/>
            <w:r>
              <w:rPr>
                <w:rFonts w:ascii="Liberation Sans" w:hAnsi="Liberation Sans"/>
                <w:b w:val="0"/>
                <w:sz w:val="14"/>
              </w:rPr>
              <w:t>Operator training / oversight failures</w:t>
            </w:r>
          </w:p>
        </w:tc>
        <w:tc>
          <w:tcPr>
            <w:tcW w:type="dxa" w:w="2880"/>
            <w:vAlign w:val="center"/>
            <w:tcMar>
              <w:top w:w="70" w:type="dxa"/>
              <w:start w:w="90" w:type="dxa"/>
              <w:bottom w:w="70" w:type="dxa"/>
              <w:end w:w="90" w:type="dxa"/>
            </w:tcMar>
            <w:shd w:fill="F5F7F9"/>
          </w:tcPr>
          <w:p>
            <w:r/>
            <w:r>
              <w:rPr>
                <w:rFonts w:ascii="Liberation Sans" w:hAnsi="Liberation Sans"/>
                <w:b w:val="0"/>
                <w:sz w:val="14"/>
              </w:rPr>
              <w:t>Detect illusory human oversight.</w:t>
            </w:r>
          </w:p>
        </w:tc>
        <w:tc>
          <w:tcPr>
            <w:tcW w:type="dxa" w:w="2160"/>
            <w:vAlign w:val="center"/>
            <w:tcMar>
              <w:top w:w="70" w:type="dxa"/>
              <w:start w:w="90" w:type="dxa"/>
              <w:bottom w:w="70" w:type="dxa"/>
              <w:end w:w="90" w:type="dxa"/>
            </w:tcMar>
            <w:shd w:fill="F5F7F9"/>
          </w:tcPr>
          <w:p>
            <w:r/>
            <w:r>
              <w:rPr>
                <w:rFonts w:ascii="Liberation Sans" w:hAnsi="Liberation Sans"/>
                <w:b w:val="0"/>
                <w:sz w:val="14"/>
              </w:rPr>
              <w:t>Training, QA, decision review</w:t>
            </w:r>
          </w:p>
        </w:tc>
        <w:tc>
          <w:tcPr>
            <w:tcW w:type="dxa" w:w="3024"/>
            <w:vAlign w:val="center"/>
            <w:tcMar>
              <w:top w:w="70" w:type="dxa"/>
              <w:start w:w="90" w:type="dxa"/>
              <w:bottom w:w="70" w:type="dxa"/>
              <w:end w:w="90" w:type="dxa"/>
            </w:tcMar>
            <w:shd w:fill="F5F7F9"/>
          </w:tcPr>
          <w:p>
            <w:r/>
            <w:r>
              <w:rPr>
                <w:rFonts w:ascii="Liberation Sans" w:hAnsi="Liberation Sans"/>
                <w:b w:val="0"/>
                <w:sz w:val="14"/>
              </w:rPr>
              <w:t>Material failure may suspend ranking until remediated.</w:t>
            </w:r>
          </w:p>
        </w:tc>
      </w:tr>
    </w:tbl>
    <w:p>
      <w:pPr>
        <w:spacing w:after="0"/>
      </w:pPr>
    </w:p>
    <w:p>
      <w:pPr>
        <w:pStyle w:val="Heading1"/>
      </w:pPr>
      <w:r>
        <w:t>5. Iterative Review Workflow</w:t>
      </w:r>
    </w:p>
    <w:p>
      <w:pPr>
        <w:pStyle w:val="ListNumber"/>
        <w:spacing w:after="40"/>
      </w:pPr>
      <w:r>
        <w:t>Detect trigger or scheduled review point and open a HUDERIA review record.</w:t>
      </w:r>
    </w:p>
    <w:p>
      <w:pPr>
        <w:pStyle w:val="ListNumber"/>
        <w:spacing w:after="40"/>
      </w:pPr>
      <w:r>
        <w:t>Determine which assumptions, risk factors, affected groups, rights areas or mitigations may have changed.</w:t>
      </w:r>
    </w:p>
    <w:p>
      <w:pPr>
        <w:pStyle w:val="ListNumber"/>
        <w:spacing w:after="40"/>
      </w:pPr>
      <w:r>
        <w:t>Refresh COBRA and re-triage the system; determine whether stakeholder re-engagement is needed.</w:t>
      </w:r>
    </w:p>
    <w:p>
      <w:pPr>
        <w:pStyle w:val="ListNumber"/>
        <w:spacing w:after="40"/>
      </w:pPr>
      <w:r>
        <w:t>Update the RIA variables using current evidence, including actual impacts where available.</w:t>
      </w:r>
    </w:p>
    <w:p>
      <w:pPr>
        <w:pStyle w:val="ListNumber"/>
        <w:spacing w:after="40"/>
      </w:pPr>
      <w:r>
        <w:t>Review mitigation effectiveness and apply avoid/mitigate/restore/compensate as appropriate.</w:t>
      </w:r>
    </w:p>
    <w:p>
      <w:pPr>
        <w:pStyle w:val="ListNumber"/>
        <w:spacing w:after="40"/>
      </w:pPr>
      <w:r>
        <w:t>Determine whether the current lifecycle approval remains valid, requires conditions, suspension, or retirement.</w:t>
      </w:r>
    </w:p>
    <w:p>
      <w:pPr>
        <w:pStyle w:val="ListNumber"/>
        <w:spacing w:after="40"/>
      </w:pPr>
      <w:r>
        <w:t>Record decision, owners, evidence, affected-person remedy actions and next review point.</w:t>
      </w:r>
    </w:p>
    <w:p>
      <w:pPr>
        <w:pStyle w:val="Heading1"/>
      </w:pPr>
      <w:r>
        <w:t>6. Review Log</w:t>
      </w:r>
    </w:p>
    <w:tbl>
      <w:tblPr>
        <w:tblW w:type="auto" w:w="0"/>
        <w:jc w:val="center"/>
        <w:tblLayout w:type="autofit"/>
        <w:tblLook w:firstColumn="1" w:firstRow="1" w:lastColumn="0" w:lastRow="0" w:noHBand="0" w:noVBand="1" w:val="04A0"/>
      </w:tblPr>
      <w:tblGrid>
        <w:gridCol w:w="1271"/>
        <w:gridCol w:w="1271"/>
        <w:gridCol w:w="1271"/>
        <w:gridCol w:w="1271"/>
        <w:gridCol w:w="1271"/>
        <w:gridCol w:w="1271"/>
        <w:gridCol w:w="1271"/>
        <w:gridCol w:w="1271"/>
      </w:tblGrid>
      <w:tr>
        <w:trPr>
          <w:tblHeader w:val="true"/>
        </w:trPr>
        <w:tc>
          <w:tcPr>
            <w:tcW w:type="dxa" w:w="1080"/>
            <w:vAlign w:val="center"/>
            <w:tcMar>
              <w:top w:w="70" w:type="dxa"/>
              <w:start w:w="90" w:type="dxa"/>
              <w:bottom w:w="70" w:type="dxa"/>
              <w:end w:w="90" w:type="dxa"/>
            </w:tcMar>
            <w:shd w:fill="17324D"/>
          </w:tcPr>
          <w:p>
            <w:r/>
            <w:r>
              <w:rPr>
                <w:rFonts w:ascii="Liberation Sans" w:hAnsi="Liberation Sans"/>
                <w:b/>
                <w:color w:val="FFFFFF"/>
                <w:sz w:val="13"/>
              </w:rPr>
              <w:t>Review ID</w:t>
            </w:r>
          </w:p>
        </w:tc>
        <w:tc>
          <w:tcPr>
            <w:tcW w:type="dxa" w:w="1152"/>
            <w:vAlign w:val="center"/>
            <w:tcMar>
              <w:top w:w="70" w:type="dxa"/>
              <w:start w:w="90" w:type="dxa"/>
              <w:bottom w:w="70" w:type="dxa"/>
              <w:end w:w="90" w:type="dxa"/>
            </w:tcMar>
            <w:shd w:fill="17324D"/>
          </w:tcPr>
          <w:p>
            <w:r/>
            <w:r>
              <w:rPr>
                <w:rFonts w:ascii="Liberation Sans" w:hAnsi="Liberation Sans"/>
                <w:b/>
                <w:color w:val="FFFFFF"/>
                <w:sz w:val="13"/>
              </w:rPr>
              <w:t>Date</w:t>
            </w:r>
          </w:p>
        </w:tc>
        <w:tc>
          <w:tcPr>
            <w:tcW w:type="dxa" w:w="1728"/>
            <w:vAlign w:val="center"/>
            <w:tcMar>
              <w:top w:w="70" w:type="dxa"/>
              <w:start w:w="90" w:type="dxa"/>
              <w:bottom w:w="70" w:type="dxa"/>
              <w:end w:w="90" w:type="dxa"/>
            </w:tcMar>
            <w:shd w:fill="17324D"/>
          </w:tcPr>
          <w:p>
            <w:r/>
            <w:r>
              <w:rPr>
                <w:rFonts w:ascii="Liberation Sans" w:hAnsi="Liberation Sans"/>
                <w:b/>
                <w:color w:val="FFFFFF"/>
                <w:sz w:val="13"/>
              </w:rPr>
              <w:t>Trigger</w:t>
            </w:r>
          </w:p>
        </w:tc>
        <w:tc>
          <w:tcPr>
            <w:tcW w:type="dxa" w:w="2304"/>
            <w:vAlign w:val="center"/>
            <w:tcMar>
              <w:top w:w="70" w:type="dxa"/>
              <w:start w:w="90" w:type="dxa"/>
              <w:bottom w:w="70" w:type="dxa"/>
              <w:end w:w="90" w:type="dxa"/>
            </w:tcMar>
            <w:shd w:fill="17324D"/>
          </w:tcPr>
          <w:p>
            <w:r/>
            <w:r>
              <w:rPr>
                <w:rFonts w:ascii="Liberation Sans" w:hAnsi="Liberation Sans"/>
                <w:b/>
                <w:color w:val="FFFFFF"/>
                <w:sz w:val="13"/>
              </w:rPr>
              <w:t>HUDERIA elements reopened</w:t>
            </w:r>
          </w:p>
        </w:tc>
        <w:tc>
          <w:tcPr>
            <w:tcW w:type="dxa" w:w="3168"/>
            <w:vAlign w:val="center"/>
            <w:tcMar>
              <w:top w:w="70" w:type="dxa"/>
              <w:start w:w="90" w:type="dxa"/>
              <w:bottom w:w="70" w:type="dxa"/>
              <w:end w:w="90" w:type="dxa"/>
            </w:tcMar>
            <w:shd w:fill="17324D"/>
          </w:tcPr>
          <w:p>
            <w:r/>
            <w:r>
              <w:rPr>
                <w:rFonts w:ascii="Liberation Sans" w:hAnsi="Liberation Sans"/>
                <w:b/>
                <w:color w:val="FFFFFF"/>
                <w:sz w:val="13"/>
              </w:rPr>
              <w:t>Key changes / impacts</w:t>
            </w:r>
          </w:p>
        </w:tc>
        <w:tc>
          <w:tcPr>
            <w:tcW w:type="dxa" w:w="1440"/>
            <w:vAlign w:val="center"/>
            <w:tcMar>
              <w:top w:w="70" w:type="dxa"/>
              <w:start w:w="90" w:type="dxa"/>
              <w:bottom w:w="70" w:type="dxa"/>
              <w:end w:w="90" w:type="dxa"/>
            </w:tcMar>
            <w:shd w:fill="17324D"/>
          </w:tcPr>
          <w:p>
            <w:r/>
            <w:r>
              <w:rPr>
                <w:rFonts w:ascii="Liberation Sans" w:hAnsi="Liberation Sans"/>
                <w:b/>
                <w:color w:val="FFFFFF"/>
                <w:sz w:val="13"/>
              </w:rPr>
              <w:t>Decision</w:t>
            </w:r>
          </w:p>
        </w:tc>
        <w:tc>
          <w:tcPr>
            <w:tcW w:type="dxa" w:w="1872"/>
            <w:vAlign w:val="center"/>
            <w:tcMar>
              <w:top w:w="70" w:type="dxa"/>
              <w:start w:w="90" w:type="dxa"/>
              <w:bottom w:w="70" w:type="dxa"/>
              <w:end w:w="90" w:type="dxa"/>
            </w:tcMar>
            <w:shd w:fill="17324D"/>
          </w:tcPr>
          <w:p>
            <w:r/>
            <w:r>
              <w:rPr>
                <w:rFonts w:ascii="Liberation Sans" w:hAnsi="Liberation Sans"/>
                <w:b/>
                <w:color w:val="FFFFFF"/>
                <w:sz w:val="13"/>
              </w:rPr>
              <w:t>Owner</w:t>
            </w:r>
          </w:p>
        </w:tc>
        <w:tc>
          <w:tcPr>
            <w:tcW w:type="dxa" w:w="2016"/>
            <w:vAlign w:val="center"/>
            <w:tcMar>
              <w:top w:w="70" w:type="dxa"/>
              <w:start w:w="90" w:type="dxa"/>
              <w:bottom w:w="70" w:type="dxa"/>
              <w:end w:w="90" w:type="dxa"/>
            </w:tcMar>
            <w:shd w:fill="17324D"/>
          </w:tcPr>
          <w:p>
            <w:r/>
            <w:r>
              <w:rPr>
                <w:rFonts w:ascii="Liberation Sans" w:hAnsi="Liberation Sans"/>
                <w:b/>
                <w:color w:val="FFFFFF"/>
                <w:sz w:val="13"/>
              </w:rPr>
              <w:t>Next review</w:t>
            </w:r>
          </w:p>
        </w:tc>
      </w:tr>
      <w:tr>
        <w:tc>
          <w:tcPr>
            <w:tcW w:type="dxa" w:w="1080"/>
            <w:vAlign w:val="center"/>
            <w:tcMar>
              <w:top w:w="70" w:type="dxa"/>
              <w:start w:w="90" w:type="dxa"/>
              <w:bottom w:w="70" w:type="dxa"/>
              <w:end w:w="90" w:type="dxa"/>
            </w:tcMar>
          </w:tcPr>
          <w:p>
            <w:r/>
            <w:r>
              <w:rPr>
                <w:rFonts w:ascii="Liberation Sans" w:hAnsi="Liberation Sans"/>
                <w:b w:val="0"/>
                <w:sz w:val="13"/>
              </w:rPr>
              <w:t>IR-000</w:t>
            </w:r>
          </w:p>
        </w:tc>
        <w:tc>
          <w:tcPr>
            <w:tcW w:type="dxa" w:w="1152"/>
            <w:vAlign w:val="center"/>
            <w:tcMar>
              <w:top w:w="70" w:type="dxa"/>
              <w:start w:w="90" w:type="dxa"/>
              <w:bottom w:w="70" w:type="dxa"/>
              <w:end w:w="90" w:type="dxa"/>
            </w:tcMar>
          </w:tcPr>
          <w:p>
            <w:r/>
            <w:r>
              <w:rPr>
                <w:rFonts w:ascii="Liberation Sans" w:hAnsi="Liberation Sans"/>
                <w:b w:val="0"/>
                <w:sz w:val="13"/>
              </w:rPr>
              <w:t>9 Aug 2026</w:t>
            </w:r>
          </w:p>
        </w:tc>
        <w:tc>
          <w:tcPr>
            <w:tcW w:type="dxa" w:w="1728"/>
            <w:vAlign w:val="center"/>
            <w:tcMar>
              <w:top w:w="70" w:type="dxa"/>
              <w:start w:w="90" w:type="dxa"/>
              <w:bottom w:w="70" w:type="dxa"/>
              <w:end w:w="90" w:type="dxa"/>
            </w:tcMar>
          </w:tcPr>
          <w:p>
            <w:r/>
            <w:r>
              <w:rPr>
                <w:rFonts w:ascii="Liberation Sans" w:hAnsi="Liberation Sans"/>
                <w:b w:val="0"/>
                <w:sz w:val="13"/>
              </w:rPr>
              <w:t>Initial pre-deployment baseline</w:t>
            </w:r>
          </w:p>
        </w:tc>
        <w:tc>
          <w:tcPr>
            <w:tcW w:type="dxa" w:w="2304"/>
            <w:vAlign w:val="center"/>
            <w:tcMar>
              <w:top w:w="70" w:type="dxa"/>
              <w:start w:w="90" w:type="dxa"/>
              <w:bottom w:w="70" w:type="dxa"/>
              <w:end w:w="90" w:type="dxa"/>
            </w:tcMar>
          </w:tcPr>
          <w:p>
            <w:r/>
            <w:r>
              <w:rPr>
                <w:rFonts w:ascii="Liberation Sans" w:hAnsi="Liberation Sans"/>
                <w:b w:val="0"/>
                <w:sz w:val="13"/>
              </w:rPr>
              <w:t>COBRA / SEP / RIA / MP</w:t>
            </w:r>
          </w:p>
        </w:tc>
        <w:tc>
          <w:tcPr>
            <w:tcW w:type="dxa" w:w="3168"/>
            <w:vAlign w:val="center"/>
            <w:tcMar>
              <w:top w:w="70" w:type="dxa"/>
              <w:start w:w="90" w:type="dxa"/>
              <w:bottom w:w="70" w:type="dxa"/>
              <w:end w:w="90" w:type="dxa"/>
            </w:tcMar>
          </w:tcPr>
          <w:p>
            <w:r/>
            <w:r>
              <w:rPr>
                <w:rFonts w:ascii="Liberation Sans" w:hAnsi="Liberation Sans"/>
                <w:b w:val="0"/>
                <w:sz w:val="13"/>
              </w:rPr>
              <w:t>Full HUDERIA baseline created; stakeholder evidence and blocking controls remain incomplete.</w:t>
            </w:r>
          </w:p>
        </w:tc>
        <w:tc>
          <w:tcPr>
            <w:tcW w:type="dxa" w:w="1440"/>
            <w:vAlign w:val="center"/>
            <w:tcMar>
              <w:top w:w="70" w:type="dxa"/>
              <w:start w:w="90" w:type="dxa"/>
              <w:bottom w:w="70" w:type="dxa"/>
              <w:end w:w="90" w:type="dxa"/>
            </w:tcMar>
          </w:tcPr>
          <w:p>
            <w:r/>
            <w:r>
              <w:rPr>
                <w:rFonts w:ascii="Liberation Sans" w:hAnsi="Liberation Sans"/>
                <w:b w:val="0"/>
                <w:sz w:val="13"/>
              </w:rPr>
              <w:t>DO NOT DEPLOY</w:t>
            </w:r>
          </w:p>
        </w:tc>
        <w:tc>
          <w:tcPr>
            <w:tcW w:type="dxa" w:w="1872"/>
            <w:vAlign w:val="center"/>
            <w:tcMar>
              <w:top w:w="70" w:type="dxa"/>
              <w:start w:w="90" w:type="dxa"/>
              <w:bottom w:w="70" w:type="dxa"/>
              <w:end w:w="90" w:type="dxa"/>
            </w:tcMar>
          </w:tcPr>
          <w:p>
            <w:r/>
            <w:r>
              <w:rPr>
                <w:rFonts w:ascii="Liberation Sans" w:hAnsi="Liberation Sans"/>
                <w:b w:val="0"/>
                <w:sz w:val="13"/>
              </w:rPr>
              <w:t>AI Governance Lead / Business Owner</w:t>
            </w:r>
          </w:p>
        </w:tc>
        <w:tc>
          <w:tcPr>
            <w:tcW w:type="dxa" w:w="2016"/>
            <w:vAlign w:val="center"/>
            <w:tcMar>
              <w:top w:w="70" w:type="dxa"/>
              <w:start w:w="90" w:type="dxa"/>
              <w:bottom w:w="70" w:type="dxa"/>
              <w:end w:w="90" w:type="dxa"/>
            </w:tcMar>
          </w:tcPr>
          <w:p>
            <w:r/>
            <w:r>
              <w:rPr>
                <w:rFonts w:ascii="Liberation Sans" w:hAnsi="Liberation Sans"/>
                <w:b w:val="0"/>
                <w:sz w:val="13"/>
              </w:rPr>
              <w:t>At completion of blocking actions / before any real pilot</w:t>
            </w:r>
          </w:p>
        </w:tc>
      </w:tr>
      <w:tr>
        <w:tc>
          <w:tcPr>
            <w:tcW w:type="dxa" w:w="1080"/>
            <w:vAlign w:val="center"/>
            <w:tcMar>
              <w:top w:w="70" w:type="dxa"/>
              <w:start w:w="90" w:type="dxa"/>
              <w:bottom w:w="70" w:type="dxa"/>
              <w:end w:w="90" w:type="dxa"/>
            </w:tcMar>
            <w:shd w:fill="F5F7F9"/>
          </w:tcPr>
          <w:p>
            <w:r/>
            <w:r>
              <w:rPr>
                <w:rFonts w:ascii="Liberation Sans" w:hAnsi="Liberation Sans"/>
                <w:b w:val="0"/>
                <w:sz w:val="13"/>
              </w:rPr>
              <w:t>IR-001</w:t>
            </w:r>
          </w:p>
        </w:tc>
        <w:tc>
          <w:tcPr>
            <w:tcW w:type="dxa" w:w="1152"/>
            <w:vAlign w:val="center"/>
            <w:tcMar>
              <w:top w:w="70" w:type="dxa"/>
              <w:start w:w="90" w:type="dxa"/>
              <w:bottom w:w="70" w:type="dxa"/>
              <w:end w:w="90" w:type="dxa"/>
            </w:tcMar>
            <w:shd w:fill="F5F7F9"/>
          </w:tcPr>
          <w:p>
            <w:r/>
            <w:r>
              <w:rPr>
                <w:rFonts w:ascii="Liberation Sans" w:hAnsi="Liberation Sans"/>
                <w:b w:val="0"/>
                <w:sz w:val="13"/>
              </w:rPr>
              <w:t>TBD</w:t>
            </w:r>
          </w:p>
        </w:tc>
        <w:tc>
          <w:tcPr>
            <w:tcW w:type="dxa" w:w="1728"/>
            <w:vAlign w:val="center"/>
            <w:tcMar>
              <w:top w:w="70" w:type="dxa"/>
              <w:start w:w="90" w:type="dxa"/>
              <w:bottom w:w="70" w:type="dxa"/>
              <w:end w:w="90" w:type="dxa"/>
            </w:tcMar>
            <w:shd w:fill="F5F7F9"/>
          </w:tcPr>
          <w:p>
            <w:r/>
            <w:r>
              <w:rPr>
                <w:rFonts w:ascii="Liberation Sans" w:hAnsi="Liberation Sans"/>
                <w:b w:val="0"/>
                <w:sz w:val="13"/>
              </w:rPr>
              <w:t>Future</w:t>
            </w:r>
          </w:p>
        </w:tc>
        <w:tc>
          <w:tcPr>
            <w:tcW w:type="dxa" w:w="2304"/>
            <w:vAlign w:val="center"/>
            <w:tcMar>
              <w:top w:w="70" w:type="dxa"/>
              <w:start w:w="90" w:type="dxa"/>
              <w:bottom w:w="70" w:type="dxa"/>
              <w:end w:w="90" w:type="dxa"/>
            </w:tcMar>
            <w:shd w:fill="F5F7F9"/>
          </w:tcPr>
          <w:p>
            <w:r/>
            <w:r>
              <w:rPr>
                <w:rFonts w:ascii="Liberation Sans" w:hAnsi="Liberation Sans"/>
                <w:b w:val="0"/>
                <w:sz w:val="13"/>
              </w:rPr>
              <w:t>TBD</w:t>
            </w:r>
          </w:p>
        </w:tc>
        <w:tc>
          <w:tcPr>
            <w:tcW w:type="dxa" w:w="3168"/>
            <w:vAlign w:val="center"/>
            <w:tcMar>
              <w:top w:w="70" w:type="dxa"/>
              <w:start w:w="90" w:type="dxa"/>
              <w:bottom w:w="70" w:type="dxa"/>
              <w:end w:w="90" w:type="dxa"/>
            </w:tcMar>
            <w:shd w:fill="F5F7F9"/>
          </w:tcPr>
          <w:p>
            <w:r/>
            <w:r>
              <w:rPr>
                <w:rFonts w:ascii="Liberation Sans" w:hAnsi="Liberation Sans"/>
                <w:b w:val="0"/>
                <w:sz w:val="13"/>
              </w:rPr>
              <w:t>TBD</w:t>
            </w:r>
          </w:p>
        </w:tc>
        <w:tc>
          <w:tcPr>
            <w:tcW w:type="dxa" w:w="1440"/>
            <w:vAlign w:val="center"/>
            <w:tcMar>
              <w:top w:w="70" w:type="dxa"/>
              <w:start w:w="90" w:type="dxa"/>
              <w:bottom w:w="70" w:type="dxa"/>
              <w:end w:w="90" w:type="dxa"/>
            </w:tcMar>
            <w:shd w:fill="F5F7F9"/>
          </w:tcPr>
          <w:p>
            <w:r/>
            <w:r>
              <w:rPr>
                <w:rFonts w:ascii="Liberation Sans" w:hAnsi="Liberation Sans"/>
                <w:b w:val="0"/>
                <w:sz w:val="13"/>
              </w:rPr>
              <w:t>TBD</w:t>
            </w:r>
          </w:p>
        </w:tc>
        <w:tc>
          <w:tcPr>
            <w:tcW w:type="dxa" w:w="1872"/>
            <w:vAlign w:val="center"/>
            <w:tcMar>
              <w:top w:w="70" w:type="dxa"/>
              <w:start w:w="90" w:type="dxa"/>
              <w:bottom w:w="70" w:type="dxa"/>
              <w:end w:w="90" w:type="dxa"/>
            </w:tcMar>
            <w:shd w:fill="F5F7F9"/>
          </w:tcPr>
          <w:p>
            <w:r/>
            <w:r>
              <w:rPr>
                <w:rFonts w:ascii="Liberation Sans" w:hAnsi="Liberation Sans"/>
                <w:b w:val="0"/>
                <w:sz w:val="13"/>
              </w:rPr>
              <w:t>TBD</w:t>
            </w:r>
          </w:p>
        </w:tc>
        <w:tc>
          <w:tcPr>
            <w:tcW w:type="dxa" w:w="2016"/>
            <w:vAlign w:val="center"/>
            <w:tcMar>
              <w:top w:w="70" w:type="dxa"/>
              <w:start w:w="90" w:type="dxa"/>
              <w:bottom w:w="70" w:type="dxa"/>
              <w:end w:w="90" w:type="dxa"/>
            </w:tcMar>
            <w:shd w:fill="F5F7F9"/>
          </w:tcPr>
          <w:p>
            <w:r/>
            <w:r>
              <w:rPr>
                <w:rFonts w:ascii="Liberation Sans" w:hAnsi="Liberation Sans"/>
                <w:b w:val="0"/>
                <w:sz w:val="13"/>
              </w:rPr>
              <w:t>TBD</w:t>
            </w:r>
          </w:p>
        </w:tc>
      </w:tr>
      <w:tr>
        <w:tc>
          <w:tcPr>
            <w:tcW w:type="dxa" w:w="1080"/>
            <w:vAlign w:val="center"/>
            <w:tcMar>
              <w:top w:w="70" w:type="dxa"/>
              <w:start w:w="90" w:type="dxa"/>
              <w:bottom w:w="70" w:type="dxa"/>
              <w:end w:w="90" w:type="dxa"/>
            </w:tcMar>
          </w:tcPr>
          <w:p>
            <w:r/>
            <w:r>
              <w:rPr>
                <w:rFonts w:ascii="Liberation Sans" w:hAnsi="Liberation Sans"/>
                <w:b w:val="0"/>
                <w:sz w:val="13"/>
              </w:rPr>
              <w:t>IR-002</w:t>
            </w:r>
          </w:p>
        </w:tc>
        <w:tc>
          <w:tcPr>
            <w:tcW w:type="dxa" w:w="1152"/>
            <w:vAlign w:val="center"/>
            <w:tcMar>
              <w:top w:w="70" w:type="dxa"/>
              <w:start w:w="90" w:type="dxa"/>
              <w:bottom w:w="70" w:type="dxa"/>
              <w:end w:w="90" w:type="dxa"/>
            </w:tcMar>
          </w:tcPr>
          <w:p>
            <w:r/>
            <w:r>
              <w:rPr>
                <w:rFonts w:ascii="Liberation Sans" w:hAnsi="Liberation Sans"/>
                <w:b w:val="0"/>
                <w:sz w:val="13"/>
              </w:rPr>
              <w:t>TBD</w:t>
            </w:r>
          </w:p>
        </w:tc>
        <w:tc>
          <w:tcPr>
            <w:tcW w:type="dxa" w:w="1728"/>
            <w:vAlign w:val="center"/>
            <w:tcMar>
              <w:top w:w="70" w:type="dxa"/>
              <w:start w:w="90" w:type="dxa"/>
              <w:bottom w:w="70" w:type="dxa"/>
              <w:end w:w="90" w:type="dxa"/>
            </w:tcMar>
          </w:tcPr>
          <w:p>
            <w:r/>
            <w:r>
              <w:rPr>
                <w:rFonts w:ascii="Liberation Sans" w:hAnsi="Liberation Sans"/>
                <w:b w:val="0"/>
                <w:sz w:val="13"/>
              </w:rPr>
              <w:t>Future</w:t>
            </w:r>
          </w:p>
        </w:tc>
        <w:tc>
          <w:tcPr>
            <w:tcW w:type="dxa" w:w="2304"/>
            <w:vAlign w:val="center"/>
            <w:tcMar>
              <w:top w:w="70" w:type="dxa"/>
              <w:start w:w="90" w:type="dxa"/>
              <w:bottom w:w="70" w:type="dxa"/>
              <w:end w:w="90" w:type="dxa"/>
            </w:tcMar>
          </w:tcPr>
          <w:p>
            <w:r/>
            <w:r>
              <w:rPr>
                <w:rFonts w:ascii="Liberation Sans" w:hAnsi="Liberation Sans"/>
                <w:b w:val="0"/>
                <w:sz w:val="13"/>
              </w:rPr>
              <w:t>TBD</w:t>
            </w:r>
          </w:p>
        </w:tc>
        <w:tc>
          <w:tcPr>
            <w:tcW w:type="dxa" w:w="3168"/>
            <w:vAlign w:val="center"/>
            <w:tcMar>
              <w:top w:w="70" w:type="dxa"/>
              <w:start w:w="90" w:type="dxa"/>
              <w:bottom w:w="70" w:type="dxa"/>
              <w:end w:w="90" w:type="dxa"/>
            </w:tcMar>
          </w:tcPr>
          <w:p>
            <w:r/>
            <w:r>
              <w:rPr>
                <w:rFonts w:ascii="Liberation Sans" w:hAnsi="Liberation Sans"/>
                <w:b w:val="0"/>
                <w:sz w:val="13"/>
              </w:rPr>
              <w:t>TBD</w:t>
            </w:r>
          </w:p>
        </w:tc>
        <w:tc>
          <w:tcPr>
            <w:tcW w:type="dxa" w:w="1440"/>
            <w:vAlign w:val="center"/>
            <w:tcMar>
              <w:top w:w="70" w:type="dxa"/>
              <w:start w:w="90" w:type="dxa"/>
              <w:bottom w:w="70" w:type="dxa"/>
              <w:end w:w="90" w:type="dxa"/>
            </w:tcMar>
          </w:tcPr>
          <w:p>
            <w:r/>
            <w:r>
              <w:rPr>
                <w:rFonts w:ascii="Liberation Sans" w:hAnsi="Liberation Sans"/>
                <w:b w:val="0"/>
                <w:sz w:val="13"/>
              </w:rPr>
              <w:t>TBD</w:t>
            </w:r>
          </w:p>
        </w:tc>
        <w:tc>
          <w:tcPr>
            <w:tcW w:type="dxa" w:w="1872"/>
            <w:vAlign w:val="center"/>
            <w:tcMar>
              <w:top w:w="70" w:type="dxa"/>
              <w:start w:w="90" w:type="dxa"/>
              <w:bottom w:w="70" w:type="dxa"/>
              <w:end w:w="90" w:type="dxa"/>
            </w:tcMar>
          </w:tcPr>
          <w:p>
            <w:r/>
            <w:r>
              <w:rPr>
                <w:rFonts w:ascii="Liberation Sans" w:hAnsi="Liberation Sans"/>
                <w:b w:val="0"/>
                <w:sz w:val="13"/>
              </w:rPr>
              <w:t>TBD</w:t>
            </w:r>
          </w:p>
        </w:tc>
        <w:tc>
          <w:tcPr>
            <w:tcW w:type="dxa" w:w="2016"/>
            <w:vAlign w:val="center"/>
            <w:tcMar>
              <w:top w:w="70" w:type="dxa"/>
              <w:start w:w="90" w:type="dxa"/>
              <w:bottom w:w="70" w:type="dxa"/>
              <w:end w:w="90" w:type="dxa"/>
            </w:tcMar>
          </w:tcPr>
          <w:p>
            <w:r/>
            <w:r>
              <w:rPr>
                <w:rFonts w:ascii="Liberation Sans" w:hAnsi="Liberation Sans"/>
                <w:b w:val="0"/>
                <w:sz w:val="13"/>
              </w:rPr>
              <w:t>TBD</w:t>
            </w:r>
          </w:p>
        </w:tc>
      </w:tr>
    </w:tbl>
    <w:p>
      <w:pPr>
        <w:spacing w:after="0"/>
      </w:pPr>
    </w:p>
    <w:p>
      <w:pPr>
        <w:pStyle w:val="Heading1"/>
      </w:pPr>
      <w:r>
        <w:t>7. Stop-Use Criteria</w:t>
      </w:r>
    </w:p>
    <w:p>
      <w:pPr>
        <w:pStyle w:val="ListBullet"/>
        <w:spacing w:after="40"/>
      </w:pPr>
      <w:r>
        <w:t>Evidence of systemic discriminatory ranking or serious rights impact.</w:t>
      </w:r>
    </w:p>
    <w:p>
      <w:pPr>
        <w:pStyle w:val="ListBullet"/>
        <w:spacing w:after="40"/>
      </w:pPr>
      <w:r>
        <w:t>Loss of meaningful human oversight or unauthorized automatic rejection/hiring.</w:t>
      </w:r>
    </w:p>
    <w:p>
      <w:pPr>
        <w:pStyle w:val="ListBullet"/>
        <w:spacing w:after="40"/>
      </w:pPr>
      <w:r>
        <w:t>Material data leakage, model compromise or corrupted ranking logic.</w:t>
      </w:r>
    </w:p>
    <w:p>
      <w:pPr>
        <w:pStyle w:val="ListBullet"/>
        <w:spacing w:after="40"/>
      </w:pPr>
      <w:r>
        <w:t>Inability to provide correction, challenge or human reconsideration for materially affected applicants.</w:t>
      </w:r>
    </w:p>
    <w:p>
      <w:pPr>
        <w:pStyle w:val="ListBullet"/>
        <w:spacing w:after="40"/>
      </w:pPr>
      <w:r>
        <w:t>Material accessibility failure without an effective alternative route.</w:t>
      </w:r>
    </w:p>
    <w:p>
      <w:pPr>
        <w:pStyle w:val="ListBullet"/>
        <w:spacing w:after="40"/>
      </w:pPr>
      <w:r>
        <w:t>Unvalidated model/provider/data change that invalidates prior assessment evidence.</w:t>
      </w:r>
    </w:p>
    <w:p>
      <w:pPr>
        <w:pStyle w:val="ListBullet"/>
        <w:spacing w:after="40"/>
      </w:pPr>
      <w:r>
        <w:t>Any use found incompatible with applicable law or Duckworks risk appetite.</w:t>
      </w:r>
    </w:p>
    <w:p>
      <w:pPr>
        <w:pStyle w:val="Heading1"/>
      </w:pPr>
      <w:r>
        <w:t>8. Governance Decision</w:t>
      </w:r>
    </w:p>
    <w:tbl>
      <w:tblPr>
        <w:tblW w:type="auto" w:w="0"/>
        <w:jc w:val="left"/>
        <w:tblLook w:firstColumn="1" w:firstRow="1" w:lastColumn="0" w:lastRow="0" w:noHBand="0" w:noVBand="1" w:val="04A0"/>
      </w:tblPr>
      <w:tblGrid>
        <w:gridCol w:w="10166"/>
      </w:tblGrid>
      <w:tr>
        <w:tc>
          <w:tcPr>
            <w:tcW w:type="dxa" w:w="10166"/>
            <w:shd w:fill="EAF2F4"/>
            <w:tcMar>
              <w:top w:w="100" w:type="dxa"/>
              <w:start w:w="120" w:type="dxa"/>
              <w:bottom w:w="100" w:type="dxa"/>
              <w:end w:w="120" w:type="dxa"/>
            </w:tcMar>
          </w:tcPr>
          <w:p>
            <w:pPr>
              <w:pStyle w:val="Callout"/>
            </w:pPr>
            <w:r/>
            <w:r>
              <w:rPr>
                <w:b/>
                <w:color w:val="17324D"/>
              </w:rPr>
              <w:t xml:space="preserve">Current state. </w:t>
            </w:r>
            <w:r>
              <w:t>Iterative review controls are designed but cannot be considered operational until DuckTalent reaches an approved pilot or production state. The current baseline review preserves the DO NOT DEPLOY decision.</w:t>
            </w:r>
          </w:p>
        </w:tc>
      </w:tr>
    </w:tbl>
    <w:p>
      <w:pPr>
        <w:spacing w:after="0"/>
      </w:pPr>
    </w:p>
    <w:p>
      <w:pPr>
        <w:pStyle w:val="Heading1"/>
      </w:pPr>
      <w:r>
        <w:t>Source Basis</w:t>
      </w:r>
    </w:p>
    <w:p>
      <w:pPr>
        <w:pStyle w:val="ListBullet"/>
        <w:spacing w:after="40"/>
      </w:pPr>
      <w:r>
        <w:t>Council of Europe, HUDERIA - Methodology and Model (2026), approved Methodology 26 February 2025 and Model: COBRA 25 February 2026; official consolidated publication dated April 2026.</w:t>
      </w:r>
    </w:p>
    <w:p>
      <w:pPr>
        <w:pStyle w:val="ListBullet"/>
        <w:spacing w:after="40"/>
      </w:pPr>
      <w:r>
        <w:t>Council of Europe official HUDERIA webpage and Framework Convention on Artificial Intelligence and Human Rights, Democracy and the Rule of Law webpage.</w:t>
      </w:r>
    </w:p>
    <w:p>
      <w:pPr>
        <w:pStyle w:val="ListBullet"/>
        <w:spacing w:after="40"/>
      </w:pPr>
      <w:r>
        <w:t>Duckworks controlled project artifacts: Business Scenario; Business Use Case Portfolio; Stakeholder Register; Assumptions Register; AI Risk Classification &amp; Assessment Methodology; AI RACI; AI Governance Lifecycle SOP; Algorithmic Impact Assessment; EU FRIA; GDPR DPIA; Acceptance Criteria.</w:t>
      </w:r>
    </w:p>
    <w:p>
      <w:r>
        <w:rPr>
          <w:b/>
        </w:rPr>
        <w:t xml:space="preserve">Official HUDERIA publication: </w:t>
      </w:r>
      <w:r>
        <w:t>https://rm.coe.int/prems-002726-gbr-2006-huderia-texte-web-a4/48802ba7b1</w:t>
      </w:r>
    </w:p>
    <w:p>
      <w:r>
        <w:rPr>
          <w:b/>
        </w:rPr>
        <w:t xml:space="preserve">Official HUDERIA page: </w:t>
      </w:r>
      <w:r>
        <w:t>https://www.coe.int/en/web/artificial-intelligence/huderia-risk-and-impact-assessment-of-ai-systems</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Liberation Sans" w:hAnsi="Liberation Sans"/>
        <w:color w:val="5C6770"/>
        <w:sz w:val="15"/>
      </w:rPr>
      <w:t>DW-WING-HUD-06 | Version 1.0 | Fictional portfolio / synthetic / non-production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Liberation Sans" w:hAnsi="Liberation Sans"/>
        <w:b/>
        <w:color w:val="0F6B72"/>
        <w:sz w:val="16"/>
      </w:rPr>
      <w:t>DUCKWORKS | PROJECT W.I.N.G. | ITERATIVE REVIEW | DUCKTALENT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Liberation Sans" w:hAnsi="Liberation Sans"/>
      <w:color w:val="1F29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Liberation Sans" w:hAnsi="Liberation Sans"/>
      <w:b/>
      <w:bCs/>
      <w:color w:val="17324D"/>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Liberation Sans" w:hAnsi="Liberation Sans"/>
      <w:b/>
      <w:bCs/>
      <w:color w:val="0F6B72"/>
      <w:sz w:val="25"/>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Liberation Sans" w:hAnsi="Liberation Sans"/>
      <w:b/>
      <w:bCs/>
      <w:color w:val="17324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Liberation Sans" w:hAnsi="Liberation Sans"/>
      <w:b/>
      <w:color w:val="17324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100" w:after="100"/>
      <w:ind w:left="259" w:right="259"/>
    </w:pPr>
    <w:rPr>
      <w:rFonts w:ascii="Liberation Sans" w:hAnsi="Liberation Sans"/>
      <w:b/>
      <w:color w:val="17324D"/>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