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320" w:after="160"/>
      </w:pPr>
      <w:r>
        <w:rPr>
          <w:rFonts w:ascii="Aptos" w:hAnsi="Aptos"/>
          <w:b/>
          <w:color w:val="2B6F6D"/>
          <w:sz w:val="26"/>
        </w:rPr>
        <w:t>DUCKWORKS</w:t>
      </w:r>
    </w:p>
    <w:p>
      <w:pPr>
        <w:pStyle w:val="Title"/>
        <w:widowControl/>
      </w:pPr>
      <w:r>
        <w:rPr>
          <w:rFonts w:ascii="Aptos" w:hAnsi="Aptos"/>
        </w:rPr>
        <w:t>GDPR Data Protection</w:t>
        <w:br/>
        <w:t>Impact Assessment (DPIA)</w:t>
      </w:r>
    </w:p>
    <w:p>
      <w:pPr>
        <w:widowControl/>
        <w:spacing w:after="80"/>
      </w:pPr>
      <w:r>
        <w:rPr>
          <w:rFonts w:ascii="Aptos" w:hAnsi="Aptos"/>
          <w:b/>
          <w:color w:val="20313E"/>
          <w:sz w:val="32"/>
        </w:rPr>
        <w:t>DuckTalent AI (AI-005)</w:t>
      </w:r>
    </w:p>
    <w:p>
      <w:pPr>
        <w:widowControl/>
        <w:spacing w:after="280"/>
      </w:pPr>
      <w:r>
        <w:rPr>
          <w:rFonts w:ascii="Aptos" w:hAnsi="Aptos"/>
          <w:i/>
          <w:color w:val="5B6770"/>
          <w:sz w:val="21"/>
        </w:rPr>
        <w:t>Recruitment screening, candidate ranking, and human decision support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664"/>
            <w:vAlign w:val="center"/>
            <w:tcMar>
              <w:top w:w="70" w:type="dxa"/>
              <w:start w:w="80" w:type="dxa"/>
              <w:bottom w:w="70" w:type="dxa"/>
              <w:end w:w="80" w:type="dxa"/>
            </w:tcMar>
            <w:shd w:fill="173B57"/>
          </w:tcPr>
          <w:p>
            <w:pPr>
              <w:spacing w:after="20" w:before="0" w:line="240" w:lineRule="auto"/>
            </w:pPr>
            <w:r>
              <w:rPr>
                <w:rFonts w:ascii="Aptos" w:hAnsi="Aptos"/>
                <w:b/>
                <w:color w:val="FFFFFF"/>
                <w:sz w:val="17"/>
              </w:rPr>
              <w:t>Document field</w:t>
            </w:r>
          </w:p>
        </w:tc>
        <w:tc>
          <w:tcPr>
            <w:tcW w:type="dxa" w:w="6696"/>
            <w:vAlign w:val="center"/>
            <w:tcMar>
              <w:top w:w="70" w:type="dxa"/>
              <w:start w:w="80" w:type="dxa"/>
              <w:bottom w:w="70" w:type="dxa"/>
              <w:end w:w="80" w:type="dxa"/>
            </w:tcMar>
            <w:shd w:fill="173B57"/>
          </w:tcPr>
          <w:p>
            <w:pPr>
              <w:spacing w:after="20" w:before="0" w:line="240" w:lineRule="auto"/>
            </w:pPr>
            <w:r>
              <w:rPr>
                <w:rFonts w:ascii="Aptos" w:hAnsi="Aptos"/>
                <w:b/>
                <w:color w:val="FFFFFF"/>
                <w:sz w:val="17"/>
              </w:rPr>
              <w:t>Value</w:t>
            </w:r>
          </w:p>
        </w:tc>
      </w:tr>
      <w:tr>
        <w:tc>
          <w:tcPr>
            <w:tcW w:type="dxa" w:w="2664"/>
            <w:vAlign w:val="center"/>
            <w:tcMar>
              <w:top w:w="70" w:type="dxa"/>
              <w:start w:w="80" w:type="dxa"/>
              <w:bottom w:w="70" w:type="dxa"/>
              <w:end w:w="80" w:type="dxa"/>
            </w:tcMar>
          </w:tcPr>
          <w:p>
            <w:pPr>
              <w:spacing w:after="20" w:before="0" w:line="240" w:lineRule="auto"/>
            </w:pPr>
            <w:r>
              <w:rPr>
                <w:rFonts w:ascii="Aptos" w:hAnsi="Aptos"/>
                <w:sz w:val="17"/>
              </w:rPr>
              <w:t>Document ID</w:t>
            </w:r>
          </w:p>
        </w:tc>
        <w:tc>
          <w:tcPr>
            <w:tcW w:type="dxa" w:w="6696"/>
            <w:vAlign w:val="center"/>
            <w:tcMar>
              <w:top w:w="70" w:type="dxa"/>
              <w:start w:w="80" w:type="dxa"/>
              <w:bottom w:w="70" w:type="dxa"/>
              <w:end w:w="80" w:type="dxa"/>
            </w:tcMar>
          </w:tcPr>
          <w:p>
            <w:pPr>
              <w:spacing w:after="20" w:before="0" w:line="240" w:lineRule="auto"/>
            </w:pPr>
            <w:r>
              <w:rPr>
                <w:rFonts w:ascii="Aptos" w:hAnsi="Aptos"/>
                <w:sz w:val="17"/>
              </w:rPr>
              <w:t>DW-WING-PRIV-01</w:t>
            </w:r>
          </w:p>
        </w:tc>
      </w:tr>
      <w:tr>
        <w:tc>
          <w:tcPr>
            <w:tcW w:type="dxa" w:w="2664"/>
            <w:vAlign w:val="center"/>
            <w:tcMar>
              <w:top w:w="70" w:type="dxa"/>
              <w:start w:w="80" w:type="dxa"/>
              <w:bottom w:w="70" w:type="dxa"/>
              <w:end w:w="80" w:type="dxa"/>
            </w:tcMar>
            <w:shd w:fill="F7F9FA"/>
          </w:tcPr>
          <w:p>
            <w:pPr>
              <w:spacing w:after="20" w:before="0" w:line="240" w:lineRule="auto"/>
            </w:pPr>
            <w:r>
              <w:rPr>
                <w:rFonts w:ascii="Aptos" w:hAnsi="Aptos"/>
                <w:sz w:val="17"/>
              </w:rPr>
              <w:t>Version</w:t>
            </w:r>
          </w:p>
        </w:tc>
        <w:tc>
          <w:tcPr>
            <w:tcW w:type="dxa" w:w="6696"/>
            <w:vAlign w:val="center"/>
            <w:tcMar>
              <w:top w:w="70" w:type="dxa"/>
              <w:start w:w="80" w:type="dxa"/>
              <w:bottom w:w="70" w:type="dxa"/>
              <w:end w:w="80" w:type="dxa"/>
            </w:tcMar>
            <w:shd w:fill="F7F9FA"/>
          </w:tcPr>
          <w:p>
            <w:pPr>
              <w:spacing w:after="20" w:before="0" w:line="240" w:lineRule="auto"/>
            </w:pPr>
            <w:r>
              <w:rPr>
                <w:rFonts w:ascii="Aptos" w:hAnsi="Aptos"/>
                <w:sz w:val="17"/>
              </w:rPr>
              <w:t>1.0</w:t>
            </w:r>
          </w:p>
        </w:tc>
      </w:tr>
      <w:tr>
        <w:tc>
          <w:tcPr>
            <w:tcW w:type="dxa" w:w="2664"/>
            <w:vAlign w:val="center"/>
            <w:tcMar>
              <w:top w:w="70" w:type="dxa"/>
              <w:start w:w="80" w:type="dxa"/>
              <w:bottom w:w="70" w:type="dxa"/>
              <w:end w:w="80" w:type="dxa"/>
            </w:tcMar>
          </w:tcPr>
          <w:p>
            <w:pPr>
              <w:spacing w:after="20" w:before="0" w:line="240" w:lineRule="auto"/>
            </w:pPr>
            <w:r>
              <w:rPr>
                <w:rFonts w:ascii="Aptos" w:hAnsi="Aptos"/>
                <w:sz w:val="17"/>
              </w:rPr>
              <w:t>Status</w:t>
            </w:r>
          </w:p>
        </w:tc>
        <w:tc>
          <w:tcPr>
            <w:tcW w:type="dxa" w:w="6696"/>
            <w:vAlign w:val="center"/>
            <w:tcMar>
              <w:top w:w="70" w:type="dxa"/>
              <w:start w:w="80" w:type="dxa"/>
              <w:bottom w:w="70" w:type="dxa"/>
              <w:end w:w="80" w:type="dxa"/>
            </w:tcMar>
          </w:tcPr>
          <w:p>
            <w:pPr>
              <w:spacing w:after="20" w:before="0" w:line="240" w:lineRule="auto"/>
            </w:pPr>
            <w:r>
              <w:rPr>
                <w:rFonts w:ascii="Aptos" w:hAnsi="Aptos"/>
                <w:sz w:val="17"/>
              </w:rPr>
              <w:t>Draft for Governance / Privacy Review</w:t>
            </w:r>
          </w:p>
        </w:tc>
      </w:tr>
      <w:tr>
        <w:tc>
          <w:tcPr>
            <w:tcW w:type="dxa" w:w="2664"/>
            <w:vAlign w:val="center"/>
            <w:tcMar>
              <w:top w:w="70" w:type="dxa"/>
              <w:start w:w="80" w:type="dxa"/>
              <w:bottom w:w="70" w:type="dxa"/>
              <w:end w:w="80" w:type="dxa"/>
            </w:tcMar>
            <w:shd w:fill="F7F9FA"/>
          </w:tcPr>
          <w:p>
            <w:pPr>
              <w:spacing w:after="20" w:before="0" w:line="240" w:lineRule="auto"/>
            </w:pPr>
            <w:r>
              <w:rPr>
                <w:rFonts w:ascii="Aptos" w:hAnsi="Aptos"/>
                <w:sz w:val="17"/>
              </w:rPr>
              <w:t>Assessment date</w:t>
            </w:r>
          </w:p>
        </w:tc>
        <w:tc>
          <w:tcPr>
            <w:tcW w:type="dxa" w:w="6696"/>
            <w:vAlign w:val="center"/>
            <w:tcMar>
              <w:top w:w="70" w:type="dxa"/>
              <w:start w:w="80" w:type="dxa"/>
              <w:bottom w:w="70" w:type="dxa"/>
              <w:end w:w="80" w:type="dxa"/>
            </w:tcMar>
            <w:shd w:fill="F7F9FA"/>
          </w:tcPr>
          <w:p>
            <w:pPr>
              <w:spacing w:after="20" w:before="0" w:line="240" w:lineRule="auto"/>
            </w:pPr>
            <w:r>
              <w:rPr>
                <w:rFonts w:ascii="Aptos" w:hAnsi="Aptos"/>
                <w:sz w:val="17"/>
              </w:rPr>
              <w:t>9 August 2026</w:t>
            </w:r>
          </w:p>
        </w:tc>
      </w:tr>
      <w:tr>
        <w:tc>
          <w:tcPr>
            <w:tcW w:type="dxa" w:w="2664"/>
            <w:vAlign w:val="center"/>
            <w:tcMar>
              <w:top w:w="70" w:type="dxa"/>
              <w:start w:w="80" w:type="dxa"/>
              <w:bottom w:w="70" w:type="dxa"/>
              <w:end w:w="80" w:type="dxa"/>
            </w:tcMar>
          </w:tcPr>
          <w:p>
            <w:pPr>
              <w:spacing w:after="20" w:before="0" w:line="240" w:lineRule="auto"/>
            </w:pPr>
            <w:r>
              <w:rPr>
                <w:rFonts w:ascii="Aptos" w:hAnsi="Aptos"/>
                <w:sz w:val="17"/>
              </w:rPr>
              <w:t>Organization</w:t>
            </w:r>
          </w:p>
        </w:tc>
        <w:tc>
          <w:tcPr>
            <w:tcW w:type="dxa" w:w="6696"/>
            <w:vAlign w:val="center"/>
            <w:tcMar>
              <w:top w:w="70" w:type="dxa"/>
              <w:start w:w="80" w:type="dxa"/>
              <w:bottom w:w="70" w:type="dxa"/>
              <w:end w:w="80" w:type="dxa"/>
            </w:tcMar>
          </w:tcPr>
          <w:p>
            <w:pPr>
              <w:spacing w:after="20" w:before="0" w:line="240" w:lineRule="auto"/>
            </w:pPr>
            <w:r>
              <w:rPr>
                <w:rFonts w:ascii="Aptos" w:hAnsi="Aptos"/>
                <w:sz w:val="17"/>
              </w:rPr>
              <w:t>Duckworks (fictional)</w:t>
            </w:r>
          </w:p>
        </w:tc>
      </w:tr>
      <w:tr>
        <w:tc>
          <w:tcPr>
            <w:tcW w:type="dxa" w:w="2664"/>
            <w:vAlign w:val="center"/>
            <w:tcMar>
              <w:top w:w="70" w:type="dxa"/>
              <w:start w:w="80" w:type="dxa"/>
              <w:bottom w:w="70" w:type="dxa"/>
              <w:end w:w="80" w:type="dxa"/>
            </w:tcMar>
            <w:shd w:fill="F7F9FA"/>
          </w:tcPr>
          <w:p>
            <w:pPr>
              <w:spacing w:after="20" w:before="0" w:line="240" w:lineRule="auto"/>
            </w:pPr>
            <w:r>
              <w:rPr>
                <w:rFonts w:ascii="Aptos" w:hAnsi="Aptos"/>
                <w:sz w:val="17"/>
              </w:rPr>
              <w:t>System</w:t>
            </w:r>
          </w:p>
        </w:tc>
        <w:tc>
          <w:tcPr>
            <w:tcW w:type="dxa" w:w="6696"/>
            <w:vAlign w:val="center"/>
            <w:tcMar>
              <w:top w:w="70" w:type="dxa"/>
              <w:start w:w="80" w:type="dxa"/>
              <w:bottom w:w="70" w:type="dxa"/>
              <w:end w:w="80" w:type="dxa"/>
            </w:tcMar>
            <w:shd w:fill="F7F9FA"/>
          </w:tcPr>
          <w:p>
            <w:pPr>
              <w:spacing w:after="20" w:before="0" w:line="240" w:lineRule="auto"/>
            </w:pPr>
            <w:r>
              <w:rPr>
                <w:rFonts w:ascii="Aptos" w:hAnsi="Aptos"/>
                <w:sz w:val="17"/>
              </w:rPr>
              <w:t>DuckTalent AI (AI-005)</w:t>
            </w:r>
          </w:p>
        </w:tc>
      </w:tr>
      <w:tr>
        <w:tc>
          <w:tcPr>
            <w:tcW w:type="dxa" w:w="2664"/>
            <w:vAlign w:val="center"/>
            <w:tcMar>
              <w:top w:w="70" w:type="dxa"/>
              <w:start w:w="80" w:type="dxa"/>
              <w:bottom w:w="70" w:type="dxa"/>
              <w:end w:w="80" w:type="dxa"/>
            </w:tcMar>
          </w:tcPr>
          <w:p>
            <w:pPr>
              <w:spacing w:after="20" w:before="0" w:line="240" w:lineRule="auto"/>
            </w:pPr>
            <w:r>
              <w:rPr>
                <w:rFonts w:ascii="Aptos" w:hAnsi="Aptos"/>
                <w:sz w:val="17"/>
              </w:rPr>
              <w:t>Controller assumption</w:t>
            </w:r>
          </w:p>
        </w:tc>
        <w:tc>
          <w:tcPr>
            <w:tcW w:type="dxa" w:w="6696"/>
            <w:vAlign w:val="center"/>
            <w:tcMar>
              <w:top w:w="70" w:type="dxa"/>
              <w:start w:w="80" w:type="dxa"/>
              <w:bottom w:w="70" w:type="dxa"/>
              <w:end w:w="80" w:type="dxa"/>
            </w:tcMar>
          </w:tcPr>
          <w:p>
            <w:pPr>
              <w:spacing w:after="20" w:before="0" w:line="240" w:lineRule="auto"/>
            </w:pPr>
            <w:r>
              <w:rPr>
                <w:rFonts w:ascii="Aptos" w:hAnsi="Aptos"/>
                <w:sz w:val="17"/>
              </w:rPr>
              <w:t>Duckworks - subject to final Legal/DPO validation</w:t>
            </w:r>
          </w:p>
        </w:tc>
      </w:tr>
      <w:tr>
        <w:tc>
          <w:tcPr>
            <w:tcW w:type="dxa" w:w="2664"/>
            <w:vAlign w:val="center"/>
            <w:tcMar>
              <w:top w:w="70" w:type="dxa"/>
              <w:start w:w="80" w:type="dxa"/>
              <w:bottom w:w="70" w:type="dxa"/>
              <w:end w:w="80" w:type="dxa"/>
            </w:tcMar>
            <w:shd w:fill="F7F9FA"/>
          </w:tcPr>
          <w:p>
            <w:pPr>
              <w:spacing w:after="20" w:before="0" w:line="240" w:lineRule="auto"/>
            </w:pPr>
            <w:r>
              <w:rPr>
                <w:rFonts w:ascii="Aptos" w:hAnsi="Aptos"/>
                <w:sz w:val="17"/>
              </w:rPr>
              <w:t>DPO</w:t>
            </w:r>
          </w:p>
        </w:tc>
        <w:tc>
          <w:tcPr>
            <w:tcW w:type="dxa" w:w="6696"/>
            <w:vAlign w:val="center"/>
            <w:tcMar>
              <w:top w:w="70" w:type="dxa"/>
              <w:start w:w="80" w:type="dxa"/>
              <w:bottom w:w="70" w:type="dxa"/>
              <w:end w:w="80" w:type="dxa"/>
            </w:tcMar>
            <w:shd w:fill="F7F9FA"/>
          </w:tcPr>
          <w:p>
            <w:pPr>
              <w:spacing w:after="20" w:before="0" w:line="240" w:lineRule="auto"/>
            </w:pPr>
            <w:r>
              <w:rPr>
                <w:rFonts w:ascii="Aptos" w:hAnsi="Aptos"/>
                <w:sz w:val="17"/>
              </w:rPr>
              <w:t>Delia Duckham</w:t>
            </w:r>
          </w:p>
        </w:tc>
      </w:tr>
      <w:tr>
        <w:tc>
          <w:tcPr>
            <w:tcW w:type="dxa" w:w="2664"/>
            <w:vAlign w:val="center"/>
            <w:tcMar>
              <w:top w:w="70" w:type="dxa"/>
              <w:start w:w="80" w:type="dxa"/>
              <w:bottom w:w="70" w:type="dxa"/>
              <w:end w:w="80" w:type="dxa"/>
            </w:tcMar>
          </w:tcPr>
          <w:p>
            <w:pPr>
              <w:spacing w:after="20" w:before="0" w:line="240" w:lineRule="auto"/>
            </w:pPr>
            <w:r>
              <w:rPr>
                <w:rFonts w:ascii="Aptos" w:hAnsi="Aptos"/>
                <w:sz w:val="17"/>
              </w:rPr>
              <w:t>Business owner</w:t>
            </w:r>
          </w:p>
        </w:tc>
        <w:tc>
          <w:tcPr>
            <w:tcW w:type="dxa" w:w="6696"/>
            <w:vAlign w:val="center"/>
            <w:tcMar>
              <w:top w:w="70" w:type="dxa"/>
              <w:start w:w="80" w:type="dxa"/>
              <w:bottom w:w="70" w:type="dxa"/>
              <w:end w:w="80" w:type="dxa"/>
            </w:tcMar>
          </w:tcPr>
          <w:p>
            <w:pPr>
              <w:spacing w:after="20" w:before="0" w:line="240" w:lineRule="auto"/>
            </w:pPr>
            <w:r>
              <w:rPr>
                <w:rFonts w:ascii="Aptos" w:hAnsi="Aptos"/>
                <w:sz w:val="17"/>
              </w:rPr>
              <w:t>Beatrice Van Duck - Chief People Officer</w:t>
            </w:r>
          </w:p>
        </w:tc>
      </w:tr>
      <w:tr>
        <w:tc>
          <w:tcPr>
            <w:tcW w:type="dxa" w:w="2664"/>
            <w:vAlign w:val="center"/>
            <w:tcMar>
              <w:top w:w="70" w:type="dxa"/>
              <w:start w:w="80" w:type="dxa"/>
              <w:bottom w:w="70" w:type="dxa"/>
              <w:end w:w="80" w:type="dxa"/>
            </w:tcMar>
            <w:shd w:fill="F7F9FA"/>
          </w:tcPr>
          <w:p>
            <w:pPr>
              <w:spacing w:after="20" w:before="0" w:line="240" w:lineRule="auto"/>
            </w:pPr>
            <w:r>
              <w:rPr>
                <w:rFonts w:ascii="Aptos" w:hAnsi="Aptos"/>
                <w:sz w:val="17"/>
              </w:rPr>
              <w:t>Technical owner</w:t>
            </w:r>
          </w:p>
        </w:tc>
        <w:tc>
          <w:tcPr>
            <w:tcW w:type="dxa" w:w="6696"/>
            <w:vAlign w:val="center"/>
            <w:tcMar>
              <w:top w:w="70" w:type="dxa"/>
              <w:start w:w="80" w:type="dxa"/>
              <w:bottom w:w="70" w:type="dxa"/>
              <w:end w:w="80" w:type="dxa"/>
            </w:tcMar>
            <w:shd w:fill="F7F9FA"/>
          </w:tcPr>
          <w:p>
            <w:pPr>
              <w:spacing w:after="20" w:before="0" w:line="240" w:lineRule="auto"/>
            </w:pPr>
            <w:r>
              <w:rPr>
                <w:rFonts w:ascii="Aptos" w:hAnsi="Aptos"/>
                <w:sz w:val="17"/>
              </w:rPr>
              <w:t>Dr. Ada Duckfield - Head of Data &amp; AI</w:t>
            </w:r>
          </w:p>
        </w:tc>
      </w:tr>
      <w:tr>
        <w:tc>
          <w:tcPr>
            <w:tcW w:type="dxa" w:w="2664"/>
            <w:vAlign w:val="center"/>
            <w:tcMar>
              <w:top w:w="70" w:type="dxa"/>
              <w:start w:w="80" w:type="dxa"/>
              <w:bottom w:w="70" w:type="dxa"/>
              <w:end w:w="80" w:type="dxa"/>
            </w:tcMar>
          </w:tcPr>
          <w:p>
            <w:pPr>
              <w:spacing w:after="20" w:before="0" w:line="240" w:lineRule="auto"/>
            </w:pPr>
            <w:r>
              <w:rPr>
                <w:rFonts w:ascii="Aptos" w:hAnsi="Aptos"/>
                <w:sz w:val="17"/>
              </w:rPr>
              <w:t>Classification</w:t>
            </w:r>
          </w:p>
        </w:tc>
        <w:tc>
          <w:tcPr>
            <w:tcW w:type="dxa" w:w="6696"/>
            <w:vAlign w:val="center"/>
            <w:tcMar>
              <w:top w:w="70" w:type="dxa"/>
              <w:start w:w="80" w:type="dxa"/>
              <w:bottom w:w="70" w:type="dxa"/>
              <w:end w:w="80" w:type="dxa"/>
            </w:tcMar>
          </w:tcPr>
          <w:p>
            <w:pPr>
              <w:spacing w:after="20" w:before="0" w:line="240" w:lineRule="auto"/>
            </w:pPr>
            <w:r>
              <w:rPr>
                <w:rFonts w:ascii="Aptos" w:hAnsi="Aptos"/>
                <w:sz w:val="17"/>
              </w:rPr>
              <w:t>Portfolio / Synthetic / Non-production</w:t>
            </w:r>
          </w:p>
        </w:tc>
      </w:tr>
    </w:tbl>
    <w:p>
      <w:pPr>
        <w:widowControl/>
        <w:spacing w:after="0"/>
      </w:pPr>
    </w:p>
    <w:tbl>
      <w:tblPr>
        <w:tblW w:type="auto" w:w="0"/>
        <w:jc w:val="center"/>
        <w:tblLayout w:type="fixed"/>
        <w:tblLook w:firstColumn="1" w:firstRow="1" w:lastColumn="0" w:lastRow="0" w:noHBand="0" w:noVBand="1" w:val="04A0"/>
      </w:tblPr>
      <w:tblGrid>
        <w:gridCol w:w="10166"/>
      </w:tblGrid>
      <w:tr>
        <w:tc>
          <w:tcPr>
            <w:tcW w:type="dxa" w:w="9648"/>
            <w:shd w:fill="EAF3F2"/>
            <w:tcMar>
              <w:top w:w="110" w:type="dxa"/>
              <w:start w:w="130" w:type="dxa"/>
              <w:bottom w:w="110" w:type="dxa"/>
              <w:end w:w="130" w:type="dxa"/>
            </w:tcMar>
          </w:tcPr>
          <w:p>
            <w:pPr>
              <w:spacing w:after="40"/>
            </w:pPr>
            <w:r>
              <w:rPr>
                <w:b/>
                <w:color w:val="173B57"/>
                <w:sz w:val="19"/>
              </w:rPr>
              <w:t>Executive DPIA decision</w:t>
            </w:r>
          </w:p>
          <w:p>
            <w:pPr>
              <w:spacing w:after="0" w:line="247" w:lineRule="auto"/>
            </w:pPr>
            <w:r>
              <w:rPr>
                <w:sz w:val="17"/>
              </w:rPr>
              <w:t>Treat a GDPR DPIA as required before DuckTalent is deployed on the current project assumptions. The proposed processing uses AI to evaluate, compare and rank job applicants and may materially influence access to employment. Production remains blocked until the processing design, lawful basis, data flows, transparency, human oversight, vendor arrangements, data-subject rights, security safeguards, and evidence are validated. If high residual risk remains despite mitigation, prior consultation under GDPR Article 36 must be assessed before processing begins.</w:t>
            </w:r>
          </w:p>
        </w:tc>
      </w:tr>
    </w:tbl>
    <w:p>
      <w:pPr>
        <w:widowControl/>
        <w:spacing w:after="0"/>
      </w:pPr>
    </w:p>
    <w:p>
      <w:pPr>
        <w:pStyle w:val="SmallNote"/>
        <w:widowControl/>
      </w:pPr>
      <w:r>
        <w:rPr>
          <w:rFonts w:ascii="Aptos" w:hAnsi="Aptos"/>
        </w:rPr>
        <w:t>Portfolio disclaimer. Duckworks, Project W.I.N.G., all personnel, applicants, systems, datasets, decisions, incidents, risks, controls and evidence in this document are fictional and created solely for educational and professional portfolio purposes. This is not legal advice, a supervisory-authority filing, or evidence of regulatory compliance.</w:t>
      </w:r>
    </w:p>
    <w:p>
      <w:pPr>
        <w:widowControl/>
      </w:pPr>
      <w:r>
        <w:rPr>
          <w:rFonts w:ascii="Aptos" w:hAnsi="Aptos"/>
        </w:rPr>
        <w:br w:type="page"/>
      </w:r>
    </w:p>
    <w:p>
      <w:pPr>
        <w:pStyle w:val="Heading1"/>
        <w:keepNext/>
        <w:widowControl/>
      </w:pPr>
      <w:r>
        <w:rPr>
          <w:rFonts w:ascii="Aptos" w:hAnsi="Aptos"/>
        </w:rPr>
        <w:t>1. Executive Summary</w:t>
      </w:r>
    </w:p>
    <w:p>
      <w:pPr>
        <w:widowControl/>
      </w:pPr>
      <w:r>
        <w:rPr>
          <w:rFonts w:ascii="Aptos" w:hAnsi="Aptos"/>
        </w:rPr>
        <w:t>DuckTalent AI is a proposed recruitment decision-support capability intended to parse CVs, extract qualifications and experience, compare applicants against pre-approved job criteria, summarize applications, rank candidates and recommend candidates for further human review. It is not intended to make final hiring or rejection decisions autonomously.</w:t>
      </w:r>
    </w:p>
    <w:p>
      <w:pPr>
        <w:widowControl/>
      </w:pPr>
      <w:r>
        <w:rPr>
          <w:rFonts w:ascii="Aptos" w:hAnsi="Aptos"/>
        </w:rPr>
        <w:t>The Duckworks readiness assessment already treats DuckTalent as the most consequential governed AI use case because it can influence employment opportunities and creates material fairness, discrimination, transparency, privacy, explainability, automation-bias and contestability concerns. The current governance gate is “Do not deploy in current state”.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528"/>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DPIA question</w:t>
            </w:r>
          </w:p>
        </w:tc>
        <w:tc>
          <w:tcPr>
            <w:tcW w:type="dxa" w:w="5832"/>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Current conclusion</w:t>
            </w:r>
          </w:p>
        </w:tc>
      </w:tr>
      <w:tr>
        <w:tc>
          <w:tcPr>
            <w:tcW w:type="dxa" w:w="3528"/>
            <w:vAlign w:val="center"/>
            <w:tcMar>
              <w:top w:w="70" w:type="dxa"/>
              <w:start w:w="80" w:type="dxa"/>
              <w:bottom w:w="70" w:type="dxa"/>
              <w:end w:w="80" w:type="dxa"/>
            </w:tcMar>
          </w:tcPr>
          <w:p>
            <w:pPr>
              <w:spacing w:after="20" w:before="0" w:line="240" w:lineRule="auto"/>
            </w:pPr>
            <w:r>
              <w:rPr>
                <w:rFonts w:ascii="Aptos" w:hAnsi="Aptos"/>
                <w:sz w:val="16"/>
              </w:rPr>
              <w:t>Is personal data processed?</w:t>
            </w:r>
          </w:p>
        </w:tc>
        <w:tc>
          <w:tcPr>
            <w:tcW w:type="dxa" w:w="5832"/>
            <w:vAlign w:val="center"/>
            <w:tcMar>
              <w:top w:w="70" w:type="dxa"/>
              <w:start w:w="80" w:type="dxa"/>
              <w:bottom w:w="70" w:type="dxa"/>
              <w:end w:w="80" w:type="dxa"/>
            </w:tcMar>
          </w:tcPr>
          <w:p>
            <w:pPr>
              <w:spacing w:after="20" w:before="0" w:line="240" w:lineRule="auto"/>
            </w:pPr>
            <w:r>
              <w:rPr>
                <w:rFonts w:ascii="Aptos" w:hAnsi="Aptos"/>
                <w:sz w:val="16"/>
              </w:rPr>
              <w:t>Yes - applicant and recruitment data, including derived rankings/summaries.</w:t>
            </w:r>
          </w:p>
        </w:tc>
      </w:tr>
      <w:tr>
        <w:tc>
          <w:tcPr>
            <w:tcW w:type="dxa" w:w="3528"/>
            <w:vAlign w:val="center"/>
            <w:tcMar>
              <w:top w:w="70" w:type="dxa"/>
              <w:start w:w="80" w:type="dxa"/>
              <w:bottom w:w="70" w:type="dxa"/>
              <w:end w:w="80" w:type="dxa"/>
            </w:tcMar>
            <w:shd w:fill="F7F9FA"/>
          </w:tcPr>
          <w:p>
            <w:pPr>
              <w:spacing w:after="20" w:before="0" w:line="240" w:lineRule="auto"/>
            </w:pPr>
            <w:r>
              <w:rPr>
                <w:rFonts w:ascii="Aptos" w:hAnsi="Aptos"/>
                <w:sz w:val="16"/>
              </w:rPr>
              <w:t>Is high-risk processing likely?</w:t>
            </w:r>
          </w:p>
        </w:tc>
        <w:tc>
          <w:tcPr>
            <w:tcW w:type="dxa" w:w="5832"/>
            <w:vAlign w:val="center"/>
            <w:tcMar>
              <w:top w:w="70" w:type="dxa"/>
              <w:start w:w="80" w:type="dxa"/>
              <w:bottom w:w="70" w:type="dxa"/>
              <w:end w:w="80" w:type="dxa"/>
            </w:tcMar>
            <w:shd w:fill="F7F9FA"/>
          </w:tcPr>
          <w:p>
            <w:pPr>
              <w:spacing w:after="20" w:before="0" w:line="240" w:lineRule="auto"/>
            </w:pPr>
            <w:r>
              <w:rPr>
                <w:rFonts w:ascii="Aptos" w:hAnsi="Aptos"/>
                <w:sz w:val="16"/>
              </w:rPr>
              <w:t>Yes on current assumptions; AI-supported systematic evaluation of applicants can materially affect employment opportunity.</w:t>
            </w:r>
          </w:p>
        </w:tc>
      </w:tr>
      <w:tr>
        <w:tc>
          <w:tcPr>
            <w:tcW w:type="dxa" w:w="3528"/>
            <w:vAlign w:val="center"/>
            <w:tcMar>
              <w:top w:w="70" w:type="dxa"/>
              <w:start w:w="80" w:type="dxa"/>
              <w:bottom w:w="70" w:type="dxa"/>
              <w:end w:w="80" w:type="dxa"/>
            </w:tcMar>
          </w:tcPr>
          <w:p>
            <w:pPr>
              <w:spacing w:after="20" w:before="0" w:line="240" w:lineRule="auto"/>
            </w:pPr>
            <w:r>
              <w:rPr>
                <w:rFonts w:ascii="Aptos" w:hAnsi="Aptos"/>
                <w:sz w:val="16"/>
              </w:rPr>
              <w:t>Is a DPIA required?</w:t>
            </w:r>
          </w:p>
        </w:tc>
        <w:tc>
          <w:tcPr>
            <w:tcW w:type="dxa" w:w="5832"/>
            <w:vAlign w:val="center"/>
            <w:tcMar>
              <w:top w:w="70" w:type="dxa"/>
              <w:start w:w="80" w:type="dxa"/>
              <w:bottom w:w="70" w:type="dxa"/>
              <w:end w:w="80" w:type="dxa"/>
            </w:tcMar>
          </w:tcPr>
          <w:p>
            <w:pPr>
              <w:spacing w:after="20" w:before="0" w:line="240" w:lineRule="auto"/>
            </w:pPr>
            <w:r>
              <w:rPr>
                <w:rFonts w:ascii="Aptos" w:hAnsi="Aptos"/>
                <w:sz w:val="16"/>
              </w:rPr>
              <w:t>Treat as required before deployment; final confirmation must consider the actual deployment and competent supervisory-authority list.</w:t>
            </w:r>
          </w:p>
        </w:tc>
      </w:tr>
      <w:tr>
        <w:tc>
          <w:tcPr>
            <w:tcW w:type="dxa" w:w="3528"/>
            <w:vAlign w:val="center"/>
            <w:tcMar>
              <w:top w:w="70" w:type="dxa"/>
              <w:start w:w="80" w:type="dxa"/>
              <w:bottom w:w="70" w:type="dxa"/>
              <w:end w:w="80" w:type="dxa"/>
            </w:tcMar>
            <w:shd w:fill="F7F9FA"/>
          </w:tcPr>
          <w:p>
            <w:pPr>
              <w:spacing w:after="20" w:before="0" w:line="240" w:lineRule="auto"/>
            </w:pPr>
            <w:r>
              <w:rPr>
                <w:rFonts w:ascii="Aptos" w:hAnsi="Aptos"/>
                <w:sz w:val="16"/>
              </w:rPr>
              <w:t>Is Article 22 solely automated decision-making intended?</w:t>
            </w:r>
          </w:p>
        </w:tc>
        <w:tc>
          <w:tcPr>
            <w:tcW w:type="dxa" w:w="5832"/>
            <w:vAlign w:val="center"/>
            <w:tcMar>
              <w:top w:w="70" w:type="dxa"/>
              <w:start w:w="80" w:type="dxa"/>
              <w:bottom w:w="70" w:type="dxa"/>
              <w:end w:w="80" w:type="dxa"/>
            </w:tcMar>
            <w:shd w:fill="F7F9FA"/>
          </w:tcPr>
          <w:p>
            <w:pPr>
              <w:spacing w:after="20" w:before="0" w:line="240" w:lineRule="auto"/>
            </w:pPr>
            <w:r>
              <w:rPr>
                <w:rFonts w:ascii="Aptos" w:hAnsi="Aptos"/>
                <w:sz w:val="16"/>
              </w:rPr>
              <w:t>No. Duckworks requires meaningful human review and prohibits autonomous hiring/rejection. De facto automation remains a risk to control.</w:t>
            </w:r>
          </w:p>
        </w:tc>
      </w:tr>
      <w:tr>
        <w:tc>
          <w:tcPr>
            <w:tcW w:type="dxa" w:w="3528"/>
            <w:vAlign w:val="center"/>
            <w:tcMar>
              <w:top w:w="70" w:type="dxa"/>
              <w:start w:w="80" w:type="dxa"/>
              <w:bottom w:w="70" w:type="dxa"/>
              <w:end w:w="80" w:type="dxa"/>
            </w:tcMar>
          </w:tcPr>
          <w:p>
            <w:pPr>
              <w:spacing w:after="20" w:before="0" w:line="240" w:lineRule="auto"/>
            </w:pPr>
            <w:r>
              <w:rPr>
                <w:rFonts w:ascii="Aptos" w:hAnsi="Aptos"/>
                <w:sz w:val="16"/>
              </w:rPr>
              <w:t>Is a lawful basis confirmed?</w:t>
            </w:r>
          </w:p>
        </w:tc>
        <w:tc>
          <w:tcPr>
            <w:tcW w:type="dxa" w:w="5832"/>
            <w:vAlign w:val="center"/>
            <w:tcMar>
              <w:top w:w="70" w:type="dxa"/>
              <w:start w:w="80" w:type="dxa"/>
              <w:bottom w:w="70" w:type="dxa"/>
              <w:end w:w="80" w:type="dxa"/>
            </w:tcMar>
          </w:tcPr>
          <w:p>
            <w:pPr>
              <w:spacing w:after="20" w:before="0" w:line="240" w:lineRule="auto"/>
            </w:pPr>
            <w:r>
              <w:rPr>
                <w:rFonts w:ascii="Aptos" w:hAnsi="Aptos"/>
                <w:sz w:val="16"/>
              </w:rPr>
              <w:t>No. Legal/DPO validation is a blocking action; national employment law and Article 88 context must be reviewed.</w:t>
            </w:r>
          </w:p>
        </w:tc>
      </w:tr>
      <w:tr>
        <w:tc>
          <w:tcPr>
            <w:tcW w:type="dxa" w:w="3528"/>
            <w:vAlign w:val="center"/>
            <w:tcMar>
              <w:top w:w="70" w:type="dxa"/>
              <w:start w:w="80" w:type="dxa"/>
              <w:bottom w:w="70" w:type="dxa"/>
              <w:end w:w="80" w:type="dxa"/>
            </w:tcMar>
            <w:shd w:fill="F7F9FA"/>
          </w:tcPr>
          <w:p>
            <w:pPr>
              <w:spacing w:after="20" w:before="0" w:line="240" w:lineRule="auto"/>
            </w:pPr>
            <w:r>
              <w:rPr>
                <w:rFonts w:ascii="Aptos" w:hAnsi="Aptos"/>
                <w:sz w:val="16"/>
              </w:rPr>
              <w:t>Are special-category data intended?</w:t>
            </w:r>
          </w:p>
        </w:tc>
        <w:tc>
          <w:tcPr>
            <w:tcW w:type="dxa" w:w="5832"/>
            <w:vAlign w:val="center"/>
            <w:tcMar>
              <w:top w:w="70" w:type="dxa"/>
              <w:start w:w="80" w:type="dxa"/>
              <w:bottom w:w="70" w:type="dxa"/>
              <w:end w:w="80" w:type="dxa"/>
            </w:tcMar>
            <w:shd w:fill="F7F9FA"/>
          </w:tcPr>
          <w:p>
            <w:pPr>
              <w:spacing w:after="20" w:before="0" w:line="240" w:lineRule="auto"/>
            </w:pPr>
            <w:r>
              <w:rPr>
                <w:rFonts w:ascii="Aptos" w:hAnsi="Aptos"/>
                <w:sz w:val="16"/>
              </w:rPr>
              <w:t>No. Such data may appear incidentally in CVs or be inferred; collection/use should be minimized and prohibited unless a lawful exception and safeguards are established.</w:t>
            </w:r>
          </w:p>
        </w:tc>
      </w:tr>
      <w:tr>
        <w:tc>
          <w:tcPr>
            <w:tcW w:type="dxa" w:w="3528"/>
            <w:vAlign w:val="center"/>
            <w:tcMar>
              <w:top w:w="70" w:type="dxa"/>
              <w:start w:w="80" w:type="dxa"/>
              <w:bottom w:w="70" w:type="dxa"/>
              <w:end w:w="80" w:type="dxa"/>
            </w:tcMar>
          </w:tcPr>
          <w:p>
            <w:pPr>
              <w:spacing w:after="20" w:before="0" w:line="240" w:lineRule="auto"/>
            </w:pPr>
            <w:r>
              <w:rPr>
                <w:rFonts w:ascii="Aptos" w:hAnsi="Aptos"/>
                <w:sz w:val="16"/>
              </w:rPr>
              <w:t>Can processing proceed now?</w:t>
            </w:r>
          </w:p>
        </w:tc>
        <w:tc>
          <w:tcPr>
            <w:tcW w:type="dxa" w:w="5832"/>
            <w:vAlign w:val="center"/>
            <w:tcMar>
              <w:top w:w="70" w:type="dxa"/>
              <w:start w:w="80" w:type="dxa"/>
              <w:bottom w:w="70" w:type="dxa"/>
              <w:end w:w="80" w:type="dxa"/>
            </w:tcMar>
          </w:tcPr>
          <w:p>
            <w:pPr>
              <w:spacing w:after="20" w:before="0" w:line="240" w:lineRule="auto"/>
            </w:pPr>
            <w:r>
              <w:rPr>
                <w:rFonts w:ascii="Aptos" w:hAnsi="Aptos"/>
                <w:sz w:val="16"/>
              </w:rPr>
              <w:t>No. Production remains blocked pending closure of the DPIA action plan and the wider DuckTalent governance gates.</w:t>
            </w:r>
          </w:p>
        </w:tc>
      </w:tr>
      <w:tr>
        <w:tc>
          <w:tcPr>
            <w:tcW w:type="dxa" w:w="3528"/>
            <w:vAlign w:val="center"/>
            <w:tcMar>
              <w:top w:w="70" w:type="dxa"/>
              <w:start w:w="80" w:type="dxa"/>
              <w:bottom w:w="70" w:type="dxa"/>
              <w:end w:w="80" w:type="dxa"/>
            </w:tcMar>
            <w:shd w:fill="F7F9FA"/>
          </w:tcPr>
          <w:p>
            <w:pPr>
              <w:spacing w:after="20" w:before="0" w:line="240" w:lineRule="auto"/>
            </w:pPr>
            <w:r>
              <w:rPr>
                <w:rFonts w:ascii="Aptos" w:hAnsi="Aptos"/>
                <w:sz w:val="16"/>
              </w:rPr>
              <w:t>When is supervisory prior consultation relevant?</w:t>
            </w:r>
          </w:p>
        </w:tc>
        <w:tc>
          <w:tcPr>
            <w:tcW w:type="dxa" w:w="5832"/>
            <w:vAlign w:val="center"/>
            <w:tcMar>
              <w:top w:w="70" w:type="dxa"/>
              <w:start w:w="80" w:type="dxa"/>
              <w:bottom w:w="70" w:type="dxa"/>
              <w:end w:w="80" w:type="dxa"/>
            </w:tcMar>
            <w:shd w:fill="F7F9FA"/>
          </w:tcPr>
          <w:p>
            <w:pPr>
              <w:spacing w:after="20" w:before="0" w:line="240" w:lineRule="auto"/>
            </w:pPr>
            <w:r>
              <w:rPr>
                <w:rFonts w:ascii="Aptos" w:hAnsi="Aptos"/>
                <w:sz w:val="16"/>
              </w:rPr>
              <w:t>Where the DPIA shows high risk remaining in the absence of sufficient mitigating measures, Article 36 prior consultation must be assessed before processing.</w:t>
            </w:r>
          </w:p>
        </w:tc>
      </w:tr>
    </w:tbl>
    <w:p>
      <w:pPr>
        <w:widowControl/>
        <w:spacing w:after="0"/>
      </w:pPr>
    </w:p>
    <w:p>
      <w:pPr>
        <w:pStyle w:val="Heading1"/>
        <w:keepNext/>
        <w:widowControl/>
      </w:pPr>
      <w:r>
        <w:rPr>
          <w:rFonts w:ascii="Aptos" w:hAnsi="Aptos"/>
        </w:rPr>
        <w:t>2. DPIA Requirement and Legal Basis</w:t>
      </w:r>
    </w:p>
    <w:p>
      <w:pPr>
        <w:widowControl/>
      </w:pPr>
      <w:r>
        <w:rPr>
          <w:rFonts w:ascii="Aptos" w:hAnsi="Aptos"/>
        </w:rPr>
        <w:t>This section distinguishes binding GDPR obligations from Duckworks internal governance practice and project assumptions.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Source / provision</w:t>
            </w:r>
          </w:p>
        </w:tc>
        <w:tc>
          <w:tcPr>
            <w:tcW w:type="dxa" w:w="1800"/>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Status</w:t>
            </w:r>
          </w:p>
        </w:tc>
        <w:tc>
          <w:tcPr>
            <w:tcW w:type="dxa" w:w="4680"/>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Application to this DPIA</w:t>
            </w:r>
          </w:p>
        </w:tc>
      </w:tr>
      <w:tr>
        <w:tc>
          <w:tcPr>
            <w:tcW w:type="dxa" w:w="2880"/>
            <w:vAlign w:val="center"/>
            <w:tcMar>
              <w:top w:w="70" w:type="dxa"/>
              <w:start w:w="80" w:type="dxa"/>
              <w:bottom w:w="70" w:type="dxa"/>
              <w:end w:w="80" w:type="dxa"/>
            </w:tcMar>
          </w:tcPr>
          <w:p>
            <w:pPr>
              <w:spacing w:after="20" w:before="0" w:line="240" w:lineRule="auto"/>
            </w:pPr>
            <w:r>
              <w:rPr>
                <w:rFonts w:ascii="Aptos" w:hAnsi="Aptos"/>
                <w:sz w:val="15"/>
              </w:rPr>
              <w:t>GDPR Article 35(1)</w:t>
            </w:r>
          </w:p>
        </w:tc>
        <w:tc>
          <w:tcPr>
            <w:tcW w:type="dxa" w:w="1800"/>
            <w:vAlign w:val="center"/>
            <w:tcMar>
              <w:top w:w="70" w:type="dxa"/>
              <w:start w:w="80" w:type="dxa"/>
              <w:bottom w:w="70" w:type="dxa"/>
              <w:end w:w="80" w:type="dxa"/>
            </w:tcMar>
          </w:tcPr>
          <w:p>
            <w:pPr>
              <w:spacing w:after="20" w:before="0" w:line="240" w:lineRule="auto"/>
            </w:pPr>
            <w:r>
              <w:rPr>
                <w:rFonts w:ascii="Aptos" w:hAnsi="Aptos"/>
                <w:sz w:val="15"/>
              </w:rPr>
              <w:t>Binding where applicable</w:t>
            </w:r>
          </w:p>
        </w:tc>
        <w:tc>
          <w:tcPr>
            <w:tcW w:type="dxa" w:w="4680"/>
            <w:vAlign w:val="center"/>
            <w:tcMar>
              <w:top w:w="70" w:type="dxa"/>
              <w:start w:w="80" w:type="dxa"/>
              <w:bottom w:w="70" w:type="dxa"/>
              <w:end w:w="80" w:type="dxa"/>
            </w:tcMar>
          </w:tcPr>
          <w:p>
            <w:pPr>
              <w:spacing w:after="20" w:before="0" w:line="240" w:lineRule="auto"/>
            </w:pPr>
            <w:r>
              <w:rPr>
                <w:rFonts w:ascii="Aptos" w:hAnsi="Aptos"/>
                <w:sz w:val="15"/>
              </w:rPr>
              <w:t>Requires a DPIA before processing where a type of processing, including use of new technologies, is likely to result in high risk to rights and freedoms.</w:t>
            </w:r>
          </w:p>
        </w:tc>
      </w:tr>
      <w:tr>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5"/>
              </w:rPr>
              <w:t>GDPR Article 35(2)</w:t>
            </w:r>
          </w:p>
        </w:tc>
        <w:tc>
          <w:tcPr>
            <w:tcW w:type="dxa" w:w="1800"/>
            <w:vAlign w:val="center"/>
            <w:tcMar>
              <w:top w:w="70" w:type="dxa"/>
              <w:start w:w="80" w:type="dxa"/>
              <w:bottom w:w="70" w:type="dxa"/>
              <w:end w:w="80" w:type="dxa"/>
            </w:tcMar>
            <w:shd w:fill="F7F9FA"/>
          </w:tcPr>
          <w:p>
            <w:pPr>
              <w:spacing w:after="20" w:before="0" w:line="240" w:lineRule="auto"/>
            </w:pPr>
            <w:r>
              <w:rPr>
                <w:rFonts w:ascii="Aptos" w:hAnsi="Aptos"/>
                <w:sz w:val="15"/>
              </w:rPr>
              <w:t>Binding where applicable</w:t>
            </w:r>
          </w:p>
        </w:tc>
        <w:tc>
          <w:tcPr>
            <w:tcW w:type="dxa" w:w="4680"/>
            <w:vAlign w:val="center"/>
            <w:tcMar>
              <w:top w:w="70" w:type="dxa"/>
              <w:start w:w="80" w:type="dxa"/>
              <w:bottom w:w="70" w:type="dxa"/>
              <w:end w:w="80" w:type="dxa"/>
            </w:tcMar>
            <w:shd w:fill="F7F9FA"/>
          </w:tcPr>
          <w:p>
            <w:pPr>
              <w:spacing w:after="20" w:before="0" w:line="240" w:lineRule="auto"/>
            </w:pPr>
            <w:r>
              <w:rPr>
                <w:rFonts w:ascii="Aptos" w:hAnsi="Aptos"/>
                <w:sz w:val="15"/>
              </w:rPr>
              <w:t>The controller must seek the advice of the DPO, where designated, when carrying out the DPIA.</w:t>
            </w:r>
          </w:p>
        </w:tc>
      </w:tr>
      <w:tr>
        <w:tc>
          <w:tcPr>
            <w:tcW w:type="dxa" w:w="2880"/>
            <w:vAlign w:val="center"/>
            <w:tcMar>
              <w:top w:w="70" w:type="dxa"/>
              <w:start w:w="80" w:type="dxa"/>
              <w:bottom w:w="70" w:type="dxa"/>
              <w:end w:w="80" w:type="dxa"/>
            </w:tcMar>
          </w:tcPr>
          <w:p>
            <w:pPr>
              <w:spacing w:after="20" w:before="0" w:line="240" w:lineRule="auto"/>
            </w:pPr>
            <w:r>
              <w:rPr>
                <w:rFonts w:ascii="Aptos" w:hAnsi="Aptos"/>
                <w:sz w:val="15"/>
              </w:rPr>
              <w:t>GDPR Article 35(3)(a)</w:t>
            </w:r>
          </w:p>
        </w:tc>
        <w:tc>
          <w:tcPr>
            <w:tcW w:type="dxa" w:w="1800"/>
            <w:vAlign w:val="center"/>
            <w:tcMar>
              <w:top w:w="70" w:type="dxa"/>
              <w:start w:w="80" w:type="dxa"/>
              <w:bottom w:w="70" w:type="dxa"/>
              <w:end w:w="80" w:type="dxa"/>
            </w:tcMar>
          </w:tcPr>
          <w:p>
            <w:pPr>
              <w:spacing w:after="20" w:before="0" w:line="240" w:lineRule="auto"/>
            </w:pPr>
            <w:r>
              <w:rPr>
                <w:rFonts w:ascii="Aptos" w:hAnsi="Aptos"/>
                <w:sz w:val="15"/>
              </w:rPr>
              <w:t>Binding example</w:t>
            </w:r>
          </w:p>
        </w:tc>
        <w:tc>
          <w:tcPr>
            <w:tcW w:type="dxa" w:w="4680"/>
            <w:vAlign w:val="center"/>
            <w:tcMar>
              <w:top w:w="70" w:type="dxa"/>
              <w:start w:w="80" w:type="dxa"/>
              <w:bottom w:w="70" w:type="dxa"/>
              <w:end w:w="80" w:type="dxa"/>
            </w:tcMar>
          </w:tcPr>
          <w:p>
            <w:pPr>
              <w:spacing w:after="20" w:before="0" w:line="240" w:lineRule="auto"/>
            </w:pPr>
            <w:r>
              <w:rPr>
                <w:rFonts w:ascii="Aptos" w:hAnsi="Aptos"/>
                <w:sz w:val="15"/>
              </w:rPr>
              <w:t>Identifies systematic and extensive evaluation based on automated processing, including profiling, on which legally or similarly significant decisions are based as a DPIA case.</w:t>
            </w:r>
          </w:p>
        </w:tc>
      </w:tr>
      <w:tr>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5"/>
              </w:rPr>
              <w:t>GDPR Article 35(7)</w:t>
            </w:r>
          </w:p>
        </w:tc>
        <w:tc>
          <w:tcPr>
            <w:tcW w:type="dxa" w:w="1800"/>
            <w:vAlign w:val="center"/>
            <w:tcMar>
              <w:top w:w="70" w:type="dxa"/>
              <w:start w:w="80" w:type="dxa"/>
              <w:bottom w:w="70" w:type="dxa"/>
              <w:end w:w="80" w:type="dxa"/>
            </w:tcMar>
            <w:shd w:fill="F7F9FA"/>
          </w:tcPr>
          <w:p>
            <w:pPr>
              <w:spacing w:after="20" w:before="0" w:line="240" w:lineRule="auto"/>
            </w:pPr>
            <w:r>
              <w:rPr>
                <w:rFonts w:ascii="Aptos" w:hAnsi="Aptos"/>
                <w:sz w:val="15"/>
              </w:rPr>
              <w:t>Binding content minimum</w:t>
            </w:r>
          </w:p>
        </w:tc>
        <w:tc>
          <w:tcPr>
            <w:tcW w:type="dxa" w:w="4680"/>
            <w:vAlign w:val="center"/>
            <w:tcMar>
              <w:top w:w="70" w:type="dxa"/>
              <w:start w:w="80" w:type="dxa"/>
              <w:bottom w:w="70" w:type="dxa"/>
              <w:end w:w="80" w:type="dxa"/>
            </w:tcMar>
            <w:shd w:fill="F7F9FA"/>
          </w:tcPr>
          <w:p>
            <w:pPr>
              <w:spacing w:after="20" w:before="0" w:line="240" w:lineRule="auto"/>
            </w:pPr>
            <w:r>
              <w:rPr>
                <w:rFonts w:ascii="Aptos" w:hAnsi="Aptos"/>
                <w:sz w:val="15"/>
              </w:rPr>
              <w:t>Requires description/purposes, necessity/proportionality, risk assessment, and measures/safeguards.</w:t>
            </w:r>
          </w:p>
        </w:tc>
      </w:tr>
      <w:tr>
        <w:tc>
          <w:tcPr>
            <w:tcW w:type="dxa" w:w="2880"/>
            <w:vAlign w:val="center"/>
            <w:tcMar>
              <w:top w:w="70" w:type="dxa"/>
              <w:start w:w="80" w:type="dxa"/>
              <w:bottom w:w="70" w:type="dxa"/>
              <w:end w:w="80" w:type="dxa"/>
            </w:tcMar>
          </w:tcPr>
          <w:p>
            <w:pPr>
              <w:spacing w:after="20" w:before="0" w:line="240" w:lineRule="auto"/>
            </w:pPr>
            <w:r>
              <w:rPr>
                <w:rFonts w:ascii="Aptos" w:hAnsi="Aptos"/>
                <w:sz w:val="15"/>
              </w:rPr>
              <w:t>GDPR Article 35(9)</w:t>
            </w:r>
          </w:p>
        </w:tc>
        <w:tc>
          <w:tcPr>
            <w:tcW w:type="dxa" w:w="1800"/>
            <w:vAlign w:val="center"/>
            <w:tcMar>
              <w:top w:w="70" w:type="dxa"/>
              <w:start w:w="80" w:type="dxa"/>
              <w:bottom w:w="70" w:type="dxa"/>
              <w:end w:w="80" w:type="dxa"/>
            </w:tcMar>
          </w:tcPr>
          <w:p>
            <w:pPr>
              <w:spacing w:after="20" w:before="0" w:line="240" w:lineRule="auto"/>
            </w:pPr>
            <w:r>
              <w:rPr>
                <w:rFonts w:ascii="Aptos" w:hAnsi="Aptos"/>
                <w:sz w:val="15"/>
              </w:rPr>
              <w:t>Binding where appropriate</w:t>
            </w:r>
          </w:p>
        </w:tc>
        <w:tc>
          <w:tcPr>
            <w:tcW w:type="dxa" w:w="4680"/>
            <w:vAlign w:val="center"/>
            <w:tcMar>
              <w:top w:w="70" w:type="dxa"/>
              <w:start w:w="80" w:type="dxa"/>
              <w:bottom w:w="70" w:type="dxa"/>
              <w:end w:w="80" w:type="dxa"/>
            </w:tcMar>
          </w:tcPr>
          <w:p>
            <w:pPr>
              <w:spacing w:after="20" w:before="0" w:line="240" w:lineRule="auto"/>
            </w:pPr>
            <w:r>
              <w:rPr>
                <w:rFonts w:ascii="Aptos" w:hAnsi="Aptos"/>
                <w:sz w:val="15"/>
              </w:rPr>
              <w:t>Controller should seek the views of data subjects or representatives where appropriate, subject to legitimate protection of business/security interests.</w:t>
            </w:r>
          </w:p>
        </w:tc>
      </w:tr>
      <w:tr>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5"/>
              </w:rPr>
              <w:t>GDPR Article 35(11)</w:t>
            </w:r>
          </w:p>
        </w:tc>
        <w:tc>
          <w:tcPr>
            <w:tcW w:type="dxa" w:w="1800"/>
            <w:vAlign w:val="center"/>
            <w:tcMar>
              <w:top w:w="70" w:type="dxa"/>
              <w:start w:w="80" w:type="dxa"/>
              <w:bottom w:w="70" w:type="dxa"/>
              <w:end w:w="80" w:type="dxa"/>
            </w:tcMar>
            <w:shd w:fill="F7F9FA"/>
          </w:tcPr>
          <w:p>
            <w:pPr>
              <w:spacing w:after="20" w:before="0" w:line="240" w:lineRule="auto"/>
            </w:pPr>
            <w:r>
              <w:rPr>
                <w:rFonts w:ascii="Aptos" w:hAnsi="Aptos"/>
                <w:sz w:val="15"/>
              </w:rPr>
              <w:t>Binding where necessary</w:t>
            </w:r>
          </w:p>
        </w:tc>
        <w:tc>
          <w:tcPr>
            <w:tcW w:type="dxa" w:w="4680"/>
            <w:vAlign w:val="center"/>
            <w:tcMar>
              <w:top w:w="70" w:type="dxa"/>
              <w:start w:w="80" w:type="dxa"/>
              <w:bottom w:w="70" w:type="dxa"/>
              <w:end w:w="80" w:type="dxa"/>
            </w:tcMar>
            <w:shd w:fill="F7F9FA"/>
          </w:tcPr>
          <w:p>
            <w:pPr>
              <w:spacing w:after="20" w:before="0" w:line="240" w:lineRule="auto"/>
            </w:pPr>
            <w:r>
              <w:rPr>
                <w:rFonts w:ascii="Aptos" w:hAnsi="Aptos"/>
                <w:sz w:val="15"/>
              </w:rPr>
              <w:t>Requires review when the risk represented by processing changes.</w:t>
            </w:r>
          </w:p>
        </w:tc>
      </w:tr>
      <w:tr>
        <w:tc>
          <w:tcPr>
            <w:tcW w:type="dxa" w:w="2880"/>
            <w:vAlign w:val="center"/>
            <w:tcMar>
              <w:top w:w="70" w:type="dxa"/>
              <w:start w:w="80" w:type="dxa"/>
              <w:bottom w:w="70" w:type="dxa"/>
              <w:end w:w="80" w:type="dxa"/>
            </w:tcMar>
          </w:tcPr>
          <w:p>
            <w:pPr>
              <w:spacing w:after="20" w:before="0" w:line="240" w:lineRule="auto"/>
            </w:pPr>
            <w:r>
              <w:rPr>
                <w:rFonts w:ascii="Aptos" w:hAnsi="Aptos"/>
                <w:sz w:val="15"/>
              </w:rPr>
              <w:t>GDPR Article 36</w:t>
            </w:r>
          </w:p>
        </w:tc>
        <w:tc>
          <w:tcPr>
            <w:tcW w:type="dxa" w:w="1800"/>
            <w:vAlign w:val="center"/>
            <w:tcMar>
              <w:top w:w="70" w:type="dxa"/>
              <w:start w:w="80" w:type="dxa"/>
              <w:bottom w:w="70" w:type="dxa"/>
              <w:end w:w="80" w:type="dxa"/>
            </w:tcMar>
          </w:tcPr>
          <w:p>
            <w:pPr>
              <w:spacing w:after="20" w:before="0" w:line="240" w:lineRule="auto"/>
            </w:pPr>
            <w:r>
              <w:rPr>
                <w:rFonts w:ascii="Aptos" w:hAnsi="Aptos"/>
                <w:sz w:val="15"/>
              </w:rPr>
              <w:t>Binding where threshold met</w:t>
            </w:r>
          </w:p>
        </w:tc>
        <w:tc>
          <w:tcPr>
            <w:tcW w:type="dxa" w:w="4680"/>
            <w:vAlign w:val="center"/>
            <w:tcMar>
              <w:top w:w="70" w:type="dxa"/>
              <w:start w:w="80" w:type="dxa"/>
              <w:bottom w:w="70" w:type="dxa"/>
              <w:end w:w="80" w:type="dxa"/>
            </w:tcMar>
          </w:tcPr>
          <w:p>
            <w:pPr>
              <w:spacing w:after="20" w:before="0" w:line="240" w:lineRule="auto"/>
            </w:pPr>
            <w:r>
              <w:rPr>
                <w:rFonts w:ascii="Aptos" w:hAnsi="Aptos"/>
                <w:sz w:val="15"/>
              </w:rPr>
              <w:t>Prior supervisory-authority consultation is required where high risk would remain absent measures sufficient to mitigate it.</w:t>
            </w:r>
          </w:p>
        </w:tc>
      </w:tr>
      <w:tr>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5"/>
              </w:rPr>
              <w:t>GDPR Article 22</w:t>
            </w:r>
          </w:p>
        </w:tc>
        <w:tc>
          <w:tcPr>
            <w:tcW w:type="dxa" w:w="1800"/>
            <w:vAlign w:val="center"/>
            <w:tcMar>
              <w:top w:w="70" w:type="dxa"/>
              <w:start w:w="80" w:type="dxa"/>
              <w:bottom w:w="70" w:type="dxa"/>
              <w:end w:w="80" w:type="dxa"/>
            </w:tcMar>
            <w:shd w:fill="F7F9FA"/>
          </w:tcPr>
          <w:p>
            <w:pPr>
              <w:spacing w:after="20" w:before="0" w:line="240" w:lineRule="auto"/>
            </w:pPr>
            <w:r>
              <w:rPr>
                <w:rFonts w:ascii="Aptos" w:hAnsi="Aptos"/>
                <w:sz w:val="15"/>
              </w:rPr>
              <w:t>Binding where conditions met</w:t>
            </w:r>
          </w:p>
        </w:tc>
        <w:tc>
          <w:tcPr>
            <w:tcW w:type="dxa" w:w="4680"/>
            <w:vAlign w:val="center"/>
            <w:tcMar>
              <w:top w:w="70" w:type="dxa"/>
              <w:start w:w="80" w:type="dxa"/>
              <w:bottom w:w="70" w:type="dxa"/>
              <w:end w:w="80" w:type="dxa"/>
            </w:tcMar>
            <w:shd w:fill="F7F9FA"/>
          </w:tcPr>
          <w:p>
            <w:pPr>
              <w:spacing w:after="20" w:before="0" w:line="240" w:lineRule="auto"/>
            </w:pPr>
            <w:r>
              <w:rPr>
                <w:rFonts w:ascii="Aptos" w:hAnsi="Aptos"/>
                <w:sz w:val="15"/>
              </w:rPr>
              <w:t>Applies to solely automated decisions with legal or similarly significant effects. DuckTalent is designed to avoid solely automated final decisions, but the boundary must be evidenced.</w:t>
            </w:r>
          </w:p>
        </w:tc>
      </w:tr>
      <w:tr>
        <w:tc>
          <w:tcPr>
            <w:tcW w:type="dxa" w:w="2880"/>
            <w:vAlign w:val="center"/>
            <w:tcMar>
              <w:top w:w="70" w:type="dxa"/>
              <w:start w:w="80" w:type="dxa"/>
              <w:bottom w:w="70" w:type="dxa"/>
              <w:end w:w="80" w:type="dxa"/>
            </w:tcMar>
          </w:tcPr>
          <w:p>
            <w:pPr>
              <w:spacing w:after="20" w:before="0" w:line="240" w:lineRule="auto"/>
            </w:pPr>
            <w:r>
              <w:rPr>
                <w:rFonts w:ascii="Aptos" w:hAnsi="Aptos"/>
                <w:sz w:val="15"/>
              </w:rPr>
              <w:t>GDPR Article 88 / national law</w:t>
            </w:r>
          </w:p>
        </w:tc>
        <w:tc>
          <w:tcPr>
            <w:tcW w:type="dxa" w:w="1800"/>
            <w:vAlign w:val="center"/>
            <w:tcMar>
              <w:top w:w="70" w:type="dxa"/>
              <w:start w:w="80" w:type="dxa"/>
              <w:bottom w:w="70" w:type="dxa"/>
              <w:end w:w="80" w:type="dxa"/>
            </w:tcMar>
          </w:tcPr>
          <w:p>
            <w:pPr>
              <w:spacing w:after="20" w:before="0" w:line="240" w:lineRule="auto"/>
            </w:pPr>
            <w:r>
              <w:rPr>
                <w:rFonts w:ascii="Aptos" w:hAnsi="Aptos"/>
                <w:sz w:val="15"/>
              </w:rPr>
              <w:t>Binding / jurisdiction-specific</w:t>
            </w:r>
          </w:p>
        </w:tc>
        <w:tc>
          <w:tcPr>
            <w:tcW w:type="dxa" w:w="4680"/>
            <w:vAlign w:val="center"/>
            <w:tcMar>
              <w:top w:w="70" w:type="dxa"/>
              <w:start w:w="80" w:type="dxa"/>
              <w:bottom w:w="70" w:type="dxa"/>
              <w:end w:w="80" w:type="dxa"/>
            </w:tcMar>
          </w:tcPr>
          <w:p>
            <w:pPr>
              <w:spacing w:after="20" w:before="0" w:line="240" w:lineRule="auto"/>
            </w:pPr>
            <w:r>
              <w:rPr>
                <w:rFonts w:ascii="Aptos" w:hAnsi="Aptos"/>
                <w:sz w:val="15"/>
              </w:rPr>
              <w:t>Member States may provide specific employment-data rules, including recruitment. Final processing basis and safeguards therefore require jurisdiction-specific review.</w:t>
            </w:r>
          </w:p>
        </w:tc>
      </w:tr>
      <w:tr>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5"/>
              </w:rPr>
              <w:t>EDPB / WP29 DPIA Guidelines WP248 rev.01</w:t>
            </w:r>
          </w:p>
        </w:tc>
        <w:tc>
          <w:tcPr>
            <w:tcW w:type="dxa" w:w="1800"/>
            <w:vAlign w:val="center"/>
            <w:tcMar>
              <w:top w:w="70" w:type="dxa"/>
              <w:start w:w="80" w:type="dxa"/>
              <w:bottom w:w="70" w:type="dxa"/>
              <w:end w:w="80" w:type="dxa"/>
            </w:tcMar>
            <w:shd w:fill="F7F9FA"/>
          </w:tcPr>
          <w:p>
            <w:pPr>
              <w:spacing w:after="20" w:before="0" w:line="240" w:lineRule="auto"/>
            </w:pPr>
            <w:r>
              <w:rPr>
                <w:rFonts w:ascii="Aptos" w:hAnsi="Aptos"/>
                <w:sz w:val="15"/>
              </w:rPr>
              <w:t>Regulatory guidance</w:t>
            </w:r>
          </w:p>
        </w:tc>
        <w:tc>
          <w:tcPr>
            <w:tcW w:type="dxa" w:w="4680"/>
            <w:vAlign w:val="center"/>
            <w:tcMar>
              <w:top w:w="70" w:type="dxa"/>
              <w:start w:w="80" w:type="dxa"/>
              <w:bottom w:w="70" w:type="dxa"/>
              <w:end w:w="80" w:type="dxa"/>
            </w:tcMar>
            <w:shd w:fill="F7F9FA"/>
          </w:tcPr>
          <w:p>
            <w:pPr>
              <w:spacing w:after="20" w:before="0" w:line="240" w:lineRule="auto"/>
            </w:pPr>
            <w:r>
              <w:rPr>
                <w:rFonts w:ascii="Aptos" w:hAnsi="Aptos"/>
                <w:sz w:val="15"/>
              </w:rPr>
              <w:t>Used to support high-risk screening and DPIA methodology; not a substitute for the GDPR or national supervisory-authority lists.</w:t>
            </w:r>
          </w:p>
        </w:tc>
      </w:tr>
      <w:tr>
        <w:tc>
          <w:tcPr>
            <w:tcW w:type="dxa" w:w="2880"/>
            <w:vAlign w:val="center"/>
            <w:tcMar>
              <w:top w:w="70" w:type="dxa"/>
              <w:start w:w="80" w:type="dxa"/>
              <w:bottom w:w="70" w:type="dxa"/>
              <w:end w:w="80" w:type="dxa"/>
            </w:tcMar>
          </w:tcPr>
          <w:p>
            <w:pPr>
              <w:spacing w:after="20" w:before="0" w:line="240" w:lineRule="auto"/>
            </w:pPr>
            <w:r>
              <w:rPr>
                <w:rFonts w:ascii="Aptos" w:hAnsi="Aptos"/>
                <w:sz w:val="15"/>
              </w:rPr>
              <w:t>Duckworks AI Governance Framework</w:t>
            </w:r>
          </w:p>
        </w:tc>
        <w:tc>
          <w:tcPr>
            <w:tcW w:type="dxa" w:w="1800"/>
            <w:vAlign w:val="center"/>
            <w:tcMar>
              <w:top w:w="70" w:type="dxa"/>
              <w:start w:w="80" w:type="dxa"/>
              <w:bottom w:w="70" w:type="dxa"/>
              <w:end w:w="80" w:type="dxa"/>
            </w:tcMar>
          </w:tcPr>
          <w:p>
            <w:pPr>
              <w:spacing w:after="20" w:before="0" w:line="240" w:lineRule="auto"/>
            </w:pPr>
            <w:r>
              <w:rPr>
                <w:rFonts w:ascii="Aptos" w:hAnsi="Aptos"/>
                <w:sz w:val="15"/>
              </w:rPr>
              <w:t>Internal organizational requirement</w:t>
            </w:r>
          </w:p>
        </w:tc>
        <w:tc>
          <w:tcPr>
            <w:tcW w:type="dxa" w:w="4680"/>
            <w:vAlign w:val="center"/>
            <w:tcMar>
              <w:top w:w="70" w:type="dxa"/>
              <w:start w:w="80" w:type="dxa"/>
              <w:bottom w:w="70" w:type="dxa"/>
              <w:end w:w="80" w:type="dxa"/>
            </w:tcMar>
          </w:tcPr>
          <w:p>
            <w:pPr>
              <w:spacing w:after="20" w:before="0" w:line="240" w:lineRule="auto"/>
            </w:pPr>
            <w:r>
              <w:rPr>
                <w:rFonts w:ascii="Aptos" w:hAnsi="Aptos"/>
                <w:sz w:val="15"/>
              </w:rPr>
              <w:t>Requires proportionate assessment, human oversight, evidence, approval and reassessment for material AI systems.</w:t>
            </w:r>
          </w:p>
        </w:tc>
      </w:tr>
    </w:tbl>
    <w:p>
      <w:pPr>
        <w:widowControl/>
        <w:spacing w:after="0"/>
      </w:pPr>
    </w:p>
    <w:tbl>
      <w:tblPr>
        <w:tblW w:type="auto" w:w="0"/>
        <w:jc w:val="center"/>
        <w:tblLayout w:type="fixed"/>
        <w:tblLook w:firstColumn="1" w:firstRow="1" w:lastColumn="0" w:lastRow="0" w:noHBand="0" w:noVBand="1" w:val="04A0"/>
      </w:tblPr>
      <w:tblGrid>
        <w:gridCol w:w="10166"/>
      </w:tblGrid>
      <w:tr>
        <w:tc>
          <w:tcPr>
            <w:tcW w:type="dxa" w:w="9648"/>
            <w:shd w:fill="F4F0E8"/>
            <w:tcMar>
              <w:top w:w="110" w:type="dxa"/>
              <w:start w:w="130" w:type="dxa"/>
              <w:bottom w:w="110" w:type="dxa"/>
              <w:end w:w="130" w:type="dxa"/>
            </w:tcMar>
          </w:tcPr>
          <w:p>
            <w:pPr>
              <w:spacing w:after="40"/>
            </w:pPr>
            <w:r>
              <w:rPr>
                <w:b/>
                <w:color w:val="173B57"/>
                <w:sz w:val="19"/>
              </w:rPr>
              <w:t>Applicability conclusion</w:t>
            </w:r>
          </w:p>
          <w:p>
            <w:pPr>
              <w:spacing w:after="0" w:line="247" w:lineRule="auto"/>
            </w:pPr>
            <w:r>
              <w:rPr>
                <w:sz w:val="17"/>
              </w:rPr>
              <w:t>On the current fictional facts, Duckworks should not rely on a narrow argument that a human signs the final hiring decision to avoid a DPIA. DuckTalent still performs systematic evaluation, ranking and recommendation in a consequential recruitment process. The defensible governance position is to complete the DPIA before deployment and treat any uncertainty as a Legal/DPO action, not as permission to proceed.</w:t>
            </w:r>
          </w:p>
        </w:tc>
      </w:tr>
    </w:tbl>
    <w:p>
      <w:pPr>
        <w:widowControl/>
        <w:spacing w:after="0"/>
      </w:pPr>
    </w:p>
    <w:p>
      <w:pPr>
        <w:pStyle w:val="Heading1"/>
        <w:keepNext/>
        <w:widowControl/>
      </w:pPr>
      <w:r>
        <w:rPr>
          <w:rFonts w:ascii="Aptos" w:hAnsi="Aptos"/>
        </w:rPr>
        <w:t>3. Processing Description and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Element</w:t>
            </w:r>
          </w:p>
        </w:tc>
        <w:tc>
          <w:tcPr>
            <w:tcW w:type="dxa" w:w="6912"/>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DPIA record</w:t>
            </w:r>
          </w:p>
        </w:tc>
      </w:tr>
      <w:tr>
        <w:tc>
          <w:tcPr>
            <w:tcW w:type="dxa" w:w="2448"/>
            <w:vAlign w:val="center"/>
            <w:tcMar>
              <w:top w:w="70" w:type="dxa"/>
              <w:start w:w="80" w:type="dxa"/>
              <w:bottom w:w="70" w:type="dxa"/>
              <w:end w:w="80" w:type="dxa"/>
            </w:tcMar>
          </w:tcPr>
          <w:p>
            <w:pPr>
              <w:spacing w:after="20" w:before="0" w:line="240" w:lineRule="auto"/>
            </w:pPr>
            <w:r>
              <w:rPr>
                <w:rFonts w:ascii="Aptos" w:hAnsi="Aptos"/>
                <w:sz w:val="16"/>
              </w:rPr>
              <w:t>Purpose</w:t>
            </w:r>
          </w:p>
        </w:tc>
        <w:tc>
          <w:tcPr>
            <w:tcW w:type="dxa" w:w="6912"/>
            <w:vAlign w:val="center"/>
            <w:tcMar>
              <w:top w:w="70" w:type="dxa"/>
              <w:start w:w="80" w:type="dxa"/>
              <w:bottom w:w="70" w:type="dxa"/>
              <w:end w:w="80" w:type="dxa"/>
            </w:tcMar>
          </w:tcPr>
          <w:p>
            <w:pPr>
              <w:spacing w:after="20" w:before="0" w:line="240" w:lineRule="auto"/>
            </w:pPr>
            <w:r>
              <w:rPr>
                <w:rFonts w:ascii="Aptos" w:hAnsi="Aptos"/>
                <w:sz w:val="16"/>
              </w:rPr>
              <w:t>Support recruitment triage and structured comparison by parsing applications, extracting job-relevant information, summarizing applications, ranking candidates and recommending candidates for human review.</w:t>
            </w:r>
          </w:p>
        </w:tc>
      </w:tr>
      <w:tr>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6"/>
              </w:rPr>
              <w:t>Data subjects</w:t>
            </w:r>
          </w:p>
        </w:tc>
        <w:tc>
          <w:tcPr>
            <w:tcW w:type="dxa" w:w="6912"/>
            <w:vAlign w:val="center"/>
            <w:tcMar>
              <w:top w:w="70" w:type="dxa"/>
              <w:start w:w="80" w:type="dxa"/>
              <w:bottom w:w="70" w:type="dxa"/>
              <w:end w:w="80" w:type="dxa"/>
            </w:tcMar>
            <w:shd w:fill="F7F9FA"/>
          </w:tcPr>
          <w:p>
            <w:pPr>
              <w:spacing w:after="20" w:before="0" w:line="240" w:lineRule="auto"/>
            </w:pPr>
            <w:r>
              <w:rPr>
                <w:rFonts w:ascii="Aptos" w:hAnsi="Aptos"/>
                <w:sz w:val="16"/>
              </w:rPr>
              <w:t>External job applicants. Internal mobility, employee performance, promotion, termination, workforce monitoring and task allocation are outside this DPIA unless separately added and reassessed.</w:t>
            </w:r>
          </w:p>
        </w:tc>
      </w:tr>
      <w:tr>
        <w:tc>
          <w:tcPr>
            <w:tcW w:type="dxa" w:w="2448"/>
            <w:vAlign w:val="center"/>
            <w:tcMar>
              <w:top w:w="70" w:type="dxa"/>
              <w:start w:w="80" w:type="dxa"/>
              <w:bottom w:w="70" w:type="dxa"/>
              <w:end w:w="80" w:type="dxa"/>
            </w:tcMar>
          </w:tcPr>
          <w:p>
            <w:pPr>
              <w:spacing w:after="20" w:before="0" w:line="240" w:lineRule="auto"/>
            </w:pPr>
            <w:r>
              <w:rPr>
                <w:rFonts w:ascii="Aptos" w:hAnsi="Aptos"/>
                <w:sz w:val="16"/>
              </w:rPr>
              <w:t>Business users</w:t>
            </w:r>
          </w:p>
        </w:tc>
        <w:tc>
          <w:tcPr>
            <w:tcW w:type="dxa" w:w="6912"/>
            <w:vAlign w:val="center"/>
            <w:tcMar>
              <w:top w:w="70" w:type="dxa"/>
              <w:start w:w="80" w:type="dxa"/>
              <w:bottom w:w="70" w:type="dxa"/>
              <w:end w:w="80" w:type="dxa"/>
            </w:tcMar>
          </w:tcPr>
          <w:p>
            <w:pPr>
              <w:spacing w:after="20" w:before="0" w:line="240" w:lineRule="auto"/>
            </w:pPr>
            <w:r>
              <w:rPr>
                <w:rFonts w:ascii="Aptos" w:hAnsi="Aptos"/>
                <w:sz w:val="16"/>
              </w:rPr>
              <w:t>Recruiters, hiring managers and authorized HR personnel.</w:t>
            </w:r>
          </w:p>
        </w:tc>
      </w:tr>
      <w:tr>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6"/>
              </w:rPr>
              <w:t>Decision role</w:t>
            </w:r>
          </w:p>
        </w:tc>
        <w:tc>
          <w:tcPr>
            <w:tcW w:type="dxa" w:w="6912"/>
            <w:vAlign w:val="center"/>
            <w:tcMar>
              <w:top w:w="70" w:type="dxa"/>
              <w:start w:w="80" w:type="dxa"/>
              <w:bottom w:w="70" w:type="dxa"/>
              <w:end w:w="80" w:type="dxa"/>
            </w:tcMar>
            <w:shd w:fill="F7F9FA"/>
          </w:tcPr>
          <w:p>
            <w:pPr>
              <w:spacing w:after="20" w:before="0" w:line="240" w:lineRule="auto"/>
            </w:pPr>
            <w:r>
              <w:rPr>
                <w:rFonts w:ascii="Aptos" w:hAnsi="Aptos"/>
                <w:sz w:val="16"/>
              </w:rPr>
              <w:t>Decision support only. Qualified humans retain authority for progression, rejection, interview, offer and hiring decisions.</w:t>
            </w:r>
          </w:p>
        </w:tc>
      </w:tr>
      <w:tr>
        <w:tc>
          <w:tcPr>
            <w:tcW w:type="dxa" w:w="2448"/>
            <w:vAlign w:val="center"/>
            <w:tcMar>
              <w:top w:w="70" w:type="dxa"/>
              <w:start w:w="80" w:type="dxa"/>
              <w:bottom w:w="70" w:type="dxa"/>
              <w:end w:w="80" w:type="dxa"/>
            </w:tcMar>
          </w:tcPr>
          <w:p>
            <w:pPr>
              <w:spacing w:after="20" w:before="0" w:line="240" w:lineRule="auto"/>
            </w:pPr>
            <w:r>
              <w:rPr>
                <w:rFonts w:ascii="Aptos" w:hAnsi="Aptos"/>
                <w:sz w:val="16"/>
              </w:rPr>
              <w:t>Scale</w:t>
            </w:r>
          </w:p>
        </w:tc>
        <w:tc>
          <w:tcPr>
            <w:tcW w:type="dxa" w:w="6912"/>
            <w:vAlign w:val="center"/>
            <w:tcMar>
              <w:top w:w="70" w:type="dxa"/>
              <w:start w:w="80" w:type="dxa"/>
              <w:bottom w:w="70" w:type="dxa"/>
              <w:end w:w="80" w:type="dxa"/>
            </w:tcMar>
          </w:tcPr>
          <w:p>
            <w:pPr>
              <w:spacing w:after="20" w:before="0" w:line="240" w:lineRule="auto"/>
            </w:pPr>
            <w:r>
              <w:rPr>
                <w:rFonts w:ascii="Aptos" w:hAnsi="Aptos"/>
                <w:sz w:val="16"/>
              </w:rPr>
              <w:t>Expected enterprise recruitment use is not yet quantified. Applicant volumes, business units, countries and user counts must be confirmed before approval.</w:t>
            </w:r>
          </w:p>
        </w:tc>
      </w:tr>
      <w:tr>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6"/>
              </w:rPr>
              <w:t>Geography</w:t>
            </w:r>
          </w:p>
        </w:tc>
        <w:tc>
          <w:tcPr>
            <w:tcW w:type="dxa" w:w="6912"/>
            <w:vAlign w:val="center"/>
            <w:tcMar>
              <w:top w:w="70" w:type="dxa"/>
              <w:start w:w="80" w:type="dxa"/>
              <w:bottom w:w="70" w:type="dxa"/>
              <w:end w:w="80" w:type="dxa"/>
            </w:tcMar>
            <w:shd w:fill="F7F9FA"/>
          </w:tcPr>
          <w:p>
            <w:pPr>
              <w:spacing w:after="20" w:before="0" w:line="240" w:lineRule="auto"/>
            </w:pPr>
            <w:r>
              <w:rPr>
                <w:rFonts w:ascii="Aptos" w:hAnsi="Aptos"/>
                <w:sz w:val="16"/>
              </w:rPr>
              <w:t>Duckworks is assumed to operate primarily in the EU/EEA; actual applicant jurisdictions and processing/storage locations remain to be validated.</w:t>
            </w:r>
          </w:p>
        </w:tc>
      </w:tr>
      <w:tr>
        <w:tc>
          <w:tcPr>
            <w:tcW w:type="dxa" w:w="2448"/>
            <w:vAlign w:val="center"/>
            <w:tcMar>
              <w:top w:w="70" w:type="dxa"/>
              <w:start w:w="80" w:type="dxa"/>
              <w:bottom w:w="70" w:type="dxa"/>
              <w:end w:w="80" w:type="dxa"/>
            </w:tcMar>
          </w:tcPr>
          <w:p>
            <w:pPr>
              <w:spacing w:after="20" w:before="0" w:line="240" w:lineRule="auto"/>
            </w:pPr>
            <w:r>
              <w:rPr>
                <w:rFonts w:ascii="Aptos" w:hAnsi="Aptos"/>
                <w:sz w:val="16"/>
              </w:rPr>
              <w:t>Technology</w:t>
            </w:r>
          </w:p>
        </w:tc>
        <w:tc>
          <w:tcPr>
            <w:tcW w:type="dxa" w:w="6912"/>
            <w:vAlign w:val="center"/>
            <w:tcMar>
              <w:top w:w="70" w:type="dxa"/>
              <w:start w:w="80" w:type="dxa"/>
              <w:bottom w:w="70" w:type="dxa"/>
              <w:end w:w="80" w:type="dxa"/>
            </w:tcMar>
          </w:tcPr>
          <w:p>
            <w:pPr>
              <w:spacing w:after="20" w:before="0" w:line="240" w:lineRule="auto"/>
            </w:pPr>
            <w:r>
              <w:rPr>
                <w:rFonts w:ascii="Aptos" w:hAnsi="Aptos"/>
                <w:sz w:val="16"/>
              </w:rPr>
              <w:t>AI/ML components and potentially third-party model/service components. Exact provider/model, hosting architecture and subprocessors are not yet fixed in the portfolio baseline.</w:t>
            </w:r>
          </w:p>
        </w:tc>
      </w:tr>
      <w:tr>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6"/>
              </w:rPr>
              <w:t>Data sources</w:t>
            </w:r>
          </w:p>
        </w:tc>
        <w:tc>
          <w:tcPr>
            <w:tcW w:type="dxa" w:w="6912"/>
            <w:vAlign w:val="center"/>
            <w:tcMar>
              <w:top w:w="70" w:type="dxa"/>
              <w:start w:w="80" w:type="dxa"/>
              <w:bottom w:w="70" w:type="dxa"/>
              <w:end w:w="80" w:type="dxa"/>
            </w:tcMar>
            <w:shd w:fill="F7F9FA"/>
          </w:tcPr>
          <w:p>
            <w:pPr>
              <w:spacing w:after="20" w:before="0" w:line="240" w:lineRule="auto"/>
            </w:pPr>
            <w:r>
              <w:rPr>
                <w:rFonts w:ascii="Aptos" w:hAnsi="Aptos"/>
                <w:sz w:val="16"/>
              </w:rPr>
              <w:t>Applicant-submitted CV/application information and approved recruitment records. Public-web scraping, social-media enrichment and unrelated third-party enrichment are not approved within this DPIA.</w:t>
            </w:r>
          </w:p>
        </w:tc>
      </w:tr>
      <w:tr>
        <w:tc>
          <w:tcPr>
            <w:tcW w:type="dxa" w:w="2448"/>
            <w:vAlign w:val="center"/>
            <w:tcMar>
              <w:top w:w="70" w:type="dxa"/>
              <w:start w:w="80" w:type="dxa"/>
              <w:bottom w:w="70" w:type="dxa"/>
              <w:end w:w="80" w:type="dxa"/>
            </w:tcMar>
          </w:tcPr>
          <w:p>
            <w:pPr>
              <w:spacing w:after="20" w:before="0" w:line="240" w:lineRule="auto"/>
            </w:pPr>
            <w:r>
              <w:rPr>
                <w:rFonts w:ascii="Aptos" w:hAnsi="Aptos"/>
                <w:sz w:val="16"/>
              </w:rPr>
              <w:t>Downstream use</w:t>
            </w:r>
          </w:p>
        </w:tc>
        <w:tc>
          <w:tcPr>
            <w:tcW w:type="dxa" w:w="6912"/>
            <w:vAlign w:val="center"/>
            <w:tcMar>
              <w:top w:w="70" w:type="dxa"/>
              <w:start w:w="80" w:type="dxa"/>
              <w:bottom w:w="70" w:type="dxa"/>
              <w:end w:w="80" w:type="dxa"/>
            </w:tcMar>
          </w:tcPr>
          <w:p>
            <w:pPr>
              <w:spacing w:after="20" w:before="0" w:line="240" w:lineRule="auto"/>
            </w:pPr>
            <w:r>
              <w:rPr>
                <w:rFonts w:ascii="Aptos" w:hAnsi="Aptos"/>
                <w:sz w:val="16"/>
              </w:rPr>
              <w:t>Recruitment review and workflow. Use for model training, talent analytics, employee monitoring, performance evaluation or unrelated profiling requires separate approval and reassessment.</w:t>
            </w:r>
          </w:p>
        </w:tc>
      </w:tr>
      <w:tr>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6"/>
              </w:rPr>
              <w:t>Lifecycle status</w:t>
            </w:r>
          </w:p>
        </w:tc>
        <w:tc>
          <w:tcPr>
            <w:tcW w:type="dxa" w:w="6912"/>
            <w:vAlign w:val="center"/>
            <w:tcMar>
              <w:top w:w="70" w:type="dxa"/>
              <w:start w:w="80" w:type="dxa"/>
              <w:bottom w:w="70" w:type="dxa"/>
              <w:end w:w="80" w:type="dxa"/>
            </w:tcMar>
            <w:shd w:fill="F7F9FA"/>
          </w:tcPr>
          <w:p>
            <w:pPr>
              <w:spacing w:after="20" w:before="0" w:line="240" w:lineRule="auto"/>
            </w:pPr>
            <w:r>
              <w:rPr>
                <w:rFonts w:ascii="Aptos" w:hAnsi="Aptos"/>
                <w:sz w:val="16"/>
              </w:rPr>
              <w:t>Concept / governance assessment. Do not deploy in current state.</w:t>
            </w:r>
          </w:p>
        </w:tc>
      </w:tr>
    </w:tbl>
    <w:p>
      <w:pPr>
        <w:widowControl/>
        <w:spacing w:after="0"/>
      </w:pPr>
    </w:p>
    <w:p>
      <w:pPr>
        <w:pStyle w:val="Heading2"/>
        <w:keepNext/>
        <w:widowControl/>
      </w:pPr>
      <w:r>
        <w:rPr>
          <w:rFonts w:ascii="Aptos" w:hAnsi="Aptos"/>
        </w:rPr>
        <w:t>3.1 Data-flow narrative</w:t>
      </w:r>
    </w:p>
    <w:p>
      <w:pPr>
        <w:pStyle w:val="ListNumber"/>
        <w:widowControl/>
        <w:spacing w:after="40"/>
        <w:ind w:left="374" w:hanging="230"/>
      </w:pPr>
      <w:r>
        <w:rPr>
          <w:rFonts w:ascii="Aptos" w:hAnsi="Aptos"/>
        </w:rPr>
        <w:t>Applicant submits a CV and application information through the approved recruitment channel / ATS.</w:t>
      </w:r>
    </w:p>
    <w:p>
      <w:pPr>
        <w:pStyle w:val="ListNumber"/>
        <w:widowControl/>
        <w:spacing w:after="40"/>
        <w:ind w:left="374" w:hanging="230"/>
      </w:pPr>
      <w:r>
        <w:rPr>
          <w:rFonts w:ascii="Aptos" w:hAnsi="Aptos"/>
        </w:rPr>
        <w:t>Authorized recruitment data is made available to the DuckTalent processing layer under defined access controls.</w:t>
      </w:r>
    </w:p>
    <w:p>
      <w:pPr>
        <w:pStyle w:val="ListNumber"/>
        <w:widowControl/>
        <w:spacing w:after="40"/>
        <w:ind w:left="374" w:hanging="230"/>
      </w:pPr>
      <w:r>
        <w:rPr>
          <w:rFonts w:ascii="Aptos" w:hAnsi="Aptos"/>
        </w:rPr>
        <w:t>DuckTalent parses the application and derives structured fields, summaries, matching indicators and/or candidate ranking against approved criteria.</w:t>
      </w:r>
    </w:p>
    <w:p>
      <w:pPr>
        <w:pStyle w:val="ListNumber"/>
        <w:widowControl/>
        <w:spacing w:after="40"/>
        <w:ind w:left="374" w:hanging="230"/>
      </w:pPr>
      <w:r>
        <w:rPr>
          <w:rFonts w:ascii="Aptos" w:hAnsi="Aptos"/>
        </w:rPr>
        <w:t>An authorized recruiter reviews the source application together with DuckTalent outputs; the AI output is not a final decision.</w:t>
      </w:r>
    </w:p>
    <w:p>
      <w:pPr>
        <w:pStyle w:val="ListNumber"/>
        <w:widowControl/>
        <w:spacing w:after="40"/>
        <w:ind w:left="374" w:hanging="230"/>
      </w:pPr>
      <w:r>
        <w:rPr>
          <w:rFonts w:ascii="Aptos" w:hAnsi="Aptos"/>
        </w:rPr>
        <w:t>Recruitment decisions, overrides, material corrections and escalations are recorded in the approved recruitment workflow.</w:t>
      </w:r>
    </w:p>
    <w:p>
      <w:pPr>
        <w:pStyle w:val="ListNumber"/>
        <w:widowControl/>
        <w:spacing w:after="40"/>
        <w:ind w:left="374" w:hanging="230"/>
      </w:pPr>
      <w:r>
        <w:rPr>
          <w:rFonts w:ascii="Aptos" w:hAnsi="Aptos"/>
        </w:rPr>
        <w:t>Governance, security and performance logs are retained only to the extent necessary for approved purposes and under a defined retention schedule.</w:t>
      </w:r>
    </w:p>
    <w:p>
      <w:pPr>
        <w:pStyle w:val="ListNumber"/>
        <w:widowControl/>
        <w:spacing w:after="40"/>
        <w:ind w:left="374" w:hanging="230"/>
      </w:pPr>
      <w:r>
        <w:rPr>
          <w:rFonts w:ascii="Aptos" w:hAnsi="Aptos"/>
        </w:rPr>
        <w:t>Data is deleted, anonymized or moved to an approved talent-pool process when the recruitment purpose and applicable retention requirements end.</w:t>
      </w:r>
    </w:p>
    <w:p>
      <w:pPr>
        <w:pStyle w:val="Heading1"/>
        <w:keepNext/>
        <w:widowControl/>
      </w:pPr>
      <w:r>
        <w:rPr>
          <w:rFonts w:ascii="Aptos" w:hAnsi="Aptos"/>
        </w:rPr>
        <w:t>4. Personal Data Inventory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Data category</w:t>
            </w:r>
          </w:p>
        </w:tc>
        <w:tc>
          <w:tcPr>
            <w:tcW w:type="dxa" w:w="2232"/>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Examples</w:t>
            </w:r>
          </w:p>
        </w:tc>
        <w:tc>
          <w:tcPr>
            <w:tcW w:type="dxa" w:w="2448"/>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Purpose</w:t>
            </w:r>
          </w:p>
        </w:tc>
        <w:tc>
          <w:tcPr>
            <w:tcW w:type="dxa" w:w="2880"/>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Treatment / restriction</w:t>
            </w:r>
          </w:p>
        </w:tc>
      </w:tr>
      <w:tr>
        <w:tc>
          <w:tcPr>
            <w:tcW w:type="dxa" w:w="1944"/>
            <w:vAlign w:val="center"/>
            <w:tcMar>
              <w:top w:w="70" w:type="dxa"/>
              <w:start w:w="80" w:type="dxa"/>
              <w:bottom w:w="70" w:type="dxa"/>
              <w:end w:w="80" w:type="dxa"/>
            </w:tcMar>
          </w:tcPr>
          <w:p>
            <w:pPr>
              <w:spacing w:after="20" w:before="0" w:line="240" w:lineRule="auto"/>
            </w:pPr>
            <w:r>
              <w:rPr>
                <w:rFonts w:ascii="Aptos" w:hAnsi="Aptos"/>
                <w:sz w:val="14"/>
              </w:rPr>
              <w:t>Identity &amp; contact</w:t>
            </w:r>
          </w:p>
        </w:tc>
        <w:tc>
          <w:tcPr>
            <w:tcW w:type="dxa" w:w="2232"/>
            <w:vAlign w:val="center"/>
            <w:tcMar>
              <w:top w:w="70" w:type="dxa"/>
              <w:start w:w="80" w:type="dxa"/>
              <w:bottom w:w="70" w:type="dxa"/>
              <w:end w:w="80" w:type="dxa"/>
            </w:tcMar>
          </w:tcPr>
          <w:p>
            <w:pPr>
              <w:spacing w:after="20" w:before="0" w:line="240" w:lineRule="auto"/>
            </w:pPr>
            <w:r>
              <w:rPr>
                <w:rFonts w:ascii="Aptos" w:hAnsi="Aptos"/>
                <w:sz w:val="14"/>
              </w:rPr>
              <w:t>Name, contact details, location where relevant</w:t>
            </w:r>
          </w:p>
        </w:tc>
        <w:tc>
          <w:tcPr>
            <w:tcW w:type="dxa" w:w="2448"/>
            <w:vAlign w:val="center"/>
            <w:tcMar>
              <w:top w:w="70" w:type="dxa"/>
              <w:start w:w="80" w:type="dxa"/>
              <w:bottom w:w="70" w:type="dxa"/>
              <w:end w:w="80" w:type="dxa"/>
            </w:tcMar>
          </w:tcPr>
          <w:p>
            <w:pPr>
              <w:spacing w:after="20" w:before="0" w:line="240" w:lineRule="auto"/>
            </w:pPr>
            <w:r>
              <w:rPr>
                <w:rFonts w:ascii="Aptos" w:hAnsi="Aptos"/>
                <w:sz w:val="14"/>
              </w:rPr>
              <w:t>Application administration and identity matching</w:t>
            </w:r>
          </w:p>
        </w:tc>
        <w:tc>
          <w:tcPr>
            <w:tcW w:type="dxa" w:w="2880"/>
            <w:vAlign w:val="center"/>
            <w:tcMar>
              <w:top w:w="70" w:type="dxa"/>
              <w:start w:w="80" w:type="dxa"/>
              <w:bottom w:w="70" w:type="dxa"/>
              <w:end w:w="80" w:type="dxa"/>
            </w:tcMar>
          </w:tcPr>
          <w:p>
            <w:pPr>
              <w:spacing w:after="20" w:before="0" w:line="240" w:lineRule="auto"/>
            </w:pPr>
            <w:r>
              <w:rPr>
                <w:rFonts w:ascii="Aptos" w:hAnsi="Aptos"/>
                <w:sz w:val="14"/>
              </w:rPr>
              <w:t>Collect only required fields; restrict access.</w:t>
            </w:r>
          </w:p>
        </w:tc>
      </w:tr>
      <w:tr>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Employment history</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Employers, roles, dates, responsibilities</w:t>
            </w:r>
          </w:p>
        </w:tc>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4"/>
              </w:rPr>
              <w:t>Assess job-relevant experience</w:t>
            </w:r>
          </w:p>
        </w:tc>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4"/>
              </w:rPr>
              <w:t>No unrelated background inference.</w:t>
            </w:r>
          </w:p>
        </w:tc>
      </w:tr>
      <w:tr>
        <w:tc>
          <w:tcPr>
            <w:tcW w:type="dxa" w:w="1944"/>
            <w:vAlign w:val="center"/>
            <w:tcMar>
              <w:top w:w="70" w:type="dxa"/>
              <w:start w:w="80" w:type="dxa"/>
              <w:bottom w:w="70" w:type="dxa"/>
              <w:end w:w="80" w:type="dxa"/>
            </w:tcMar>
          </w:tcPr>
          <w:p>
            <w:pPr>
              <w:spacing w:after="20" w:before="0" w:line="240" w:lineRule="auto"/>
            </w:pPr>
            <w:r>
              <w:rPr>
                <w:rFonts w:ascii="Aptos" w:hAnsi="Aptos"/>
                <w:sz w:val="14"/>
              </w:rPr>
              <w:t>Education &amp; qualifications</w:t>
            </w:r>
          </w:p>
        </w:tc>
        <w:tc>
          <w:tcPr>
            <w:tcW w:type="dxa" w:w="2232"/>
            <w:vAlign w:val="center"/>
            <w:tcMar>
              <w:top w:w="70" w:type="dxa"/>
              <w:start w:w="80" w:type="dxa"/>
              <w:bottom w:w="70" w:type="dxa"/>
              <w:end w:w="80" w:type="dxa"/>
            </w:tcMar>
          </w:tcPr>
          <w:p>
            <w:pPr>
              <w:spacing w:after="20" w:before="0" w:line="240" w:lineRule="auto"/>
            </w:pPr>
            <w:r>
              <w:rPr>
                <w:rFonts w:ascii="Aptos" w:hAnsi="Aptos"/>
                <w:sz w:val="14"/>
              </w:rPr>
              <w:t>Degrees, certifications, skills, licences</w:t>
            </w:r>
          </w:p>
        </w:tc>
        <w:tc>
          <w:tcPr>
            <w:tcW w:type="dxa" w:w="2448"/>
            <w:vAlign w:val="center"/>
            <w:tcMar>
              <w:top w:w="70" w:type="dxa"/>
              <w:start w:w="80" w:type="dxa"/>
              <w:bottom w:w="70" w:type="dxa"/>
              <w:end w:w="80" w:type="dxa"/>
            </w:tcMar>
          </w:tcPr>
          <w:p>
            <w:pPr>
              <w:spacing w:after="20" w:before="0" w:line="240" w:lineRule="auto"/>
            </w:pPr>
            <w:r>
              <w:rPr>
                <w:rFonts w:ascii="Aptos" w:hAnsi="Aptos"/>
                <w:sz w:val="14"/>
              </w:rPr>
              <w:t>Assess role requirements</w:t>
            </w:r>
          </w:p>
        </w:tc>
        <w:tc>
          <w:tcPr>
            <w:tcW w:type="dxa" w:w="2880"/>
            <w:vAlign w:val="center"/>
            <w:tcMar>
              <w:top w:w="70" w:type="dxa"/>
              <w:start w:w="80" w:type="dxa"/>
              <w:bottom w:w="70" w:type="dxa"/>
              <w:end w:w="80" w:type="dxa"/>
            </w:tcMar>
          </w:tcPr>
          <w:p>
            <w:pPr>
              <w:spacing w:after="20" w:before="0" w:line="240" w:lineRule="auto"/>
            </w:pPr>
            <w:r>
              <w:rPr>
                <w:rFonts w:ascii="Aptos" w:hAnsi="Aptos"/>
                <w:sz w:val="14"/>
              </w:rPr>
              <w:t>Verify only where necessary and proportionate.</w:t>
            </w:r>
          </w:p>
        </w:tc>
      </w:tr>
      <w:tr>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Application responses</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Role questions, availability, work authorization where lawful</w:t>
            </w:r>
          </w:p>
        </w:tc>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4"/>
              </w:rPr>
              <w:t>Recruitment administration / eligibility</w:t>
            </w:r>
          </w:p>
        </w:tc>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4"/>
              </w:rPr>
              <w:t>Question design subject to Legal/HR review.</w:t>
            </w:r>
          </w:p>
        </w:tc>
      </w:tr>
      <w:tr>
        <w:tc>
          <w:tcPr>
            <w:tcW w:type="dxa" w:w="1944"/>
            <w:vAlign w:val="center"/>
            <w:tcMar>
              <w:top w:w="70" w:type="dxa"/>
              <w:start w:w="80" w:type="dxa"/>
              <w:bottom w:w="70" w:type="dxa"/>
              <w:end w:w="80" w:type="dxa"/>
            </w:tcMar>
          </w:tcPr>
          <w:p>
            <w:pPr>
              <w:spacing w:after="20" w:before="0" w:line="240" w:lineRule="auto"/>
            </w:pPr>
            <w:r>
              <w:rPr>
                <w:rFonts w:ascii="Aptos" w:hAnsi="Aptos"/>
                <w:sz w:val="14"/>
              </w:rPr>
              <w:t>CV free text</w:t>
            </w:r>
          </w:p>
        </w:tc>
        <w:tc>
          <w:tcPr>
            <w:tcW w:type="dxa" w:w="2232"/>
            <w:vAlign w:val="center"/>
            <w:tcMar>
              <w:top w:w="70" w:type="dxa"/>
              <w:start w:w="80" w:type="dxa"/>
              <w:bottom w:w="70" w:type="dxa"/>
              <w:end w:w="80" w:type="dxa"/>
            </w:tcMar>
          </w:tcPr>
          <w:p>
            <w:pPr>
              <w:spacing w:after="20" w:before="0" w:line="240" w:lineRule="auto"/>
            </w:pPr>
            <w:r>
              <w:rPr>
                <w:rFonts w:ascii="Aptos" w:hAnsi="Aptos"/>
                <w:sz w:val="14"/>
              </w:rPr>
              <w:t>Narrative descriptions and attachments</w:t>
            </w:r>
          </w:p>
        </w:tc>
        <w:tc>
          <w:tcPr>
            <w:tcW w:type="dxa" w:w="2448"/>
            <w:vAlign w:val="center"/>
            <w:tcMar>
              <w:top w:w="70" w:type="dxa"/>
              <w:start w:w="80" w:type="dxa"/>
              <w:bottom w:w="70" w:type="dxa"/>
              <w:end w:w="80" w:type="dxa"/>
            </w:tcMar>
          </w:tcPr>
          <w:p>
            <w:pPr>
              <w:spacing w:after="20" w:before="0" w:line="240" w:lineRule="auto"/>
            </w:pPr>
            <w:r>
              <w:rPr>
                <w:rFonts w:ascii="Aptos" w:hAnsi="Aptos"/>
                <w:sz w:val="14"/>
              </w:rPr>
              <w:t>Parsing and summarization</w:t>
            </w:r>
          </w:p>
        </w:tc>
        <w:tc>
          <w:tcPr>
            <w:tcW w:type="dxa" w:w="2880"/>
            <w:vAlign w:val="center"/>
            <w:tcMar>
              <w:top w:w="70" w:type="dxa"/>
              <w:start w:w="80" w:type="dxa"/>
              <w:bottom w:w="70" w:type="dxa"/>
              <w:end w:w="80" w:type="dxa"/>
            </w:tcMar>
          </w:tcPr>
          <w:p>
            <w:pPr>
              <w:spacing w:after="20" w:before="0" w:line="240" w:lineRule="auto"/>
            </w:pPr>
            <w:r>
              <w:rPr>
                <w:rFonts w:ascii="Aptos" w:hAnsi="Aptos"/>
                <w:sz w:val="14"/>
              </w:rPr>
              <w:t>May contain unexpected sensitive data; minimize exposure and use.</w:t>
            </w:r>
          </w:p>
        </w:tc>
      </w:tr>
      <w:tr>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Derived data</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Extracted skills, match indicators, summaries, rank/order</w:t>
            </w:r>
          </w:p>
        </w:tc>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4"/>
              </w:rPr>
              <w:t>Recruitment decision support</w:t>
            </w:r>
          </w:p>
        </w:tc>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4"/>
              </w:rPr>
              <w:t>Must be explainable, reviewable and correctable; not treated as objective fact.</w:t>
            </w:r>
          </w:p>
        </w:tc>
      </w:tr>
      <w:tr>
        <w:tc>
          <w:tcPr>
            <w:tcW w:type="dxa" w:w="1944"/>
            <w:vAlign w:val="center"/>
            <w:tcMar>
              <w:top w:w="70" w:type="dxa"/>
              <w:start w:w="80" w:type="dxa"/>
              <w:bottom w:w="70" w:type="dxa"/>
              <w:end w:w="80" w:type="dxa"/>
            </w:tcMar>
          </w:tcPr>
          <w:p>
            <w:pPr>
              <w:spacing w:after="20" w:before="0" w:line="240" w:lineRule="auto"/>
            </w:pPr>
            <w:r>
              <w:rPr>
                <w:rFonts w:ascii="Aptos" w:hAnsi="Aptos"/>
                <w:sz w:val="14"/>
              </w:rPr>
              <w:t>Recruitment decisions</w:t>
            </w:r>
          </w:p>
        </w:tc>
        <w:tc>
          <w:tcPr>
            <w:tcW w:type="dxa" w:w="2232"/>
            <w:vAlign w:val="center"/>
            <w:tcMar>
              <w:top w:w="70" w:type="dxa"/>
              <w:start w:w="80" w:type="dxa"/>
              <w:bottom w:w="70" w:type="dxa"/>
              <w:end w:w="80" w:type="dxa"/>
            </w:tcMar>
          </w:tcPr>
          <w:p>
            <w:pPr>
              <w:spacing w:after="20" w:before="0" w:line="240" w:lineRule="auto"/>
            </w:pPr>
            <w:r>
              <w:rPr>
                <w:rFonts w:ascii="Aptos" w:hAnsi="Aptos"/>
                <w:sz w:val="14"/>
              </w:rPr>
              <w:t>Progression, rejection, interview/offer status, reviewer rationale</w:t>
            </w:r>
          </w:p>
        </w:tc>
        <w:tc>
          <w:tcPr>
            <w:tcW w:type="dxa" w:w="2448"/>
            <w:vAlign w:val="center"/>
            <w:tcMar>
              <w:top w:w="70" w:type="dxa"/>
              <w:start w:w="80" w:type="dxa"/>
              <w:bottom w:w="70" w:type="dxa"/>
              <w:end w:w="80" w:type="dxa"/>
            </w:tcMar>
          </w:tcPr>
          <w:p>
            <w:pPr>
              <w:spacing w:after="20" w:before="0" w:line="240" w:lineRule="auto"/>
            </w:pPr>
            <w:r>
              <w:rPr>
                <w:rFonts w:ascii="Aptos" w:hAnsi="Aptos"/>
                <w:sz w:val="14"/>
              </w:rPr>
              <w:t>Workflow and accountability</w:t>
            </w:r>
          </w:p>
        </w:tc>
        <w:tc>
          <w:tcPr>
            <w:tcW w:type="dxa" w:w="2880"/>
            <w:vAlign w:val="center"/>
            <w:tcMar>
              <w:top w:w="70" w:type="dxa"/>
              <w:start w:w="80" w:type="dxa"/>
              <w:bottom w:w="70" w:type="dxa"/>
              <w:end w:w="80" w:type="dxa"/>
            </w:tcMar>
          </w:tcPr>
          <w:p>
            <w:pPr>
              <w:spacing w:after="20" w:before="0" w:line="240" w:lineRule="auto"/>
            </w:pPr>
            <w:r>
              <w:rPr>
                <w:rFonts w:ascii="Aptos" w:hAnsi="Aptos"/>
                <w:sz w:val="14"/>
              </w:rPr>
              <w:t>Human decision rationale should be separable from AI recommendation.</w:t>
            </w:r>
          </w:p>
        </w:tc>
      </w:tr>
      <w:tr>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System/audit data</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User access, model/version, decision-support output, overrides, errors</w:t>
            </w:r>
          </w:p>
        </w:tc>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4"/>
              </w:rPr>
              <w:t>Security, assurance, reconstruction</w:t>
            </w:r>
          </w:p>
        </w:tc>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4"/>
              </w:rPr>
              <w:t>Minimize content; restrict and retain under defined schedule.</w:t>
            </w:r>
          </w:p>
        </w:tc>
      </w:tr>
      <w:tr>
        <w:tc>
          <w:tcPr>
            <w:tcW w:type="dxa" w:w="1944"/>
            <w:vAlign w:val="center"/>
            <w:tcMar>
              <w:top w:w="70" w:type="dxa"/>
              <w:start w:w="80" w:type="dxa"/>
              <w:bottom w:w="70" w:type="dxa"/>
              <w:end w:w="80" w:type="dxa"/>
            </w:tcMar>
          </w:tcPr>
          <w:p>
            <w:pPr>
              <w:spacing w:after="20" w:before="0" w:line="240" w:lineRule="auto"/>
            </w:pPr>
            <w:r>
              <w:rPr>
                <w:rFonts w:ascii="Aptos" w:hAnsi="Aptos"/>
                <w:sz w:val="14"/>
              </w:rPr>
              <w:t>Special-category / highly sensitive data</w:t>
            </w:r>
          </w:p>
        </w:tc>
        <w:tc>
          <w:tcPr>
            <w:tcW w:type="dxa" w:w="2232"/>
            <w:vAlign w:val="center"/>
            <w:tcMar>
              <w:top w:w="70" w:type="dxa"/>
              <w:start w:w="80" w:type="dxa"/>
              <w:bottom w:w="70" w:type="dxa"/>
              <w:end w:w="80" w:type="dxa"/>
            </w:tcMar>
          </w:tcPr>
          <w:p>
            <w:pPr>
              <w:spacing w:after="20" w:before="0" w:line="240" w:lineRule="auto"/>
            </w:pPr>
            <w:r>
              <w:rPr>
                <w:rFonts w:ascii="Aptos" w:hAnsi="Aptos"/>
                <w:sz w:val="14"/>
              </w:rPr>
              <w:t>May appear incidentally in CVs or be inferred</w:t>
            </w:r>
          </w:p>
        </w:tc>
        <w:tc>
          <w:tcPr>
            <w:tcW w:type="dxa" w:w="2448"/>
            <w:vAlign w:val="center"/>
            <w:tcMar>
              <w:top w:w="70" w:type="dxa"/>
              <w:start w:w="80" w:type="dxa"/>
              <w:bottom w:w="70" w:type="dxa"/>
              <w:end w:w="80" w:type="dxa"/>
            </w:tcMar>
          </w:tcPr>
          <w:p>
            <w:pPr>
              <w:spacing w:after="20" w:before="0" w:line="240" w:lineRule="auto"/>
            </w:pPr>
            <w:r>
              <w:rPr>
                <w:rFonts w:ascii="Aptos" w:hAnsi="Aptos"/>
                <w:sz w:val="14"/>
              </w:rPr>
              <w:t>Not an intended input or ranking factor</w:t>
            </w:r>
          </w:p>
        </w:tc>
        <w:tc>
          <w:tcPr>
            <w:tcW w:type="dxa" w:w="2880"/>
            <w:vAlign w:val="center"/>
            <w:tcMar>
              <w:top w:w="70" w:type="dxa"/>
              <w:start w:w="80" w:type="dxa"/>
              <w:bottom w:w="70" w:type="dxa"/>
              <w:end w:w="80" w:type="dxa"/>
            </w:tcMar>
          </w:tcPr>
          <w:p>
            <w:pPr>
              <w:spacing w:after="20" w:before="0" w:line="240" w:lineRule="auto"/>
            </w:pPr>
            <w:r>
              <w:rPr>
                <w:rFonts w:ascii="Aptos" w:hAnsi="Aptos"/>
                <w:sz w:val="14"/>
              </w:rPr>
              <w:t>Exclude from scoring/use unless Legal/DPO establish a specific lawful condition and safeguards.</w:t>
            </w:r>
          </w:p>
        </w:tc>
      </w:tr>
      <w:tr>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Criminal-conviction data</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Potentially relevant only for certain regulated roles</w:t>
            </w:r>
          </w:p>
        </w:tc>
        <w:tc>
          <w:tcPr>
            <w:tcW w:type="dxa" w:w="2448"/>
            <w:vAlign w:val="center"/>
            <w:tcMar>
              <w:top w:w="70" w:type="dxa"/>
              <w:start w:w="80" w:type="dxa"/>
              <w:bottom w:w="70" w:type="dxa"/>
              <w:end w:w="80" w:type="dxa"/>
            </w:tcMar>
            <w:shd w:fill="F7F9FA"/>
          </w:tcPr>
          <w:p>
            <w:pPr>
              <w:spacing w:after="20" w:before="0" w:line="240" w:lineRule="auto"/>
            </w:pPr>
            <w:r>
              <w:rPr>
                <w:rFonts w:ascii="Aptos" w:hAnsi="Aptos"/>
                <w:sz w:val="14"/>
              </w:rPr>
              <w:t>Not part of baseline use case</w:t>
            </w:r>
          </w:p>
        </w:tc>
        <w:tc>
          <w:tcPr>
            <w:tcW w:type="dxa" w:w="2880"/>
            <w:vAlign w:val="center"/>
            <w:tcMar>
              <w:top w:w="70" w:type="dxa"/>
              <w:start w:w="80" w:type="dxa"/>
              <w:bottom w:w="70" w:type="dxa"/>
              <w:end w:w="80" w:type="dxa"/>
            </w:tcMar>
            <w:shd w:fill="F7F9FA"/>
          </w:tcPr>
          <w:p>
            <w:pPr>
              <w:spacing w:after="20" w:before="0" w:line="240" w:lineRule="auto"/>
            </w:pPr>
            <w:r>
              <w:rPr>
                <w:rFonts w:ascii="Aptos" w:hAnsi="Aptos"/>
                <w:sz w:val="14"/>
              </w:rPr>
              <w:t>Do not process in DuckTalent unless separately justified under applicable law and reassessed.</w:t>
            </w:r>
          </w:p>
        </w:tc>
      </w:tr>
    </w:tbl>
    <w:p>
      <w:pPr>
        <w:widowControl/>
        <w:spacing w:after="0"/>
      </w:pPr>
    </w:p>
    <w:p>
      <w:pPr>
        <w:pStyle w:val="Heading1"/>
        <w:keepNext/>
        <w:widowControl/>
      </w:pPr>
      <w:r>
        <w:rPr>
          <w:rFonts w:ascii="Aptos" w:hAnsi="Aptos"/>
        </w:rPr>
        <w:t>5. Controller, Processor, and Governance Roles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Role</w:t>
            </w:r>
          </w:p>
        </w:tc>
        <w:tc>
          <w:tcPr>
            <w:tcW w:type="dxa" w:w="3240"/>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Duckworks assignment / status</w:t>
            </w:r>
          </w:p>
        </w:tc>
        <w:tc>
          <w:tcPr>
            <w:tcW w:type="dxa" w:w="4032"/>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DPIA responsibility</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Controller</w:t>
            </w:r>
          </w:p>
        </w:tc>
        <w:tc>
          <w:tcPr>
            <w:tcW w:type="dxa" w:w="3240"/>
            <w:vAlign w:val="center"/>
            <w:tcMar>
              <w:top w:w="70" w:type="dxa"/>
              <w:start w:w="80" w:type="dxa"/>
              <w:bottom w:w="70" w:type="dxa"/>
              <w:end w:w="80" w:type="dxa"/>
            </w:tcMar>
          </w:tcPr>
          <w:p>
            <w:pPr>
              <w:spacing w:after="20" w:before="0" w:line="240" w:lineRule="auto"/>
            </w:pPr>
            <w:r>
              <w:rPr>
                <w:rFonts w:ascii="Aptos" w:hAnsi="Aptos"/>
                <w:sz w:val="15"/>
              </w:rPr>
              <w:t>Duckworks - assumed for recruitment purpose/means; confirm</w:t>
            </w:r>
          </w:p>
        </w:tc>
        <w:tc>
          <w:tcPr>
            <w:tcW w:type="dxa" w:w="4032"/>
            <w:vAlign w:val="center"/>
            <w:tcMar>
              <w:top w:w="70" w:type="dxa"/>
              <w:start w:w="80" w:type="dxa"/>
              <w:bottom w:w="70" w:type="dxa"/>
              <w:end w:w="80" w:type="dxa"/>
            </w:tcMar>
          </w:tcPr>
          <w:p>
            <w:pPr>
              <w:spacing w:after="20" w:before="0" w:line="240" w:lineRule="auto"/>
            </w:pPr>
            <w:r>
              <w:rPr>
                <w:rFonts w:ascii="Aptos" w:hAnsi="Aptos"/>
                <w:sz w:val="15"/>
              </w:rPr>
              <w:t>Accountable for GDPR compliance, DPIA, lawful basis, rights, vendor arrangements and final processing decision.</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Business owner</w:t>
            </w:r>
          </w:p>
        </w:tc>
        <w:tc>
          <w:tcPr>
            <w:tcW w:type="dxa" w:w="3240"/>
            <w:vAlign w:val="center"/>
            <w:tcMar>
              <w:top w:w="70" w:type="dxa"/>
              <w:start w:w="80" w:type="dxa"/>
              <w:bottom w:w="70" w:type="dxa"/>
              <w:end w:w="80" w:type="dxa"/>
            </w:tcMar>
            <w:shd w:fill="F7F9FA"/>
          </w:tcPr>
          <w:p>
            <w:pPr>
              <w:spacing w:after="20" w:before="0" w:line="240" w:lineRule="auto"/>
            </w:pPr>
            <w:r>
              <w:rPr>
                <w:rFonts w:ascii="Aptos" w:hAnsi="Aptos"/>
                <w:sz w:val="15"/>
              </w:rPr>
              <w:t>Beatrice Van Duck - Chief People Officer</w:t>
            </w:r>
          </w:p>
        </w:tc>
        <w:tc>
          <w:tcPr>
            <w:tcW w:type="dxa" w:w="4032"/>
            <w:vAlign w:val="center"/>
            <w:tcMar>
              <w:top w:w="70" w:type="dxa"/>
              <w:start w:w="80" w:type="dxa"/>
              <w:bottom w:w="70" w:type="dxa"/>
              <w:end w:w="80" w:type="dxa"/>
            </w:tcMar>
            <w:shd w:fill="F7F9FA"/>
          </w:tcPr>
          <w:p>
            <w:pPr>
              <w:spacing w:after="20" w:before="0" w:line="240" w:lineRule="auto"/>
            </w:pPr>
            <w:r>
              <w:rPr>
                <w:rFonts w:ascii="Aptos" w:hAnsi="Aptos"/>
                <w:sz w:val="15"/>
              </w:rPr>
              <w:t>Owns recruitment purpose, business process, human review, operational controls and treatment actions.</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DPO</w:t>
            </w:r>
          </w:p>
        </w:tc>
        <w:tc>
          <w:tcPr>
            <w:tcW w:type="dxa" w:w="3240"/>
            <w:vAlign w:val="center"/>
            <w:tcMar>
              <w:top w:w="70" w:type="dxa"/>
              <w:start w:w="80" w:type="dxa"/>
              <w:bottom w:w="70" w:type="dxa"/>
              <w:end w:w="80" w:type="dxa"/>
            </w:tcMar>
          </w:tcPr>
          <w:p>
            <w:pPr>
              <w:spacing w:after="20" w:before="0" w:line="240" w:lineRule="auto"/>
            </w:pPr>
            <w:r>
              <w:rPr>
                <w:rFonts w:ascii="Aptos" w:hAnsi="Aptos"/>
                <w:sz w:val="15"/>
              </w:rPr>
              <w:t>Delia Duckham</w:t>
            </w:r>
          </w:p>
        </w:tc>
        <w:tc>
          <w:tcPr>
            <w:tcW w:type="dxa" w:w="4032"/>
            <w:vAlign w:val="center"/>
            <w:tcMar>
              <w:top w:w="70" w:type="dxa"/>
              <w:start w:w="80" w:type="dxa"/>
              <w:bottom w:w="70" w:type="dxa"/>
              <w:end w:w="80" w:type="dxa"/>
            </w:tcMar>
          </w:tcPr>
          <w:p>
            <w:pPr>
              <w:spacing w:after="20" w:before="0" w:line="240" w:lineRule="auto"/>
            </w:pPr>
            <w:r>
              <w:rPr>
                <w:rFonts w:ascii="Aptos" w:hAnsi="Aptos"/>
                <w:sz w:val="15"/>
              </w:rPr>
              <w:t>Provides independent advice on DPIA, privacy risk, rights and regulatory requirements; monitors performance of DPIA.</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General Counsel</w:t>
            </w:r>
          </w:p>
        </w:tc>
        <w:tc>
          <w:tcPr>
            <w:tcW w:type="dxa" w:w="3240"/>
            <w:vAlign w:val="center"/>
            <w:tcMar>
              <w:top w:w="70" w:type="dxa"/>
              <w:start w:w="80" w:type="dxa"/>
              <w:bottom w:w="70" w:type="dxa"/>
              <w:end w:w="80" w:type="dxa"/>
            </w:tcMar>
            <w:shd w:fill="F7F9FA"/>
          </w:tcPr>
          <w:p>
            <w:pPr>
              <w:spacing w:after="20" w:before="0" w:line="240" w:lineRule="auto"/>
            </w:pPr>
            <w:r>
              <w:rPr>
                <w:rFonts w:ascii="Aptos" w:hAnsi="Aptos"/>
                <w:sz w:val="15"/>
              </w:rPr>
              <w:t>Amelia Duckett</w:t>
            </w:r>
          </w:p>
        </w:tc>
        <w:tc>
          <w:tcPr>
            <w:tcW w:type="dxa" w:w="4032"/>
            <w:vAlign w:val="center"/>
            <w:tcMar>
              <w:top w:w="70" w:type="dxa"/>
              <w:start w:w="80" w:type="dxa"/>
              <w:bottom w:w="70" w:type="dxa"/>
              <w:end w:w="80" w:type="dxa"/>
            </w:tcMar>
            <w:shd w:fill="F7F9FA"/>
          </w:tcPr>
          <w:p>
            <w:pPr>
              <w:spacing w:after="20" w:before="0" w:line="240" w:lineRule="auto"/>
            </w:pPr>
            <w:r>
              <w:rPr>
                <w:rFonts w:ascii="Aptos" w:hAnsi="Aptos"/>
                <w:sz w:val="15"/>
              </w:rPr>
              <w:t>Confirms legal basis, employment-law context, contracts, jurisdiction and legal interpretation.</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Technical owner</w:t>
            </w:r>
          </w:p>
        </w:tc>
        <w:tc>
          <w:tcPr>
            <w:tcW w:type="dxa" w:w="3240"/>
            <w:vAlign w:val="center"/>
            <w:tcMar>
              <w:top w:w="70" w:type="dxa"/>
              <w:start w:w="80" w:type="dxa"/>
              <w:bottom w:w="70" w:type="dxa"/>
              <w:end w:w="80" w:type="dxa"/>
            </w:tcMar>
          </w:tcPr>
          <w:p>
            <w:pPr>
              <w:spacing w:after="20" w:before="0" w:line="240" w:lineRule="auto"/>
            </w:pPr>
            <w:r>
              <w:rPr>
                <w:rFonts w:ascii="Aptos" w:hAnsi="Aptos"/>
                <w:sz w:val="15"/>
              </w:rPr>
              <w:t>Dr. Ada Duckfield - Head of Data &amp; AI</w:t>
            </w:r>
          </w:p>
        </w:tc>
        <w:tc>
          <w:tcPr>
            <w:tcW w:type="dxa" w:w="4032"/>
            <w:vAlign w:val="center"/>
            <w:tcMar>
              <w:top w:w="70" w:type="dxa"/>
              <w:start w:w="80" w:type="dxa"/>
              <w:bottom w:w="70" w:type="dxa"/>
              <w:end w:w="80" w:type="dxa"/>
            </w:tcMar>
          </w:tcPr>
          <w:p>
            <w:pPr>
              <w:spacing w:after="20" w:before="0" w:line="240" w:lineRule="auto"/>
            </w:pPr>
            <w:r>
              <w:rPr>
                <w:rFonts w:ascii="Aptos" w:hAnsi="Aptos"/>
                <w:sz w:val="15"/>
              </w:rPr>
              <w:t>Provides architecture, data/model lifecycle, testing, monitoring and change evidence.</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Security challenger</w:t>
            </w:r>
          </w:p>
        </w:tc>
        <w:tc>
          <w:tcPr>
            <w:tcW w:type="dxa" w:w="3240"/>
            <w:vAlign w:val="center"/>
            <w:tcMar>
              <w:top w:w="70" w:type="dxa"/>
              <w:start w:w="80" w:type="dxa"/>
              <w:bottom w:w="70" w:type="dxa"/>
              <w:end w:w="80" w:type="dxa"/>
            </w:tcMar>
            <w:shd w:fill="F7F9FA"/>
          </w:tcPr>
          <w:p>
            <w:pPr>
              <w:spacing w:after="20" w:before="0" w:line="240" w:lineRule="auto"/>
            </w:pPr>
            <w:r>
              <w:rPr>
                <w:rFonts w:ascii="Aptos" w:hAnsi="Aptos"/>
                <w:sz w:val="15"/>
              </w:rPr>
              <w:t>Cassandra Duckley - CISO</w:t>
            </w:r>
          </w:p>
        </w:tc>
        <w:tc>
          <w:tcPr>
            <w:tcW w:type="dxa" w:w="4032"/>
            <w:vAlign w:val="center"/>
            <w:tcMar>
              <w:top w:w="70" w:type="dxa"/>
              <w:start w:w="80" w:type="dxa"/>
              <w:bottom w:w="70" w:type="dxa"/>
              <w:end w:w="80" w:type="dxa"/>
            </w:tcMar>
            <w:shd w:fill="F7F9FA"/>
          </w:tcPr>
          <w:p>
            <w:pPr>
              <w:spacing w:after="20" w:before="0" w:line="240" w:lineRule="auto"/>
            </w:pPr>
            <w:r>
              <w:rPr>
                <w:rFonts w:ascii="Aptos" w:hAnsi="Aptos"/>
                <w:sz w:val="15"/>
              </w:rPr>
              <w:t>Reviews access, confidentiality, threat model, logging, integrations, vendor/model supply-chain and security testing.</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AI Governance Lead</w:t>
            </w:r>
          </w:p>
        </w:tc>
        <w:tc>
          <w:tcPr>
            <w:tcW w:type="dxa" w:w="3240"/>
            <w:vAlign w:val="center"/>
            <w:tcMar>
              <w:top w:w="70" w:type="dxa"/>
              <w:start w:w="80" w:type="dxa"/>
              <w:bottom w:w="70" w:type="dxa"/>
              <w:end w:w="80" w:type="dxa"/>
            </w:tcMar>
          </w:tcPr>
          <w:p>
            <w:pPr>
              <w:spacing w:after="20" w:before="0" w:line="240" w:lineRule="auto"/>
            </w:pPr>
            <w:r>
              <w:rPr>
                <w:rFonts w:ascii="Aptos" w:hAnsi="Aptos"/>
                <w:sz w:val="15"/>
              </w:rPr>
              <w:t>Eleanor Duckford</w:t>
            </w:r>
          </w:p>
        </w:tc>
        <w:tc>
          <w:tcPr>
            <w:tcW w:type="dxa" w:w="4032"/>
            <w:vAlign w:val="center"/>
            <w:tcMar>
              <w:top w:w="70" w:type="dxa"/>
              <w:start w:w="80" w:type="dxa"/>
              <w:bottom w:w="70" w:type="dxa"/>
              <w:end w:w="80" w:type="dxa"/>
            </w:tcMar>
          </w:tcPr>
          <w:p>
            <w:pPr>
              <w:spacing w:after="20" w:before="0" w:line="240" w:lineRule="auto"/>
            </w:pPr>
            <w:r>
              <w:rPr>
                <w:rFonts w:ascii="Aptos" w:hAnsi="Aptos"/>
                <w:sz w:val="15"/>
              </w:rPr>
              <w:t>Coordinates inventory, companion AIA/risk records, evidence, approvals, action tracking and reassessment.</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Processor / subprocessor</w:t>
            </w:r>
          </w:p>
        </w:tc>
        <w:tc>
          <w:tcPr>
            <w:tcW w:type="dxa" w:w="3240"/>
            <w:vAlign w:val="center"/>
            <w:tcMar>
              <w:top w:w="70" w:type="dxa"/>
              <w:start w:w="80" w:type="dxa"/>
              <w:bottom w:w="70" w:type="dxa"/>
              <w:end w:w="80" w:type="dxa"/>
            </w:tcMar>
            <w:shd w:fill="F7F9FA"/>
          </w:tcPr>
          <w:p>
            <w:pPr>
              <w:spacing w:after="20" w:before="0" w:line="240" w:lineRule="auto"/>
            </w:pPr>
            <w:r>
              <w:rPr>
                <w:rFonts w:ascii="Aptos" w:hAnsi="Aptos"/>
                <w:sz w:val="15"/>
              </w:rPr>
              <w:t>TBD - depends on selected provider/architecture</w:t>
            </w:r>
          </w:p>
        </w:tc>
        <w:tc>
          <w:tcPr>
            <w:tcW w:type="dxa" w:w="4032"/>
            <w:vAlign w:val="center"/>
            <w:tcMar>
              <w:top w:w="70" w:type="dxa"/>
              <w:start w:w="80" w:type="dxa"/>
              <w:bottom w:w="70" w:type="dxa"/>
              <w:end w:w="80" w:type="dxa"/>
            </w:tcMar>
            <w:shd w:fill="F7F9FA"/>
          </w:tcPr>
          <w:p>
            <w:pPr>
              <w:spacing w:after="20" w:before="0" w:line="240" w:lineRule="auto"/>
            </w:pPr>
            <w:r>
              <w:rPr>
                <w:rFonts w:ascii="Aptos" w:hAnsi="Aptos"/>
                <w:sz w:val="15"/>
              </w:rPr>
              <w:t>Article 28 role, instructions, confidentiality, security, subprocessors, deletion/return and assistance duties to be contractually validated.</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Internal Audit</w:t>
            </w:r>
          </w:p>
        </w:tc>
        <w:tc>
          <w:tcPr>
            <w:tcW w:type="dxa" w:w="3240"/>
            <w:vAlign w:val="center"/>
            <w:tcMar>
              <w:top w:w="70" w:type="dxa"/>
              <w:start w:w="80" w:type="dxa"/>
              <w:bottom w:w="70" w:type="dxa"/>
              <w:end w:w="80" w:type="dxa"/>
            </w:tcMar>
          </w:tcPr>
          <w:p>
            <w:pPr>
              <w:spacing w:after="20" w:before="0" w:line="240" w:lineRule="auto"/>
            </w:pPr>
            <w:r>
              <w:rPr>
                <w:rFonts w:ascii="Aptos" w:hAnsi="Aptos"/>
                <w:sz w:val="15"/>
              </w:rPr>
              <w:t>Penelope Duckins</w:t>
            </w:r>
          </w:p>
        </w:tc>
        <w:tc>
          <w:tcPr>
            <w:tcW w:type="dxa" w:w="4032"/>
            <w:vAlign w:val="center"/>
            <w:tcMar>
              <w:top w:w="70" w:type="dxa"/>
              <w:start w:w="80" w:type="dxa"/>
              <w:bottom w:w="70" w:type="dxa"/>
              <w:end w:w="80" w:type="dxa"/>
            </w:tcMar>
          </w:tcPr>
          <w:p>
            <w:pPr>
              <w:spacing w:after="20" w:before="0" w:line="240" w:lineRule="auto"/>
            </w:pPr>
            <w:r>
              <w:rPr>
                <w:rFonts w:ascii="Aptos" w:hAnsi="Aptos"/>
                <w:sz w:val="15"/>
              </w:rPr>
              <w:t>Independent assurance only; does not own or approve first-/second-line privacy controls.</w:t>
            </w:r>
          </w:p>
        </w:tc>
      </w:tr>
    </w:tbl>
    <w:p>
      <w:pPr>
        <w:widowControl/>
        <w:spacing w:after="0"/>
      </w:pPr>
    </w:p>
    <w:p>
      <w:pPr>
        <w:pStyle w:val="Heading1"/>
        <w:keepNext/>
        <w:widowControl/>
      </w:pPr>
      <w:r>
        <w:rPr>
          <w:rFonts w:ascii="Aptos" w:hAnsi="Aptos"/>
        </w:rPr>
        <w:t>6. Lawfulness, Fairness, and Transparency</w:t>
      </w:r>
    </w:p>
    <w:p>
      <w:pPr>
        <w:widowControl/>
      </w:pPr>
      <w:r>
        <w:rPr>
          <w:rFonts w:ascii="Aptos" w:hAnsi="Aptos"/>
        </w:rPr>
        <w:t>The project source set does not provide enough verified jurisdictional facts to select a definitive Article 6 lawful basis. The DPIA therefore records lawful basis as an open blocking decision rather than inventing one.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Issue</w:t>
            </w:r>
          </w:p>
        </w:tc>
        <w:tc>
          <w:tcPr>
            <w:tcW w:type="dxa" w:w="3096"/>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Current position</w:t>
            </w:r>
          </w:p>
        </w:tc>
        <w:tc>
          <w:tcPr>
            <w:tcW w:type="dxa" w:w="4176"/>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Required evidence / decision</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4"/>
              </w:rPr>
              <w:t>Article 6 lawful basis</w:t>
            </w:r>
          </w:p>
        </w:tc>
        <w:tc>
          <w:tcPr>
            <w:tcW w:type="dxa" w:w="3096"/>
            <w:vAlign w:val="center"/>
            <w:tcMar>
              <w:top w:w="70" w:type="dxa"/>
              <w:start w:w="80" w:type="dxa"/>
              <w:bottom w:w="70" w:type="dxa"/>
              <w:end w:w="80" w:type="dxa"/>
            </w:tcMar>
          </w:tcPr>
          <w:p>
            <w:pPr>
              <w:spacing w:after="20" w:before="0" w:line="240" w:lineRule="auto"/>
            </w:pPr>
            <w:r>
              <w:rPr>
                <w:rFonts w:ascii="Aptos" w:hAnsi="Aptos"/>
                <w:sz w:val="14"/>
              </w:rPr>
              <w:t>Not yet confirmed</w:t>
            </w:r>
          </w:p>
        </w:tc>
        <w:tc>
          <w:tcPr>
            <w:tcW w:type="dxa" w:w="4176"/>
            <w:vAlign w:val="center"/>
            <w:tcMar>
              <w:top w:w="70" w:type="dxa"/>
              <w:start w:w="80" w:type="dxa"/>
              <w:bottom w:w="70" w:type="dxa"/>
              <w:end w:w="80" w:type="dxa"/>
            </w:tcMar>
          </w:tcPr>
          <w:p>
            <w:pPr>
              <w:spacing w:after="20" w:before="0" w:line="240" w:lineRule="auto"/>
            </w:pPr>
            <w:r>
              <w:rPr>
                <w:rFonts w:ascii="Aptos" w:hAnsi="Aptos"/>
                <w:sz w:val="14"/>
              </w:rPr>
              <w:t>Legal/DPO assessment considering recruitment purpose, jurisdiction, national employment law and actual processing. Do not default to applicant consent without assessing voluntariness and suitability.</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Article 9 special categories</w:t>
            </w:r>
          </w:p>
        </w:tc>
        <w:tc>
          <w:tcPr>
            <w:tcW w:type="dxa" w:w="3096"/>
            <w:vAlign w:val="center"/>
            <w:tcMar>
              <w:top w:w="70" w:type="dxa"/>
              <w:start w:w="80" w:type="dxa"/>
              <w:bottom w:w="70" w:type="dxa"/>
              <w:end w:w="80" w:type="dxa"/>
            </w:tcMar>
            <w:shd w:fill="F7F9FA"/>
          </w:tcPr>
          <w:p>
            <w:pPr>
              <w:spacing w:after="20" w:before="0" w:line="240" w:lineRule="auto"/>
            </w:pPr>
            <w:r>
              <w:rPr>
                <w:rFonts w:ascii="Aptos" w:hAnsi="Aptos"/>
                <w:sz w:val="14"/>
              </w:rPr>
              <w:t>Not intended for ranking/use</w:t>
            </w:r>
          </w:p>
        </w:tc>
        <w:tc>
          <w:tcPr>
            <w:tcW w:type="dxa" w:w="4176"/>
            <w:vAlign w:val="center"/>
            <w:tcMar>
              <w:top w:w="70" w:type="dxa"/>
              <w:start w:w="80" w:type="dxa"/>
              <w:bottom w:w="70" w:type="dxa"/>
              <w:end w:w="80" w:type="dxa"/>
            </w:tcMar>
            <w:shd w:fill="F7F9FA"/>
          </w:tcPr>
          <w:p>
            <w:pPr>
              <w:spacing w:after="20" w:before="0" w:line="240" w:lineRule="auto"/>
            </w:pPr>
            <w:r>
              <w:rPr>
                <w:rFonts w:ascii="Aptos" w:hAnsi="Aptos"/>
                <w:sz w:val="14"/>
              </w:rPr>
              <w:t>Design filtering/minimization; establish process for incidental data; any deliberate processing requires a valid Article 9 condition plus applicable national safeguards.</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4"/>
              </w:rPr>
              <w:t>Article 10 criminal data</w:t>
            </w:r>
          </w:p>
        </w:tc>
        <w:tc>
          <w:tcPr>
            <w:tcW w:type="dxa" w:w="3096"/>
            <w:vAlign w:val="center"/>
            <w:tcMar>
              <w:top w:w="70" w:type="dxa"/>
              <w:start w:w="80" w:type="dxa"/>
              <w:bottom w:w="70" w:type="dxa"/>
              <w:end w:w="80" w:type="dxa"/>
            </w:tcMar>
          </w:tcPr>
          <w:p>
            <w:pPr>
              <w:spacing w:after="20" w:before="0" w:line="240" w:lineRule="auto"/>
            </w:pPr>
            <w:r>
              <w:rPr>
                <w:rFonts w:ascii="Aptos" w:hAnsi="Aptos"/>
                <w:sz w:val="14"/>
              </w:rPr>
              <w:t>Not part of baseline</w:t>
            </w:r>
          </w:p>
        </w:tc>
        <w:tc>
          <w:tcPr>
            <w:tcW w:type="dxa" w:w="4176"/>
            <w:vAlign w:val="center"/>
            <w:tcMar>
              <w:top w:w="70" w:type="dxa"/>
              <w:start w:w="80" w:type="dxa"/>
              <w:bottom w:w="70" w:type="dxa"/>
              <w:end w:w="80" w:type="dxa"/>
            </w:tcMar>
          </w:tcPr>
          <w:p>
            <w:pPr>
              <w:spacing w:after="20" w:before="0" w:line="240" w:lineRule="auto"/>
            </w:pPr>
            <w:r>
              <w:rPr>
                <w:rFonts w:ascii="Aptos" w:hAnsi="Aptos"/>
                <w:sz w:val="14"/>
              </w:rPr>
              <w:t>Any future processing requires separate lawful authority and safeguards.</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Transparency Articles 13/14</w:t>
            </w:r>
          </w:p>
        </w:tc>
        <w:tc>
          <w:tcPr>
            <w:tcW w:type="dxa" w:w="3096"/>
            <w:vAlign w:val="center"/>
            <w:tcMar>
              <w:top w:w="70" w:type="dxa"/>
              <w:start w:w="80" w:type="dxa"/>
              <w:bottom w:w="70" w:type="dxa"/>
              <w:end w:w="80" w:type="dxa"/>
            </w:tcMar>
            <w:shd w:fill="F7F9FA"/>
          </w:tcPr>
          <w:p>
            <w:pPr>
              <w:spacing w:after="20" w:before="0" w:line="240" w:lineRule="auto"/>
            </w:pPr>
            <w:r>
              <w:rPr>
                <w:rFonts w:ascii="Aptos" w:hAnsi="Aptos"/>
                <w:sz w:val="14"/>
              </w:rPr>
              <w:t>Required where applicable</w:t>
            </w:r>
          </w:p>
        </w:tc>
        <w:tc>
          <w:tcPr>
            <w:tcW w:type="dxa" w:w="4176"/>
            <w:vAlign w:val="center"/>
            <w:tcMar>
              <w:top w:w="70" w:type="dxa"/>
              <w:start w:w="80" w:type="dxa"/>
              <w:bottom w:w="70" w:type="dxa"/>
              <w:end w:w="80" w:type="dxa"/>
            </w:tcMar>
            <w:shd w:fill="F7F9FA"/>
          </w:tcPr>
          <w:p>
            <w:pPr>
              <w:spacing w:after="20" w:before="0" w:line="240" w:lineRule="auto"/>
            </w:pPr>
            <w:r>
              <w:rPr>
                <w:rFonts w:ascii="Aptos" w:hAnsi="Aptos"/>
                <w:sz w:val="14"/>
              </w:rPr>
              <w:t>Applicant notice describing controller, purposes, legal basis, data categories/sources, recipients, transfers, retention, rights, AI-assisted evaluation and contact/escalation route.</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4"/>
              </w:rPr>
              <w:t>Article 22 boundary</w:t>
            </w:r>
          </w:p>
        </w:tc>
        <w:tc>
          <w:tcPr>
            <w:tcW w:type="dxa" w:w="3096"/>
            <w:vAlign w:val="center"/>
            <w:tcMar>
              <w:top w:w="70" w:type="dxa"/>
              <w:start w:w="80" w:type="dxa"/>
              <w:bottom w:w="70" w:type="dxa"/>
              <w:end w:w="80" w:type="dxa"/>
            </w:tcMar>
          </w:tcPr>
          <w:p>
            <w:pPr>
              <w:spacing w:after="20" w:before="0" w:line="240" w:lineRule="auto"/>
            </w:pPr>
            <w:r>
              <w:rPr>
                <w:rFonts w:ascii="Aptos" w:hAnsi="Aptos"/>
                <w:sz w:val="14"/>
              </w:rPr>
              <w:t>Solely automated final decisions prohibited by Duckworks design</w:t>
            </w:r>
          </w:p>
        </w:tc>
        <w:tc>
          <w:tcPr>
            <w:tcW w:type="dxa" w:w="4176"/>
            <w:vAlign w:val="center"/>
            <w:tcMar>
              <w:top w:w="70" w:type="dxa"/>
              <w:start w:w="80" w:type="dxa"/>
              <w:bottom w:w="70" w:type="dxa"/>
              <w:end w:w="80" w:type="dxa"/>
            </w:tcMar>
          </w:tcPr>
          <w:p>
            <w:pPr>
              <w:spacing w:after="20" w:before="0" w:line="240" w:lineRule="auto"/>
            </w:pPr>
            <w:r>
              <w:rPr>
                <w:rFonts w:ascii="Aptos" w:hAnsi="Aptos"/>
                <w:sz w:val="14"/>
              </w:rPr>
              <w:t>Evidence that humans can review source data, understand limitations, override output, record rationale and are not compelled to follow ranking.</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Data accuracy / Article 5(1)(d)</w:t>
            </w:r>
          </w:p>
        </w:tc>
        <w:tc>
          <w:tcPr>
            <w:tcW w:type="dxa" w:w="3096"/>
            <w:vAlign w:val="center"/>
            <w:tcMar>
              <w:top w:w="70" w:type="dxa"/>
              <w:start w:w="80" w:type="dxa"/>
              <w:bottom w:w="70" w:type="dxa"/>
              <w:end w:w="80" w:type="dxa"/>
            </w:tcMar>
            <w:shd w:fill="F7F9FA"/>
          </w:tcPr>
          <w:p>
            <w:pPr>
              <w:spacing w:after="20" w:before="0" w:line="240" w:lineRule="auto"/>
            </w:pPr>
            <w:r>
              <w:rPr>
                <w:rFonts w:ascii="Aptos" w:hAnsi="Aptos"/>
                <w:sz w:val="14"/>
              </w:rPr>
              <w:t>Material because parsing/ranking may be wrong</w:t>
            </w:r>
          </w:p>
        </w:tc>
        <w:tc>
          <w:tcPr>
            <w:tcW w:type="dxa" w:w="4176"/>
            <w:vAlign w:val="center"/>
            <w:tcMar>
              <w:top w:w="70" w:type="dxa"/>
              <w:start w:w="80" w:type="dxa"/>
              <w:bottom w:w="70" w:type="dxa"/>
              <w:end w:w="80" w:type="dxa"/>
            </w:tcMar>
            <w:shd w:fill="F7F9FA"/>
          </w:tcPr>
          <w:p>
            <w:pPr>
              <w:spacing w:after="20" w:before="0" w:line="240" w:lineRule="auto"/>
            </w:pPr>
            <w:r>
              <w:rPr>
                <w:rFonts w:ascii="Aptos" w:hAnsi="Aptos"/>
                <w:sz w:val="14"/>
              </w:rPr>
              <w:t>Applicant correction route; recruiter ability to correct extracted data; performance testing across relevant document formats/languages.</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4"/>
              </w:rPr>
              <w:t>Purpose limitation</w:t>
            </w:r>
          </w:p>
        </w:tc>
        <w:tc>
          <w:tcPr>
            <w:tcW w:type="dxa" w:w="3096"/>
            <w:vAlign w:val="center"/>
            <w:tcMar>
              <w:top w:w="70" w:type="dxa"/>
              <w:start w:w="80" w:type="dxa"/>
              <w:bottom w:w="70" w:type="dxa"/>
              <w:end w:w="80" w:type="dxa"/>
            </w:tcMar>
          </w:tcPr>
          <w:p>
            <w:pPr>
              <w:spacing w:after="20" w:before="0" w:line="240" w:lineRule="auto"/>
            </w:pPr>
            <w:r>
              <w:rPr>
                <w:rFonts w:ascii="Aptos" w:hAnsi="Aptos"/>
                <w:sz w:val="14"/>
              </w:rPr>
              <w:t>Recruitment only</w:t>
            </w:r>
          </w:p>
        </w:tc>
        <w:tc>
          <w:tcPr>
            <w:tcW w:type="dxa" w:w="4176"/>
            <w:vAlign w:val="center"/>
            <w:tcMar>
              <w:top w:w="70" w:type="dxa"/>
              <w:start w:w="80" w:type="dxa"/>
              <w:bottom w:w="70" w:type="dxa"/>
              <w:end w:w="80" w:type="dxa"/>
            </w:tcMar>
          </w:tcPr>
          <w:p>
            <w:pPr>
              <w:spacing w:after="20" w:before="0" w:line="240" w:lineRule="auto"/>
            </w:pPr>
            <w:r>
              <w:rPr>
                <w:rFonts w:ascii="Aptos" w:hAnsi="Aptos"/>
                <w:sz w:val="14"/>
              </w:rPr>
              <w:t>No secondary training, talent analytics or other use without compatibility/legal assessment and governance approval.</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4"/>
              </w:rPr>
              <w:t>Storage limitation</w:t>
            </w:r>
          </w:p>
        </w:tc>
        <w:tc>
          <w:tcPr>
            <w:tcW w:type="dxa" w:w="3096"/>
            <w:vAlign w:val="center"/>
            <w:tcMar>
              <w:top w:w="70" w:type="dxa"/>
              <w:start w:w="80" w:type="dxa"/>
              <w:bottom w:w="70" w:type="dxa"/>
              <w:end w:w="80" w:type="dxa"/>
            </w:tcMar>
            <w:shd w:fill="F7F9FA"/>
          </w:tcPr>
          <w:p>
            <w:pPr>
              <w:spacing w:after="20" w:before="0" w:line="240" w:lineRule="auto"/>
            </w:pPr>
            <w:r>
              <w:rPr>
                <w:rFonts w:ascii="Aptos" w:hAnsi="Aptos"/>
                <w:sz w:val="14"/>
              </w:rPr>
              <w:t>Period not yet defined</w:t>
            </w:r>
          </w:p>
        </w:tc>
        <w:tc>
          <w:tcPr>
            <w:tcW w:type="dxa" w:w="4176"/>
            <w:vAlign w:val="center"/>
            <w:tcMar>
              <w:top w:w="70" w:type="dxa"/>
              <w:start w:w="80" w:type="dxa"/>
              <w:bottom w:w="70" w:type="dxa"/>
              <w:end w:w="80" w:type="dxa"/>
            </w:tcMar>
            <w:shd w:fill="F7F9FA"/>
          </w:tcPr>
          <w:p>
            <w:pPr>
              <w:spacing w:after="20" w:before="0" w:line="240" w:lineRule="auto"/>
            </w:pPr>
            <w:r>
              <w:rPr>
                <w:rFonts w:ascii="Aptos" w:hAnsi="Aptos"/>
                <w:sz w:val="14"/>
              </w:rPr>
              <w:t>Records/legal/HR/DPO must define schedule by purpose and jurisdiction; model/provider copies and backups must follow it.</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4"/>
              </w:rPr>
              <w:t>International transfers</w:t>
            </w:r>
          </w:p>
        </w:tc>
        <w:tc>
          <w:tcPr>
            <w:tcW w:type="dxa" w:w="3096"/>
            <w:vAlign w:val="center"/>
            <w:tcMar>
              <w:top w:w="70" w:type="dxa"/>
              <w:start w:w="80" w:type="dxa"/>
              <w:bottom w:w="70" w:type="dxa"/>
              <w:end w:w="80" w:type="dxa"/>
            </w:tcMar>
          </w:tcPr>
          <w:p>
            <w:pPr>
              <w:spacing w:after="20" w:before="0" w:line="240" w:lineRule="auto"/>
            </w:pPr>
            <w:r>
              <w:rPr>
                <w:rFonts w:ascii="Aptos" w:hAnsi="Aptos"/>
                <w:sz w:val="14"/>
              </w:rPr>
              <w:t>Unknown</w:t>
            </w:r>
          </w:p>
        </w:tc>
        <w:tc>
          <w:tcPr>
            <w:tcW w:type="dxa" w:w="4176"/>
            <w:vAlign w:val="center"/>
            <w:tcMar>
              <w:top w:w="70" w:type="dxa"/>
              <w:start w:w="80" w:type="dxa"/>
              <w:bottom w:w="70" w:type="dxa"/>
              <w:end w:w="80" w:type="dxa"/>
            </w:tcMar>
          </w:tcPr>
          <w:p>
            <w:pPr>
              <w:spacing w:after="20" w:before="0" w:line="240" w:lineRule="auto"/>
            </w:pPr>
            <w:r>
              <w:rPr>
                <w:rFonts w:ascii="Aptos" w:hAnsi="Aptos"/>
                <w:sz w:val="14"/>
              </w:rPr>
              <w:t>Map hosting, support, subprocessors and data locations; apply Chapter V transfer mechanism where required.</w:t>
            </w:r>
          </w:p>
        </w:tc>
      </w:tr>
    </w:tbl>
    <w:p>
      <w:pPr>
        <w:widowControl/>
        <w:spacing w:after="0"/>
      </w:pPr>
    </w:p>
    <w:p>
      <w:pPr>
        <w:pStyle w:val="Heading1"/>
        <w:keepNext/>
        <w:widowControl/>
      </w:pPr>
      <w:r>
        <w:rPr>
          <w:rFonts w:ascii="Aptos" w:hAnsi="Aptos"/>
        </w:rPr>
        <w:t>7. Necessity and Proportionality Assessment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Test</w:t>
            </w:r>
          </w:p>
        </w:tc>
        <w:tc>
          <w:tcPr>
            <w:tcW w:type="dxa" w:w="3672"/>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Assessment</w:t>
            </w:r>
          </w:p>
        </w:tc>
        <w:tc>
          <w:tcPr>
            <w:tcW w:type="dxa" w:w="3816"/>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Required control / evidence</w:t>
            </w:r>
          </w:p>
        </w:tc>
      </w:tr>
      <w:tr>
        <w:tc>
          <w:tcPr>
            <w:tcW w:type="dxa" w:w="2016"/>
            <w:vAlign w:val="center"/>
            <w:tcMar>
              <w:top w:w="70" w:type="dxa"/>
              <w:start w:w="80" w:type="dxa"/>
              <w:bottom w:w="70" w:type="dxa"/>
              <w:end w:w="80" w:type="dxa"/>
            </w:tcMar>
          </w:tcPr>
          <w:p>
            <w:pPr>
              <w:spacing w:after="20" w:before="0" w:line="240" w:lineRule="auto"/>
            </w:pPr>
            <w:r>
              <w:rPr>
                <w:rFonts w:ascii="Aptos" w:hAnsi="Aptos"/>
                <w:sz w:val="14"/>
              </w:rPr>
              <w:t>Defined business need</w:t>
            </w:r>
          </w:p>
        </w:tc>
        <w:tc>
          <w:tcPr>
            <w:tcW w:type="dxa" w:w="3672"/>
            <w:vAlign w:val="center"/>
            <w:tcMar>
              <w:top w:w="70" w:type="dxa"/>
              <w:start w:w="80" w:type="dxa"/>
              <w:bottom w:w="70" w:type="dxa"/>
              <w:end w:w="80" w:type="dxa"/>
            </w:tcMar>
          </w:tcPr>
          <w:p>
            <w:pPr>
              <w:spacing w:after="20" w:before="0" w:line="240" w:lineRule="auto"/>
            </w:pPr>
            <w:r>
              <w:rPr>
                <w:rFonts w:ascii="Aptos" w:hAnsi="Aptos"/>
                <w:sz w:val="14"/>
              </w:rPr>
              <w:t>Duckworks expects growing application volumes and wants to reduce repetitive screening while improving structured comparison. Benefit is a hypothesis, not yet evidenced.</w:t>
            </w:r>
          </w:p>
        </w:tc>
        <w:tc>
          <w:tcPr>
            <w:tcW w:type="dxa" w:w="3816"/>
            <w:vAlign w:val="center"/>
            <w:tcMar>
              <w:top w:w="70" w:type="dxa"/>
              <w:start w:w="80" w:type="dxa"/>
              <w:bottom w:w="70" w:type="dxa"/>
              <w:end w:w="80" w:type="dxa"/>
            </w:tcMar>
          </w:tcPr>
          <w:p>
            <w:pPr>
              <w:spacing w:after="20" w:before="0" w:line="240" w:lineRule="auto"/>
            </w:pPr>
            <w:r>
              <w:rPr>
                <w:rFonts w:ascii="Aptos" w:hAnsi="Aptos"/>
                <w:sz w:val="14"/>
              </w:rPr>
              <w:t>Baseline current process, workload, quality and candidate experience before claiming benefit.</w:t>
            </w:r>
          </w:p>
        </w:tc>
      </w:tr>
      <w:tr>
        <w:tc>
          <w:tcPr>
            <w:tcW w:type="dxa" w:w="2016"/>
            <w:vAlign w:val="center"/>
            <w:tcMar>
              <w:top w:w="70" w:type="dxa"/>
              <w:start w:w="80" w:type="dxa"/>
              <w:bottom w:w="70" w:type="dxa"/>
              <w:end w:w="80" w:type="dxa"/>
            </w:tcMar>
            <w:shd w:fill="F7F9FA"/>
          </w:tcPr>
          <w:p>
            <w:pPr>
              <w:spacing w:after="20" w:before="0" w:line="240" w:lineRule="auto"/>
            </w:pPr>
            <w:r>
              <w:rPr>
                <w:rFonts w:ascii="Aptos" w:hAnsi="Aptos"/>
                <w:sz w:val="14"/>
              </w:rPr>
              <w:t>Can the purpose be achieved with less intrusive means?</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4"/>
              </w:rPr>
              <w:t>Possibly in part through ATS rules, structured application forms, recruiter process improvements or narrower AI functions.</w:t>
            </w:r>
          </w:p>
        </w:tc>
        <w:tc>
          <w:tcPr>
            <w:tcW w:type="dxa" w:w="3816"/>
            <w:vAlign w:val="center"/>
            <w:tcMar>
              <w:top w:w="70" w:type="dxa"/>
              <w:start w:w="80" w:type="dxa"/>
              <w:bottom w:w="70" w:type="dxa"/>
              <w:end w:w="80" w:type="dxa"/>
            </w:tcMar>
            <w:shd w:fill="F7F9FA"/>
          </w:tcPr>
          <w:p>
            <w:pPr>
              <w:spacing w:after="20" w:before="0" w:line="240" w:lineRule="auto"/>
            </w:pPr>
            <w:r>
              <w:rPr>
                <w:rFonts w:ascii="Aptos" w:hAnsi="Aptos"/>
                <w:sz w:val="14"/>
              </w:rPr>
              <w:t>Compare alternatives and justify which AI functions add necessary value.</w:t>
            </w:r>
          </w:p>
        </w:tc>
      </w:tr>
      <w:tr>
        <w:tc>
          <w:tcPr>
            <w:tcW w:type="dxa" w:w="2016"/>
            <w:vAlign w:val="center"/>
            <w:tcMar>
              <w:top w:w="70" w:type="dxa"/>
              <w:start w:w="80" w:type="dxa"/>
              <w:bottom w:w="70" w:type="dxa"/>
              <w:end w:w="80" w:type="dxa"/>
            </w:tcMar>
          </w:tcPr>
          <w:p>
            <w:pPr>
              <w:spacing w:after="20" w:before="0" w:line="240" w:lineRule="auto"/>
            </w:pPr>
            <w:r>
              <w:rPr>
                <w:rFonts w:ascii="Aptos" w:hAnsi="Aptos"/>
                <w:sz w:val="14"/>
              </w:rPr>
              <w:t>Data minimization</w:t>
            </w:r>
          </w:p>
        </w:tc>
        <w:tc>
          <w:tcPr>
            <w:tcW w:type="dxa" w:w="3672"/>
            <w:vAlign w:val="center"/>
            <w:tcMar>
              <w:top w:w="70" w:type="dxa"/>
              <w:start w:w="80" w:type="dxa"/>
              <w:bottom w:w="70" w:type="dxa"/>
              <w:end w:w="80" w:type="dxa"/>
            </w:tcMar>
          </w:tcPr>
          <w:p>
            <w:pPr>
              <w:spacing w:after="20" w:before="0" w:line="240" w:lineRule="auto"/>
            </w:pPr>
            <w:r>
              <w:rPr>
                <w:rFonts w:ascii="Aptos" w:hAnsi="Aptos"/>
                <w:sz w:val="14"/>
              </w:rPr>
              <w:t>Risk of over-collecting CV/free-text data and extracting irrelevant attributes.</w:t>
            </w:r>
          </w:p>
        </w:tc>
        <w:tc>
          <w:tcPr>
            <w:tcW w:type="dxa" w:w="3816"/>
            <w:vAlign w:val="center"/>
            <w:tcMar>
              <w:top w:w="70" w:type="dxa"/>
              <w:start w:w="80" w:type="dxa"/>
              <w:bottom w:w="70" w:type="dxa"/>
              <w:end w:w="80" w:type="dxa"/>
            </w:tcMar>
          </w:tcPr>
          <w:p>
            <w:pPr>
              <w:spacing w:after="20" w:before="0" w:line="240" w:lineRule="auto"/>
            </w:pPr>
            <w:r>
              <w:rPr>
                <w:rFonts w:ascii="Aptos" w:hAnsi="Aptos"/>
                <w:sz w:val="14"/>
              </w:rPr>
              <w:t>Approved field list; feature allow-list; suppress/exclude sensitive/unnecessary fields from ranking.</w:t>
            </w:r>
          </w:p>
        </w:tc>
      </w:tr>
      <w:tr>
        <w:tc>
          <w:tcPr>
            <w:tcW w:type="dxa" w:w="2016"/>
            <w:vAlign w:val="center"/>
            <w:tcMar>
              <w:top w:w="70" w:type="dxa"/>
              <w:start w:w="80" w:type="dxa"/>
              <w:bottom w:w="70" w:type="dxa"/>
              <w:end w:w="80" w:type="dxa"/>
            </w:tcMar>
            <w:shd w:fill="F7F9FA"/>
          </w:tcPr>
          <w:p>
            <w:pPr>
              <w:spacing w:after="20" w:before="0" w:line="240" w:lineRule="auto"/>
            </w:pPr>
            <w:r>
              <w:rPr>
                <w:rFonts w:ascii="Aptos" w:hAnsi="Aptos"/>
                <w:sz w:val="14"/>
              </w:rPr>
              <w:t>Accuracy</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4"/>
              </w:rPr>
              <w:t>Inaccurate parsing or derived scores can distort opportunity.</w:t>
            </w:r>
          </w:p>
        </w:tc>
        <w:tc>
          <w:tcPr>
            <w:tcW w:type="dxa" w:w="3816"/>
            <w:vAlign w:val="center"/>
            <w:tcMar>
              <w:top w:w="70" w:type="dxa"/>
              <w:start w:w="80" w:type="dxa"/>
              <w:bottom w:w="70" w:type="dxa"/>
              <w:end w:w="80" w:type="dxa"/>
            </w:tcMar>
            <w:shd w:fill="F7F9FA"/>
          </w:tcPr>
          <w:p>
            <w:pPr>
              <w:spacing w:after="20" w:before="0" w:line="240" w:lineRule="auto"/>
            </w:pPr>
            <w:r>
              <w:rPr>
                <w:rFonts w:ascii="Aptos" w:hAnsi="Aptos"/>
                <w:sz w:val="14"/>
              </w:rPr>
              <w:t>Validation by language/document type/job family; correction pathway; confidence/uncertainty handling.</w:t>
            </w:r>
          </w:p>
        </w:tc>
      </w:tr>
      <w:tr>
        <w:tc>
          <w:tcPr>
            <w:tcW w:type="dxa" w:w="2016"/>
            <w:vAlign w:val="center"/>
            <w:tcMar>
              <w:top w:w="70" w:type="dxa"/>
              <w:start w:w="80" w:type="dxa"/>
              <w:bottom w:w="70" w:type="dxa"/>
              <w:end w:w="80" w:type="dxa"/>
            </w:tcMar>
          </w:tcPr>
          <w:p>
            <w:pPr>
              <w:spacing w:after="20" w:before="0" w:line="240" w:lineRule="auto"/>
            </w:pPr>
            <w:r>
              <w:rPr>
                <w:rFonts w:ascii="Aptos" w:hAnsi="Aptos"/>
                <w:sz w:val="14"/>
              </w:rPr>
              <w:t>Human oversight</w:t>
            </w:r>
          </w:p>
        </w:tc>
        <w:tc>
          <w:tcPr>
            <w:tcW w:type="dxa" w:w="3672"/>
            <w:vAlign w:val="center"/>
            <w:tcMar>
              <w:top w:w="70" w:type="dxa"/>
              <w:start w:w="80" w:type="dxa"/>
              <w:bottom w:w="70" w:type="dxa"/>
              <w:end w:w="80" w:type="dxa"/>
            </w:tcMar>
          </w:tcPr>
          <w:p>
            <w:pPr>
              <w:spacing w:after="20" w:before="0" w:line="240" w:lineRule="auto"/>
            </w:pPr>
            <w:r>
              <w:rPr>
                <w:rFonts w:ascii="Aptos" w:hAnsi="Aptos"/>
                <w:sz w:val="14"/>
              </w:rPr>
              <w:t>Necessary because output may materially influence employment.</w:t>
            </w:r>
          </w:p>
        </w:tc>
        <w:tc>
          <w:tcPr>
            <w:tcW w:type="dxa" w:w="3816"/>
            <w:vAlign w:val="center"/>
            <w:tcMar>
              <w:top w:w="70" w:type="dxa"/>
              <w:start w:w="80" w:type="dxa"/>
              <w:bottom w:w="70" w:type="dxa"/>
              <w:end w:w="80" w:type="dxa"/>
            </w:tcMar>
          </w:tcPr>
          <w:p>
            <w:pPr>
              <w:spacing w:after="20" w:before="0" w:line="240" w:lineRule="auto"/>
            </w:pPr>
            <w:r>
              <w:rPr>
                <w:rFonts w:ascii="Aptos" w:hAnsi="Aptos"/>
                <w:sz w:val="14"/>
              </w:rPr>
              <w:t>Competent reviewer, source-data visibility, override ability, time to review, prohibition on auto-rejection and monitored override patterns.</w:t>
            </w:r>
          </w:p>
        </w:tc>
      </w:tr>
      <w:tr>
        <w:tc>
          <w:tcPr>
            <w:tcW w:type="dxa" w:w="2016"/>
            <w:vAlign w:val="center"/>
            <w:tcMar>
              <w:top w:w="70" w:type="dxa"/>
              <w:start w:w="80" w:type="dxa"/>
              <w:bottom w:w="70" w:type="dxa"/>
              <w:end w:w="80" w:type="dxa"/>
            </w:tcMar>
            <w:shd w:fill="F7F9FA"/>
          </w:tcPr>
          <w:p>
            <w:pPr>
              <w:spacing w:after="20" w:before="0" w:line="240" w:lineRule="auto"/>
            </w:pPr>
            <w:r>
              <w:rPr>
                <w:rFonts w:ascii="Aptos" w:hAnsi="Aptos"/>
                <w:sz w:val="14"/>
              </w:rPr>
              <w:t>Transparency</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4"/>
              </w:rPr>
              <w:t>Applicants need meaningful information about processing and routes to exercise rights.</w:t>
            </w:r>
          </w:p>
        </w:tc>
        <w:tc>
          <w:tcPr>
            <w:tcW w:type="dxa" w:w="3816"/>
            <w:vAlign w:val="center"/>
            <w:tcMar>
              <w:top w:w="70" w:type="dxa"/>
              <w:start w:w="80" w:type="dxa"/>
              <w:bottom w:w="70" w:type="dxa"/>
              <w:end w:w="80" w:type="dxa"/>
            </w:tcMar>
            <w:shd w:fill="F7F9FA"/>
          </w:tcPr>
          <w:p>
            <w:pPr>
              <w:spacing w:after="20" w:before="0" w:line="240" w:lineRule="auto"/>
            </w:pPr>
            <w:r>
              <w:rPr>
                <w:rFonts w:ascii="Aptos" w:hAnsi="Aptos"/>
                <w:sz w:val="14"/>
              </w:rPr>
              <w:t>Privacy notice and AI-use disclosure appropriate to actual logic and impact; contact/contest channel.</w:t>
            </w:r>
          </w:p>
        </w:tc>
      </w:tr>
      <w:tr>
        <w:tc>
          <w:tcPr>
            <w:tcW w:type="dxa" w:w="2016"/>
            <w:vAlign w:val="center"/>
            <w:tcMar>
              <w:top w:w="70" w:type="dxa"/>
              <w:start w:w="80" w:type="dxa"/>
              <w:bottom w:w="70" w:type="dxa"/>
              <w:end w:w="80" w:type="dxa"/>
            </w:tcMar>
          </w:tcPr>
          <w:p>
            <w:pPr>
              <w:spacing w:after="20" w:before="0" w:line="240" w:lineRule="auto"/>
            </w:pPr>
            <w:r>
              <w:rPr>
                <w:rFonts w:ascii="Aptos" w:hAnsi="Aptos"/>
                <w:sz w:val="14"/>
              </w:rPr>
              <w:t>Retention</w:t>
            </w:r>
          </w:p>
        </w:tc>
        <w:tc>
          <w:tcPr>
            <w:tcW w:type="dxa" w:w="3672"/>
            <w:vAlign w:val="center"/>
            <w:tcMar>
              <w:top w:w="70" w:type="dxa"/>
              <w:start w:w="80" w:type="dxa"/>
              <w:bottom w:w="70" w:type="dxa"/>
              <w:end w:w="80" w:type="dxa"/>
            </w:tcMar>
          </w:tcPr>
          <w:p>
            <w:pPr>
              <w:spacing w:after="20" w:before="0" w:line="240" w:lineRule="auto"/>
            </w:pPr>
            <w:r>
              <w:rPr>
                <w:rFonts w:ascii="Aptos" w:hAnsi="Aptos"/>
                <w:sz w:val="14"/>
              </w:rPr>
              <w:t>Long retention increases exposure and may create incompatible future use.</w:t>
            </w:r>
          </w:p>
        </w:tc>
        <w:tc>
          <w:tcPr>
            <w:tcW w:type="dxa" w:w="3816"/>
            <w:vAlign w:val="center"/>
            <w:tcMar>
              <w:top w:w="70" w:type="dxa"/>
              <w:start w:w="80" w:type="dxa"/>
              <w:bottom w:w="70" w:type="dxa"/>
              <w:end w:w="80" w:type="dxa"/>
            </w:tcMar>
          </w:tcPr>
          <w:p>
            <w:pPr>
              <w:spacing w:after="20" w:before="0" w:line="240" w:lineRule="auto"/>
            </w:pPr>
            <w:r>
              <w:rPr>
                <w:rFonts w:ascii="Aptos" w:hAnsi="Aptos"/>
                <w:sz w:val="14"/>
              </w:rPr>
              <w:t>Purpose-based retention schedule and deletion verification including vendors/backups where feasible.</w:t>
            </w:r>
          </w:p>
        </w:tc>
      </w:tr>
      <w:tr>
        <w:tc>
          <w:tcPr>
            <w:tcW w:type="dxa" w:w="2016"/>
            <w:vAlign w:val="center"/>
            <w:tcMar>
              <w:top w:w="70" w:type="dxa"/>
              <w:start w:w="80" w:type="dxa"/>
              <w:bottom w:w="70" w:type="dxa"/>
              <w:end w:w="80" w:type="dxa"/>
            </w:tcMar>
            <w:shd w:fill="F7F9FA"/>
          </w:tcPr>
          <w:p>
            <w:pPr>
              <w:spacing w:after="20" w:before="0" w:line="240" w:lineRule="auto"/>
            </w:pPr>
            <w:r>
              <w:rPr>
                <w:rFonts w:ascii="Aptos" w:hAnsi="Aptos"/>
                <w:sz w:val="14"/>
              </w:rPr>
              <w:t>Access</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4"/>
              </w:rPr>
              <w:t>Recruitment data is sensitive and should be limited to authorized roles.</w:t>
            </w:r>
          </w:p>
        </w:tc>
        <w:tc>
          <w:tcPr>
            <w:tcW w:type="dxa" w:w="3816"/>
            <w:vAlign w:val="center"/>
            <w:tcMar>
              <w:top w:w="70" w:type="dxa"/>
              <w:start w:w="80" w:type="dxa"/>
              <w:bottom w:w="70" w:type="dxa"/>
              <w:end w:w="80" w:type="dxa"/>
            </w:tcMar>
            <w:shd w:fill="F7F9FA"/>
          </w:tcPr>
          <w:p>
            <w:pPr>
              <w:spacing w:after="20" w:before="0" w:line="240" w:lineRule="auto"/>
            </w:pPr>
            <w:r>
              <w:rPr>
                <w:rFonts w:ascii="Aptos" w:hAnsi="Aptos"/>
                <w:sz w:val="14"/>
              </w:rPr>
              <w:t>Role-based access, least privilege, MFA/enterprise controls, logging and periodic review.</w:t>
            </w:r>
          </w:p>
        </w:tc>
      </w:tr>
      <w:tr>
        <w:tc>
          <w:tcPr>
            <w:tcW w:type="dxa" w:w="2016"/>
            <w:vAlign w:val="center"/>
            <w:tcMar>
              <w:top w:w="70" w:type="dxa"/>
              <w:start w:w="80" w:type="dxa"/>
              <w:bottom w:w="70" w:type="dxa"/>
              <w:end w:w="80" w:type="dxa"/>
            </w:tcMar>
          </w:tcPr>
          <w:p>
            <w:pPr>
              <w:spacing w:after="20" w:before="0" w:line="240" w:lineRule="auto"/>
            </w:pPr>
            <w:r>
              <w:rPr>
                <w:rFonts w:ascii="Aptos" w:hAnsi="Aptos"/>
                <w:sz w:val="14"/>
              </w:rPr>
              <w:t>Vendor dependency</w:t>
            </w:r>
          </w:p>
        </w:tc>
        <w:tc>
          <w:tcPr>
            <w:tcW w:type="dxa" w:w="3672"/>
            <w:vAlign w:val="center"/>
            <w:tcMar>
              <w:top w:w="70" w:type="dxa"/>
              <w:start w:w="80" w:type="dxa"/>
              <w:bottom w:w="70" w:type="dxa"/>
              <w:end w:w="80" w:type="dxa"/>
            </w:tcMar>
          </w:tcPr>
          <w:p>
            <w:pPr>
              <w:spacing w:after="20" w:before="0" w:line="240" w:lineRule="auto"/>
            </w:pPr>
            <w:r>
              <w:rPr>
                <w:rFonts w:ascii="Aptos" w:hAnsi="Aptos"/>
                <w:sz w:val="14"/>
              </w:rPr>
              <w:t>Third-party model/service may create unverified data use or transfer.</w:t>
            </w:r>
          </w:p>
        </w:tc>
        <w:tc>
          <w:tcPr>
            <w:tcW w:type="dxa" w:w="3816"/>
            <w:vAlign w:val="center"/>
            <w:tcMar>
              <w:top w:w="70" w:type="dxa"/>
              <w:start w:w="80" w:type="dxa"/>
              <w:bottom w:w="70" w:type="dxa"/>
              <w:end w:w="80" w:type="dxa"/>
            </w:tcMar>
          </w:tcPr>
          <w:p>
            <w:pPr>
              <w:spacing w:after="20" w:before="0" w:line="240" w:lineRule="auto"/>
            </w:pPr>
            <w:r>
              <w:rPr>
                <w:rFonts w:ascii="Aptos" w:hAnsi="Aptos"/>
                <w:sz w:val="14"/>
              </w:rPr>
              <w:t>Due diligence, Article 28 terms as applicable, data-use restrictions, subprocessor review, change notice, deletion/exit terms.</w:t>
            </w:r>
          </w:p>
        </w:tc>
      </w:tr>
      <w:tr>
        <w:tc>
          <w:tcPr>
            <w:tcW w:type="dxa" w:w="2016"/>
            <w:vAlign w:val="center"/>
            <w:tcMar>
              <w:top w:w="70" w:type="dxa"/>
              <w:start w:w="80" w:type="dxa"/>
              <w:bottom w:w="70" w:type="dxa"/>
              <w:end w:w="80" w:type="dxa"/>
            </w:tcMar>
            <w:shd w:fill="F7F9FA"/>
          </w:tcPr>
          <w:p>
            <w:pPr>
              <w:spacing w:after="20" w:before="0" w:line="240" w:lineRule="auto"/>
            </w:pPr>
            <w:r>
              <w:rPr>
                <w:rFonts w:ascii="Aptos" w:hAnsi="Aptos"/>
                <w:sz w:val="14"/>
              </w:rPr>
              <w:t>Monitoring</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4"/>
              </w:rPr>
              <w:t>Without monitoring, drift/errors/automation bias may persist.</w:t>
            </w:r>
          </w:p>
        </w:tc>
        <w:tc>
          <w:tcPr>
            <w:tcW w:type="dxa" w:w="3816"/>
            <w:vAlign w:val="center"/>
            <w:tcMar>
              <w:top w:w="70" w:type="dxa"/>
              <w:start w:w="80" w:type="dxa"/>
              <w:bottom w:w="70" w:type="dxa"/>
              <w:end w:w="80" w:type="dxa"/>
            </w:tcMar>
            <w:shd w:fill="F7F9FA"/>
          </w:tcPr>
          <w:p>
            <w:pPr>
              <w:spacing w:after="20" w:before="0" w:line="240" w:lineRule="auto"/>
            </w:pPr>
            <w:r>
              <w:rPr>
                <w:rFonts w:ascii="Aptos" w:hAnsi="Aptos"/>
                <w:sz w:val="14"/>
              </w:rPr>
              <w:t>Accuracy, correction, override, complaints, fairness signals, incidents and vendor/model change monitoring with thresholds approved before production.</w:t>
            </w:r>
          </w:p>
        </w:tc>
      </w:tr>
    </w:tbl>
    <w:p>
      <w:pPr>
        <w:widowControl/>
        <w:spacing w:after="0"/>
      </w:pPr>
    </w:p>
    <w:p>
      <w:pPr>
        <w:pStyle w:val="Heading1"/>
        <w:keepNext/>
        <w:widowControl/>
      </w:pPr>
      <w:r>
        <w:rPr>
          <w:rFonts w:ascii="Aptos" w:hAnsi="Aptos"/>
        </w:rPr>
        <w:t>8. Risk Assessment to Rights and Freedoms</w:t>
      </w:r>
    </w:p>
    <w:p>
      <w:pPr>
        <w:widowControl/>
      </w:pPr>
      <w:r>
        <w:rPr>
          <w:rFonts w:ascii="Aptos" w:hAnsi="Aptos"/>
        </w:rPr>
        <w:t>This DPIA assesses risk to applicants and other data subjects. The labels below are DPIA privacy/right-impact judgments and must not be confused with the EU AI Act legal concept of a “high-risk AI system”. They also do not replace the separate Duckworks enterprise AI risk assessment.</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893"/>
            <w:vAlign w:val="center"/>
            <w:tcMar>
              <w:top w:w="70" w:type="dxa"/>
              <w:start w:w="80" w:type="dxa"/>
              <w:bottom w:w="70" w:type="dxa"/>
              <w:end w:w="80" w:type="dxa"/>
            </w:tcMar>
            <w:shd w:fill="173B57"/>
          </w:tcPr>
          <w:p>
            <w:pPr>
              <w:spacing w:after="20" w:before="0" w:line="240" w:lineRule="auto"/>
            </w:pPr>
            <w:r>
              <w:rPr>
                <w:rFonts w:ascii="Aptos" w:hAnsi="Aptos"/>
                <w:b/>
                <w:color w:val="FFFFFF"/>
                <w:sz w:val="13"/>
              </w:rPr>
              <w:t>ID</w:t>
            </w:r>
          </w:p>
        </w:tc>
        <w:tc>
          <w:tcPr>
            <w:tcW w:type="dxa" w:w="3384"/>
            <w:vAlign w:val="center"/>
            <w:tcMar>
              <w:top w:w="70" w:type="dxa"/>
              <w:start w:w="80" w:type="dxa"/>
              <w:bottom w:w="70" w:type="dxa"/>
              <w:end w:w="80" w:type="dxa"/>
            </w:tcMar>
            <w:shd w:fill="173B57"/>
          </w:tcPr>
          <w:p>
            <w:pPr>
              <w:spacing w:after="20" w:before="0" w:line="240" w:lineRule="auto"/>
            </w:pPr>
            <w:r>
              <w:rPr>
                <w:rFonts w:ascii="Aptos" w:hAnsi="Aptos"/>
                <w:b/>
                <w:color w:val="FFFFFF"/>
                <w:sz w:val="13"/>
              </w:rPr>
              <w:t>Risk scenario / potential harm</w:t>
            </w:r>
          </w:p>
        </w:tc>
        <w:tc>
          <w:tcPr>
            <w:tcW w:type="dxa" w:w="936"/>
            <w:vAlign w:val="center"/>
            <w:tcMar>
              <w:top w:w="70" w:type="dxa"/>
              <w:start w:w="80" w:type="dxa"/>
              <w:bottom w:w="70" w:type="dxa"/>
              <w:end w:w="80" w:type="dxa"/>
            </w:tcMar>
            <w:shd w:fill="173B57"/>
          </w:tcPr>
          <w:p>
            <w:pPr>
              <w:spacing w:after="20" w:before="0" w:line="240" w:lineRule="auto"/>
            </w:pPr>
            <w:r>
              <w:rPr>
                <w:rFonts w:ascii="Aptos" w:hAnsi="Aptos"/>
                <w:b/>
                <w:color w:val="FFFFFF"/>
                <w:sz w:val="13"/>
              </w:rPr>
              <w:t>Inherent</w:t>
            </w:r>
          </w:p>
        </w:tc>
        <w:tc>
          <w:tcPr>
            <w:tcW w:type="dxa" w:w="2520"/>
            <w:vAlign w:val="center"/>
            <w:tcMar>
              <w:top w:w="70" w:type="dxa"/>
              <w:start w:w="80" w:type="dxa"/>
              <w:bottom w:w="70" w:type="dxa"/>
              <w:end w:w="80" w:type="dxa"/>
            </w:tcMar>
            <w:shd w:fill="173B57"/>
          </w:tcPr>
          <w:p>
            <w:pPr>
              <w:spacing w:after="20" w:before="0" w:line="240" w:lineRule="auto"/>
            </w:pPr>
            <w:r>
              <w:rPr>
                <w:rFonts w:ascii="Aptos" w:hAnsi="Aptos"/>
                <w:b/>
                <w:color w:val="FFFFFF"/>
                <w:sz w:val="13"/>
              </w:rPr>
              <w:t>Key measures</w:t>
            </w:r>
          </w:p>
        </w:tc>
        <w:tc>
          <w:tcPr>
            <w:tcW w:type="dxa" w:w="1037"/>
            <w:vAlign w:val="center"/>
            <w:tcMar>
              <w:top w:w="70" w:type="dxa"/>
              <w:start w:w="80" w:type="dxa"/>
              <w:bottom w:w="70" w:type="dxa"/>
              <w:end w:w="80" w:type="dxa"/>
            </w:tcMar>
            <w:shd w:fill="173B57"/>
          </w:tcPr>
          <w:p>
            <w:pPr>
              <w:spacing w:after="20" w:before="0" w:line="240" w:lineRule="auto"/>
            </w:pPr>
            <w:r>
              <w:rPr>
                <w:rFonts w:ascii="Aptos" w:hAnsi="Aptos"/>
                <w:b/>
                <w:color w:val="FFFFFF"/>
                <w:sz w:val="13"/>
              </w:rPr>
              <w:t>Target residual</w:t>
            </w:r>
          </w:p>
        </w:tc>
        <w:tc>
          <w:tcPr>
            <w:tcW w:type="dxa" w:w="1699"/>
            <w:vAlign w:val="center"/>
            <w:tcMar>
              <w:top w:w="70" w:type="dxa"/>
              <w:start w:w="80" w:type="dxa"/>
              <w:bottom w:w="70" w:type="dxa"/>
              <w:end w:w="80" w:type="dxa"/>
            </w:tcMar>
            <w:shd w:fill="173B57"/>
          </w:tcPr>
          <w:p>
            <w:pPr>
              <w:spacing w:after="20" w:before="0" w:line="240" w:lineRule="auto"/>
            </w:pPr>
            <w:r>
              <w:rPr>
                <w:rFonts w:ascii="Aptos" w:hAnsi="Aptos"/>
                <w:b/>
                <w:color w:val="FFFFFF"/>
                <w:sz w:val="13"/>
              </w:rPr>
              <w:t>Evidence required</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DPIA-01</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Excessive or irrelevant data extraction - Applicant data beyond job relevance is processed, increasing intrusion and unfair inference.</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Feature/data allow-list; minimization; exclude irrelevant fields; testing and periodic review.</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Approved data dictionary; extraction test results.</w:t>
            </w:r>
          </w:p>
        </w:tc>
      </w:tr>
      <w:tr>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3"/>
              </w:rPr>
              <w:t>DPIA-02</w:t>
            </w:r>
          </w:p>
        </w:tc>
        <w:tc>
          <w:tcPr>
            <w:tcW w:type="dxa" w:w="3384"/>
            <w:vAlign w:val="center"/>
            <w:tcMar>
              <w:top w:w="70" w:type="dxa"/>
              <w:start w:w="80" w:type="dxa"/>
              <w:bottom w:w="70" w:type="dxa"/>
              <w:end w:w="80" w:type="dxa"/>
            </w:tcMar>
            <w:shd w:fill="F7F9FA"/>
          </w:tcPr>
          <w:p>
            <w:pPr>
              <w:spacing w:after="20" w:before="0" w:line="240" w:lineRule="auto"/>
            </w:pPr>
            <w:r>
              <w:rPr>
                <w:rFonts w:ascii="Aptos" w:hAnsi="Aptos"/>
                <w:sz w:val="13"/>
              </w:rPr>
              <w:t>Special-category data captured or inferred - Sensitive information present in CVs or inferred from names, photos, memberships or text is used directly/indirectly.</w:t>
            </w:r>
          </w:p>
        </w:tc>
        <w:tc>
          <w:tcPr>
            <w:tcW w:type="dxa" w:w="936"/>
            <w:vAlign w:val="center"/>
            <w:tcMar>
              <w:top w:w="70" w:type="dxa"/>
              <w:start w:w="80" w:type="dxa"/>
              <w:bottom w:w="70" w:type="dxa"/>
              <w:end w:w="80" w:type="dxa"/>
            </w:tcMar>
            <w:shd w:fill="F7F9FA"/>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3"/>
              </w:rPr>
              <w:t>Do not intentionally use sensitive attributes; strip/suppress where feasible; proxy analysis; Legal/DPO exception process.</w:t>
            </w:r>
          </w:p>
        </w:tc>
        <w:tc>
          <w:tcPr>
            <w:tcW w:type="dxa" w:w="1037"/>
            <w:vAlign w:val="center"/>
            <w:tcMar>
              <w:top w:w="70" w:type="dxa"/>
              <w:start w:w="80" w:type="dxa"/>
              <w:bottom w:w="70" w:type="dxa"/>
              <w:end w:w="80" w:type="dxa"/>
            </w:tcMar>
            <w:shd w:fill="F7F9FA"/>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shd w:fill="F7F9FA"/>
          </w:tcPr>
          <w:p>
            <w:pPr>
              <w:spacing w:after="20" w:before="0" w:line="240" w:lineRule="auto"/>
            </w:pPr>
            <w:r>
              <w:rPr>
                <w:rFonts w:ascii="Aptos" w:hAnsi="Aptos"/>
                <w:sz w:val="13"/>
              </w:rPr>
              <w:t>Feature review; model prompts/config; proxy testing.</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DPIA-03</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Incorrect parsing / derived data - CV content is misread or qualifications/experience are incorrectly extracted.</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Accuracy validation, source visibility, correction route, uncertainty flags, human review.</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Validation report; correction logs.</w:t>
            </w:r>
          </w:p>
        </w:tc>
      </w:tr>
      <w:tr>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3"/>
              </w:rPr>
              <w:t>DPIA-04</w:t>
            </w:r>
          </w:p>
        </w:tc>
        <w:tc>
          <w:tcPr>
            <w:tcW w:type="dxa" w:w="3384"/>
            <w:vAlign w:val="center"/>
            <w:tcMar>
              <w:top w:w="70" w:type="dxa"/>
              <w:start w:w="80" w:type="dxa"/>
              <w:bottom w:w="70" w:type="dxa"/>
              <w:end w:w="80" w:type="dxa"/>
            </w:tcMar>
            <w:shd w:fill="F7F9FA"/>
          </w:tcPr>
          <w:p>
            <w:pPr>
              <w:spacing w:after="20" w:before="0" w:line="240" w:lineRule="auto"/>
            </w:pPr>
            <w:r>
              <w:rPr>
                <w:rFonts w:ascii="Aptos" w:hAnsi="Aptos"/>
                <w:sz w:val="13"/>
              </w:rPr>
              <w:t>Opaque or inappropriate ranking - Criteria/weights do not reflect approved job requirements or cannot be explained.</w:t>
            </w:r>
          </w:p>
        </w:tc>
        <w:tc>
          <w:tcPr>
            <w:tcW w:type="dxa" w:w="936"/>
            <w:vAlign w:val="center"/>
            <w:tcMar>
              <w:top w:w="70" w:type="dxa"/>
              <w:start w:w="80" w:type="dxa"/>
              <w:bottom w:w="70" w:type="dxa"/>
              <w:end w:w="80" w:type="dxa"/>
            </w:tcMar>
            <w:shd w:fill="F7F9FA"/>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3"/>
              </w:rPr>
              <w:t>Pre-approved criteria; job analysis; version control; documented rationale; recruiter-facing explanation.</w:t>
            </w:r>
          </w:p>
        </w:tc>
        <w:tc>
          <w:tcPr>
            <w:tcW w:type="dxa" w:w="1037"/>
            <w:vAlign w:val="center"/>
            <w:tcMar>
              <w:top w:w="70" w:type="dxa"/>
              <w:start w:w="80" w:type="dxa"/>
              <w:bottom w:w="70" w:type="dxa"/>
              <w:end w:w="80" w:type="dxa"/>
            </w:tcMar>
            <w:shd w:fill="F7F9FA"/>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shd w:fill="F7F9FA"/>
          </w:tcPr>
          <w:p>
            <w:pPr>
              <w:spacing w:after="20" w:before="0" w:line="240" w:lineRule="auto"/>
            </w:pPr>
            <w:r>
              <w:rPr>
                <w:rFonts w:ascii="Aptos" w:hAnsi="Aptos"/>
                <w:sz w:val="13"/>
              </w:rPr>
              <w:t>Criteria approval record; model/version record.</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DPIA-05</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Discriminatory / proxy effects - Ranking systematically disadvantages protected or otherwise vulnerable groups through data patterns or proxies.</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Fairness methodology; bias testing using lawful/synthetic/approved data; proxy review; human challenge; complaint monitoring.</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High until validated</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Fairness report; HR/Legal/DPO approval.</w:t>
            </w:r>
          </w:p>
        </w:tc>
      </w:tr>
      <w:tr>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3"/>
              </w:rPr>
              <w:t>DPIA-06</w:t>
            </w:r>
          </w:p>
        </w:tc>
        <w:tc>
          <w:tcPr>
            <w:tcW w:type="dxa" w:w="3384"/>
            <w:vAlign w:val="center"/>
            <w:tcMar>
              <w:top w:w="70" w:type="dxa"/>
              <w:start w:w="80" w:type="dxa"/>
              <w:bottom w:w="70" w:type="dxa"/>
              <w:end w:w="80" w:type="dxa"/>
            </w:tcMar>
            <w:shd w:fill="F7F9FA"/>
          </w:tcPr>
          <w:p>
            <w:pPr>
              <w:spacing w:after="20" w:before="0" w:line="240" w:lineRule="auto"/>
            </w:pPr>
            <w:r>
              <w:rPr>
                <w:rFonts w:ascii="Aptos" w:hAnsi="Aptos"/>
                <w:sz w:val="13"/>
              </w:rPr>
              <w:t>Automation bias / de facto automated rejection - Recruiters mechanically follow ranking, making human review ineffective.</w:t>
            </w:r>
          </w:p>
        </w:tc>
        <w:tc>
          <w:tcPr>
            <w:tcW w:type="dxa" w:w="936"/>
            <w:vAlign w:val="center"/>
            <w:tcMar>
              <w:top w:w="70" w:type="dxa"/>
              <w:start w:w="80" w:type="dxa"/>
              <w:bottom w:w="70" w:type="dxa"/>
              <w:end w:w="80" w:type="dxa"/>
            </w:tcMar>
            <w:shd w:fill="F7F9FA"/>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3"/>
              </w:rPr>
              <w:t>No auto-reject; reviewer training; source application visible; override authority; rationale logging; override/reliance monitoring.</w:t>
            </w:r>
          </w:p>
        </w:tc>
        <w:tc>
          <w:tcPr>
            <w:tcW w:type="dxa" w:w="1037"/>
            <w:vAlign w:val="center"/>
            <w:tcMar>
              <w:top w:w="70" w:type="dxa"/>
              <w:start w:w="80" w:type="dxa"/>
              <w:bottom w:w="70" w:type="dxa"/>
              <w:end w:w="80" w:type="dxa"/>
            </w:tcMar>
            <w:shd w:fill="F7F9FA"/>
          </w:tcPr>
          <w:p>
            <w:pPr>
              <w:spacing w:after="20" w:before="0" w:line="240" w:lineRule="auto"/>
            </w:pPr>
            <w:r>
              <w:rPr>
                <w:rFonts w:ascii="Aptos" w:hAnsi="Aptos"/>
                <w:sz w:val="13"/>
              </w:rPr>
              <w:t>Medium-High</w:t>
            </w:r>
          </w:p>
        </w:tc>
        <w:tc>
          <w:tcPr>
            <w:tcW w:type="dxa" w:w="1699"/>
            <w:vAlign w:val="center"/>
            <w:tcMar>
              <w:top w:w="70" w:type="dxa"/>
              <w:start w:w="80" w:type="dxa"/>
              <w:bottom w:w="70" w:type="dxa"/>
              <w:end w:w="80" w:type="dxa"/>
            </w:tcMar>
            <w:shd w:fill="F7F9FA"/>
          </w:tcPr>
          <w:p>
            <w:pPr>
              <w:spacing w:after="20" w:before="0" w:line="240" w:lineRule="auto"/>
            </w:pPr>
            <w:r>
              <w:rPr>
                <w:rFonts w:ascii="Aptos" w:hAnsi="Aptos"/>
                <w:sz w:val="13"/>
              </w:rPr>
              <w:t>User testing; training; decision logs.</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DPIA-07</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Insufficient applicant transparency - Applicant cannot understand AI involvement, purpose, data use or consequences.</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Clear privacy/AI notice; meaningful description; rights/contact route; change-controlled notices.</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Approved notice; candidate testing.</w:t>
            </w:r>
          </w:p>
        </w:tc>
      </w:tr>
      <w:tr>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3"/>
              </w:rPr>
              <w:t>DPIA-08</w:t>
            </w:r>
          </w:p>
        </w:tc>
        <w:tc>
          <w:tcPr>
            <w:tcW w:type="dxa" w:w="3384"/>
            <w:vAlign w:val="center"/>
            <w:tcMar>
              <w:top w:w="70" w:type="dxa"/>
              <w:start w:w="80" w:type="dxa"/>
              <w:bottom w:w="70" w:type="dxa"/>
              <w:end w:w="80" w:type="dxa"/>
            </w:tcMar>
            <w:shd w:fill="F7F9FA"/>
          </w:tcPr>
          <w:p>
            <w:pPr>
              <w:spacing w:after="20" w:before="0" w:line="240" w:lineRule="auto"/>
            </w:pPr>
            <w:r>
              <w:rPr>
                <w:rFonts w:ascii="Aptos" w:hAnsi="Aptos"/>
                <w:sz w:val="13"/>
              </w:rPr>
              <w:t>Rights cannot be exercised effectively - Access, rectification, restriction, objection or contest requests cannot be fulfilled across AI-derived data/vendor systems.</w:t>
            </w:r>
          </w:p>
        </w:tc>
        <w:tc>
          <w:tcPr>
            <w:tcW w:type="dxa" w:w="936"/>
            <w:vAlign w:val="center"/>
            <w:tcMar>
              <w:top w:w="70" w:type="dxa"/>
              <w:start w:w="80" w:type="dxa"/>
              <w:bottom w:w="70" w:type="dxa"/>
              <w:end w:w="80" w:type="dxa"/>
            </w:tcMar>
            <w:shd w:fill="F7F9FA"/>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3"/>
              </w:rPr>
              <w:t>DSAR mapping; derived-data retrieval/correction; vendor assistance; escalation and SLA under existing privacy process.</w:t>
            </w:r>
          </w:p>
        </w:tc>
        <w:tc>
          <w:tcPr>
            <w:tcW w:type="dxa" w:w="1037"/>
            <w:vAlign w:val="center"/>
            <w:tcMar>
              <w:top w:w="70" w:type="dxa"/>
              <w:start w:w="80" w:type="dxa"/>
              <w:bottom w:w="70" w:type="dxa"/>
              <w:end w:w="80" w:type="dxa"/>
            </w:tcMar>
            <w:shd w:fill="F7F9FA"/>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shd w:fill="F7F9FA"/>
          </w:tcPr>
          <w:p>
            <w:pPr>
              <w:spacing w:after="20" w:before="0" w:line="240" w:lineRule="auto"/>
            </w:pPr>
            <w:r>
              <w:rPr>
                <w:rFonts w:ascii="Aptos" w:hAnsi="Aptos"/>
                <w:sz w:val="13"/>
              </w:rPr>
              <w:t>Rights procedure test; processor commitments.</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DPIA-09</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Unauthorized access / data breach - Applicant CVs, rankings or decisions are exposed to unauthorized users or attackers.</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RBAC, least privilege, encryption, logging, secure integration, vulnerability/security testing, incident response.</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Security assessment; access review; logs.</w:t>
            </w:r>
          </w:p>
        </w:tc>
      </w:tr>
      <w:tr>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3"/>
              </w:rPr>
              <w:t>DPIA-10</w:t>
            </w:r>
          </w:p>
        </w:tc>
        <w:tc>
          <w:tcPr>
            <w:tcW w:type="dxa" w:w="3384"/>
            <w:vAlign w:val="center"/>
            <w:tcMar>
              <w:top w:w="70" w:type="dxa"/>
              <w:start w:w="80" w:type="dxa"/>
              <w:bottom w:w="70" w:type="dxa"/>
              <w:end w:w="80" w:type="dxa"/>
            </w:tcMar>
            <w:shd w:fill="F7F9FA"/>
          </w:tcPr>
          <w:p>
            <w:pPr>
              <w:spacing w:after="20" w:before="0" w:line="240" w:lineRule="auto"/>
            </w:pPr>
            <w:r>
              <w:rPr>
                <w:rFonts w:ascii="Aptos" w:hAnsi="Aptos"/>
                <w:sz w:val="13"/>
              </w:rPr>
              <w:t>Vendor/model data reuse - Provider retains prompts/CVs, trains models, or uses data beyond Duckworks instructions.</w:t>
            </w:r>
          </w:p>
        </w:tc>
        <w:tc>
          <w:tcPr>
            <w:tcW w:type="dxa" w:w="936"/>
            <w:vAlign w:val="center"/>
            <w:tcMar>
              <w:top w:w="70" w:type="dxa"/>
              <w:start w:w="80" w:type="dxa"/>
              <w:bottom w:w="70" w:type="dxa"/>
              <w:end w:w="80" w:type="dxa"/>
            </w:tcMar>
            <w:shd w:fill="F7F9FA"/>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3"/>
              </w:rPr>
              <w:t>Contractual prohibition/limits; data-use review; enterprise settings; retention/deletion terms; provider evidence.</w:t>
            </w:r>
          </w:p>
        </w:tc>
        <w:tc>
          <w:tcPr>
            <w:tcW w:type="dxa" w:w="1037"/>
            <w:vAlign w:val="center"/>
            <w:tcMar>
              <w:top w:w="70" w:type="dxa"/>
              <w:start w:w="80" w:type="dxa"/>
              <w:bottom w:w="70" w:type="dxa"/>
              <w:end w:w="80" w:type="dxa"/>
            </w:tcMar>
            <w:shd w:fill="F7F9FA"/>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shd w:fill="F7F9FA"/>
          </w:tcPr>
          <w:p>
            <w:pPr>
              <w:spacing w:after="20" w:before="0" w:line="240" w:lineRule="auto"/>
            </w:pPr>
            <w:r>
              <w:rPr>
                <w:rFonts w:ascii="Aptos" w:hAnsi="Aptos"/>
                <w:sz w:val="13"/>
              </w:rPr>
              <w:t>DPA/contract; vendor due diligence.</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DPIA-11</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Unmapped international transfers - Applicant data is transferred to third countries without valid safeguards.</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Data-flow/subprocessor map; transfer assessment; lawful Chapter V mechanism; regional hosting where justified.</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Transfer register; SCC/adequacy evidence if applicable.</w:t>
            </w:r>
          </w:p>
        </w:tc>
      </w:tr>
      <w:tr>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3"/>
              </w:rPr>
              <w:t>DPIA-12</w:t>
            </w:r>
          </w:p>
        </w:tc>
        <w:tc>
          <w:tcPr>
            <w:tcW w:type="dxa" w:w="3384"/>
            <w:vAlign w:val="center"/>
            <w:tcMar>
              <w:top w:w="70" w:type="dxa"/>
              <w:start w:w="80" w:type="dxa"/>
              <w:bottom w:w="70" w:type="dxa"/>
              <w:end w:w="80" w:type="dxa"/>
            </w:tcMar>
            <w:shd w:fill="F7F9FA"/>
          </w:tcPr>
          <w:p>
            <w:pPr>
              <w:spacing w:after="20" w:before="0" w:line="240" w:lineRule="auto"/>
            </w:pPr>
            <w:r>
              <w:rPr>
                <w:rFonts w:ascii="Aptos" w:hAnsi="Aptos"/>
                <w:sz w:val="13"/>
              </w:rPr>
              <w:t>Excessive retention / secondary use - Rejected candidate data, rankings or logs persist or are reused for unrelated talent analytics/model training.</w:t>
            </w:r>
          </w:p>
        </w:tc>
        <w:tc>
          <w:tcPr>
            <w:tcW w:type="dxa" w:w="936"/>
            <w:vAlign w:val="center"/>
            <w:tcMar>
              <w:top w:w="70" w:type="dxa"/>
              <w:start w:w="80" w:type="dxa"/>
              <w:bottom w:w="70" w:type="dxa"/>
              <w:end w:w="80" w:type="dxa"/>
            </w:tcMar>
            <w:shd w:fill="F7F9FA"/>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3"/>
              </w:rPr>
              <w:t>Retention schedule; deletion; separate consent/legal analysis where new purpose proposed; purpose limitation controls.</w:t>
            </w:r>
          </w:p>
        </w:tc>
        <w:tc>
          <w:tcPr>
            <w:tcW w:type="dxa" w:w="1037"/>
            <w:vAlign w:val="center"/>
            <w:tcMar>
              <w:top w:w="70" w:type="dxa"/>
              <w:start w:w="80" w:type="dxa"/>
              <w:bottom w:w="70" w:type="dxa"/>
              <w:end w:w="80" w:type="dxa"/>
            </w:tcMar>
            <w:shd w:fill="F7F9FA"/>
          </w:tcPr>
          <w:p>
            <w:pPr>
              <w:spacing w:after="20" w:before="0" w:line="240" w:lineRule="auto"/>
            </w:pPr>
            <w:r>
              <w:rPr>
                <w:rFonts w:ascii="Aptos" w:hAnsi="Aptos"/>
                <w:sz w:val="13"/>
              </w:rPr>
              <w:t>Low-Medium</w:t>
            </w:r>
          </w:p>
        </w:tc>
        <w:tc>
          <w:tcPr>
            <w:tcW w:type="dxa" w:w="1699"/>
            <w:vAlign w:val="center"/>
            <w:tcMar>
              <w:top w:w="70" w:type="dxa"/>
              <w:start w:w="80" w:type="dxa"/>
              <w:bottom w:w="70" w:type="dxa"/>
              <w:end w:w="80" w:type="dxa"/>
            </w:tcMar>
            <w:shd w:fill="F7F9FA"/>
          </w:tcPr>
          <w:p>
            <w:pPr>
              <w:spacing w:after="20" w:before="0" w:line="240" w:lineRule="auto"/>
            </w:pPr>
            <w:r>
              <w:rPr>
                <w:rFonts w:ascii="Aptos" w:hAnsi="Aptos"/>
                <w:sz w:val="13"/>
              </w:rPr>
              <w:t>Retention policy; deletion evidence.</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DPIA-13</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Uncontrolled model/vendor change - Provider/model update changes scoring behavior, data use or subprocessor chain without reassessment.</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Change notice; version pinning where possible; regression testing; material-change trigger; approval before rollout.</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Change log; reassessment records.</w:t>
            </w:r>
          </w:p>
        </w:tc>
      </w:tr>
      <w:tr>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3"/>
              </w:rPr>
              <w:t>DPIA-14</w:t>
            </w:r>
          </w:p>
        </w:tc>
        <w:tc>
          <w:tcPr>
            <w:tcW w:type="dxa" w:w="3384"/>
            <w:vAlign w:val="center"/>
            <w:tcMar>
              <w:top w:w="70" w:type="dxa"/>
              <w:start w:w="80" w:type="dxa"/>
              <w:bottom w:w="70" w:type="dxa"/>
              <w:end w:w="80" w:type="dxa"/>
            </w:tcMar>
            <w:shd w:fill="F7F9FA"/>
          </w:tcPr>
          <w:p>
            <w:pPr>
              <w:spacing w:after="20" w:before="0" w:line="240" w:lineRule="auto"/>
            </w:pPr>
            <w:r>
              <w:rPr>
                <w:rFonts w:ascii="Aptos" w:hAnsi="Aptos"/>
                <w:sz w:val="13"/>
              </w:rPr>
              <w:t>Inability to reconstruct a decision - Duckworks cannot show which version, criteria, input or human action influenced candidate progression/rejection.</w:t>
            </w:r>
          </w:p>
        </w:tc>
        <w:tc>
          <w:tcPr>
            <w:tcW w:type="dxa" w:w="936"/>
            <w:vAlign w:val="center"/>
            <w:tcMar>
              <w:top w:w="70" w:type="dxa"/>
              <w:start w:w="80" w:type="dxa"/>
              <w:bottom w:w="70" w:type="dxa"/>
              <w:end w:w="80" w:type="dxa"/>
            </w:tcMar>
            <w:shd w:fill="F7F9FA"/>
          </w:tcPr>
          <w:p>
            <w:pPr>
              <w:spacing w:after="20" w:before="0" w:line="240" w:lineRule="auto"/>
            </w:pPr>
            <w:r>
              <w:rPr>
                <w:rFonts w:ascii="Aptos" w:hAnsi="Aptos"/>
                <w:sz w:val="13"/>
              </w:rPr>
              <w:t>High</w:t>
            </w:r>
          </w:p>
        </w:tc>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3"/>
              </w:rPr>
              <w:t>Audit trail proportionate to decision; version/criteria/output/override record; access controls; retention schedule.</w:t>
            </w:r>
          </w:p>
        </w:tc>
        <w:tc>
          <w:tcPr>
            <w:tcW w:type="dxa" w:w="1037"/>
            <w:vAlign w:val="center"/>
            <w:tcMar>
              <w:top w:w="70" w:type="dxa"/>
              <w:start w:w="80" w:type="dxa"/>
              <w:bottom w:w="70" w:type="dxa"/>
              <w:end w:w="80" w:type="dxa"/>
            </w:tcMar>
            <w:shd w:fill="F7F9FA"/>
          </w:tcPr>
          <w:p>
            <w:pPr>
              <w:spacing w:after="20" w:before="0" w:line="240" w:lineRule="auto"/>
            </w:pPr>
            <w:r>
              <w:rPr>
                <w:rFonts w:ascii="Aptos" w:hAnsi="Aptos"/>
                <w:sz w:val="13"/>
              </w:rPr>
              <w:t>Medium</w:t>
            </w:r>
          </w:p>
        </w:tc>
        <w:tc>
          <w:tcPr>
            <w:tcW w:type="dxa" w:w="1699"/>
            <w:vAlign w:val="center"/>
            <w:tcMar>
              <w:top w:w="70" w:type="dxa"/>
              <w:start w:w="80" w:type="dxa"/>
              <w:bottom w:w="70" w:type="dxa"/>
              <w:end w:w="80" w:type="dxa"/>
            </w:tcMar>
            <w:shd w:fill="F7F9FA"/>
          </w:tcPr>
          <w:p>
            <w:pPr>
              <w:spacing w:after="20" w:before="0" w:line="240" w:lineRule="auto"/>
            </w:pPr>
            <w:r>
              <w:rPr>
                <w:rFonts w:ascii="Aptos" w:hAnsi="Aptos"/>
                <w:sz w:val="13"/>
              </w:rPr>
              <w:t>Decision/evidence sample; audit-log test.</w:t>
            </w:r>
          </w:p>
        </w:tc>
      </w:tr>
      <w:tr>
        <w:tc>
          <w:tcPr>
            <w:tcW w:type="dxa" w:w="893"/>
            <w:vAlign w:val="center"/>
            <w:tcMar>
              <w:top w:w="70" w:type="dxa"/>
              <w:start w:w="80" w:type="dxa"/>
              <w:bottom w:w="70" w:type="dxa"/>
              <w:end w:w="80" w:type="dxa"/>
            </w:tcMar>
          </w:tcPr>
          <w:p>
            <w:pPr>
              <w:spacing w:after="20" w:before="0" w:line="240" w:lineRule="auto"/>
            </w:pPr>
            <w:r>
              <w:rPr>
                <w:rFonts w:ascii="Aptos" w:hAnsi="Aptos"/>
                <w:sz w:val="13"/>
              </w:rPr>
              <w:t>DPIA-15</w:t>
            </w:r>
          </w:p>
        </w:tc>
        <w:tc>
          <w:tcPr>
            <w:tcW w:type="dxa" w:w="3384"/>
            <w:vAlign w:val="center"/>
            <w:tcMar>
              <w:top w:w="70" w:type="dxa"/>
              <w:start w:w="80" w:type="dxa"/>
              <w:bottom w:w="70" w:type="dxa"/>
              <w:end w:w="80" w:type="dxa"/>
            </w:tcMar>
          </w:tcPr>
          <w:p>
            <w:pPr>
              <w:spacing w:after="20" w:before="0" w:line="240" w:lineRule="auto"/>
            </w:pPr>
            <w:r>
              <w:rPr>
                <w:rFonts w:ascii="Aptos" w:hAnsi="Aptos"/>
                <w:sz w:val="13"/>
              </w:rPr>
              <w:t>Candidate challenge causes retaliation or hidden disadvantage - Applicant who exercises privacy/contest rights is treated adversely or flagged.</w:t>
            </w:r>
          </w:p>
        </w:tc>
        <w:tc>
          <w:tcPr>
            <w:tcW w:type="dxa" w:w="936"/>
            <w:vAlign w:val="center"/>
            <w:tcMar>
              <w:top w:w="70" w:type="dxa"/>
              <w:start w:w="80" w:type="dxa"/>
              <w:bottom w:w="70" w:type="dxa"/>
              <w:end w:w="80" w:type="dxa"/>
            </w:tcMar>
          </w:tcPr>
          <w:p>
            <w:pPr>
              <w:spacing w:after="20" w:before="0" w:line="240" w:lineRule="auto"/>
            </w:pPr>
            <w:r>
              <w:rPr>
                <w:rFonts w:ascii="Aptos" w:hAnsi="Aptos"/>
                <w:sz w:val="13"/>
              </w:rPr>
              <w:t>Medium-High</w:t>
            </w:r>
          </w:p>
        </w:tc>
        <w:tc>
          <w:tcPr>
            <w:tcW w:type="dxa" w:w="2520"/>
            <w:vAlign w:val="center"/>
            <w:tcMar>
              <w:top w:w="70" w:type="dxa"/>
              <w:start w:w="80" w:type="dxa"/>
              <w:bottom w:w="70" w:type="dxa"/>
              <w:end w:w="80" w:type="dxa"/>
            </w:tcMar>
          </w:tcPr>
          <w:p>
            <w:pPr>
              <w:spacing w:after="20" w:before="0" w:line="240" w:lineRule="auto"/>
            </w:pPr>
            <w:r>
              <w:rPr>
                <w:rFonts w:ascii="Aptos" w:hAnsi="Aptos"/>
                <w:sz w:val="13"/>
              </w:rPr>
              <w:t>Separate rights-handling from selection criteria; prohibition on adverse use; access separation and monitoring.</w:t>
            </w:r>
          </w:p>
        </w:tc>
        <w:tc>
          <w:tcPr>
            <w:tcW w:type="dxa" w:w="1037"/>
            <w:vAlign w:val="center"/>
            <w:tcMar>
              <w:top w:w="70" w:type="dxa"/>
              <w:start w:w="80" w:type="dxa"/>
              <w:bottom w:w="70" w:type="dxa"/>
              <w:end w:w="80" w:type="dxa"/>
            </w:tcMar>
          </w:tcPr>
          <w:p>
            <w:pPr>
              <w:spacing w:after="20" w:before="0" w:line="240" w:lineRule="auto"/>
            </w:pPr>
            <w:r>
              <w:rPr>
                <w:rFonts w:ascii="Aptos" w:hAnsi="Aptos"/>
                <w:sz w:val="13"/>
              </w:rPr>
              <w:t>Low-Medium</w:t>
            </w:r>
          </w:p>
        </w:tc>
        <w:tc>
          <w:tcPr>
            <w:tcW w:type="dxa" w:w="1699"/>
            <w:vAlign w:val="center"/>
            <w:tcMar>
              <w:top w:w="70" w:type="dxa"/>
              <w:start w:w="80" w:type="dxa"/>
              <w:bottom w:w="70" w:type="dxa"/>
              <w:end w:w="80" w:type="dxa"/>
            </w:tcMar>
          </w:tcPr>
          <w:p>
            <w:pPr>
              <w:spacing w:after="20" w:before="0" w:line="240" w:lineRule="auto"/>
            </w:pPr>
            <w:r>
              <w:rPr>
                <w:rFonts w:ascii="Aptos" w:hAnsi="Aptos"/>
                <w:sz w:val="13"/>
              </w:rPr>
              <w:t>Procedure; access design; complaint review.</w:t>
            </w:r>
          </w:p>
        </w:tc>
      </w:tr>
    </w:tbl>
    <w:p>
      <w:pPr>
        <w:widowControl/>
        <w:spacing w:after="0"/>
      </w:pPr>
    </w:p>
    <w:tbl>
      <w:tblPr>
        <w:tblW w:type="auto" w:w="0"/>
        <w:jc w:val="center"/>
        <w:tblLayout w:type="fixed"/>
        <w:tblLook w:firstColumn="1" w:firstRow="1" w:lastColumn="0" w:lastRow="0" w:noHBand="0" w:noVBand="1" w:val="04A0"/>
      </w:tblPr>
      <w:tblGrid>
        <w:gridCol w:w="10166"/>
      </w:tblGrid>
      <w:tr>
        <w:tc>
          <w:tcPr>
            <w:tcW w:type="dxa" w:w="9648"/>
            <w:shd w:fill="F7EAEA"/>
            <w:tcMar>
              <w:top w:w="110" w:type="dxa"/>
              <w:start w:w="130" w:type="dxa"/>
              <w:bottom w:w="110" w:type="dxa"/>
              <w:end w:w="130" w:type="dxa"/>
            </w:tcMar>
          </w:tcPr>
          <w:p>
            <w:pPr>
              <w:spacing w:after="40"/>
            </w:pPr>
            <w:r>
              <w:rPr>
                <w:b/>
                <w:color w:val="173B57"/>
                <w:sz w:val="19"/>
              </w:rPr>
              <w:t>Current residual-risk conclusion</w:t>
            </w:r>
          </w:p>
          <w:p>
            <w:pPr>
              <w:spacing w:after="0" w:line="247" w:lineRule="auto"/>
            </w:pPr>
            <w:r>
              <w:rPr>
                <w:sz w:val="17"/>
              </w:rPr>
              <w:t>The current concept-stage evidence is insufficient to demonstrate that the high-risk applicant impacts above are adequately mitigated. Duckworks must therefore maintain the existing “Do Not Deploy” decision. Target residual ratings describe the intended state after controls and evidence; they are not current control effectiveness claims.</w:t>
            </w:r>
          </w:p>
        </w:tc>
      </w:tr>
    </w:tbl>
    <w:p>
      <w:pPr>
        <w:widowControl/>
        <w:spacing w:after="0"/>
      </w:pPr>
    </w:p>
    <w:p>
      <w:pPr>
        <w:pStyle w:val="Heading1"/>
        <w:keepNext/>
        <w:widowControl/>
      </w:pPr>
      <w:r>
        <w:rPr>
          <w:rFonts w:ascii="Aptos" w:hAnsi="Aptos"/>
        </w:rPr>
        <w:t>9. Data-Subject Rights and Human Oversight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Requirement</w:t>
            </w:r>
          </w:p>
        </w:tc>
        <w:tc>
          <w:tcPr>
            <w:tcW w:type="dxa" w:w="6984"/>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DuckTalent design expectation</w:t>
            </w:r>
          </w:p>
        </w:tc>
      </w:tr>
      <w:tr>
        <w:tc>
          <w:tcPr>
            <w:tcW w:type="dxa" w:w="2376"/>
            <w:vAlign w:val="center"/>
            <w:tcMar>
              <w:top w:w="70" w:type="dxa"/>
              <w:start w:w="80" w:type="dxa"/>
              <w:bottom w:w="70" w:type="dxa"/>
              <w:end w:w="80" w:type="dxa"/>
            </w:tcMar>
          </w:tcPr>
          <w:p>
            <w:pPr>
              <w:spacing w:after="20" w:before="0" w:line="240" w:lineRule="auto"/>
            </w:pPr>
            <w:r>
              <w:rPr>
                <w:rFonts w:ascii="Aptos" w:hAnsi="Aptos"/>
                <w:sz w:val="16"/>
              </w:rPr>
              <w:t>Notice</w:t>
            </w:r>
          </w:p>
        </w:tc>
        <w:tc>
          <w:tcPr>
            <w:tcW w:type="dxa" w:w="6984"/>
            <w:vAlign w:val="center"/>
            <w:tcMar>
              <w:top w:w="70" w:type="dxa"/>
              <w:start w:w="80" w:type="dxa"/>
              <w:bottom w:w="70" w:type="dxa"/>
              <w:end w:w="80" w:type="dxa"/>
            </w:tcMar>
          </w:tcPr>
          <w:p>
            <w:pPr>
              <w:spacing w:after="20" w:before="0" w:line="240" w:lineRule="auto"/>
            </w:pPr>
            <w:r>
              <w:rPr>
                <w:rFonts w:ascii="Aptos" w:hAnsi="Aptos"/>
                <w:sz w:val="16"/>
              </w:rPr>
              <w:t>Applicants receive clear information about Duckworks, recruitment purposes, AI-assisted analysis/ranking, categories/sources of data, recipients, retention, rights and contact route.</w:t>
            </w:r>
          </w:p>
        </w:tc>
      </w:tr>
      <w:tr>
        <w:tc>
          <w:tcPr>
            <w:tcW w:type="dxa" w:w="2376"/>
            <w:vAlign w:val="center"/>
            <w:tcMar>
              <w:top w:w="70" w:type="dxa"/>
              <w:start w:w="80" w:type="dxa"/>
              <w:bottom w:w="70" w:type="dxa"/>
              <w:end w:w="80" w:type="dxa"/>
            </w:tcMar>
            <w:shd w:fill="F7F9FA"/>
          </w:tcPr>
          <w:p>
            <w:pPr>
              <w:spacing w:after="20" w:before="0" w:line="240" w:lineRule="auto"/>
            </w:pPr>
            <w:r>
              <w:rPr>
                <w:rFonts w:ascii="Aptos" w:hAnsi="Aptos"/>
                <w:sz w:val="16"/>
              </w:rPr>
              <w:t>Access</w:t>
            </w:r>
          </w:p>
        </w:tc>
        <w:tc>
          <w:tcPr>
            <w:tcW w:type="dxa" w:w="6984"/>
            <w:vAlign w:val="center"/>
            <w:tcMar>
              <w:top w:w="70" w:type="dxa"/>
              <w:start w:w="80" w:type="dxa"/>
              <w:bottom w:w="70" w:type="dxa"/>
              <w:end w:w="80" w:type="dxa"/>
            </w:tcMar>
            <w:shd w:fill="F7F9FA"/>
          </w:tcPr>
          <w:p>
            <w:pPr>
              <w:spacing w:after="20" w:before="0" w:line="240" w:lineRule="auto"/>
            </w:pPr>
            <w:r>
              <w:rPr>
                <w:rFonts w:ascii="Aptos" w:hAnsi="Aptos"/>
                <w:sz w:val="16"/>
              </w:rPr>
              <w:t>Duckworks can identify and provide relevant applicant personal data, including material derived data, subject to applicable limitations and rights of others.</w:t>
            </w:r>
          </w:p>
        </w:tc>
      </w:tr>
      <w:tr>
        <w:tc>
          <w:tcPr>
            <w:tcW w:type="dxa" w:w="2376"/>
            <w:vAlign w:val="center"/>
            <w:tcMar>
              <w:top w:w="70" w:type="dxa"/>
              <w:start w:w="80" w:type="dxa"/>
              <w:bottom w:w="70" w:type="dxa"/>
              <w:end w:w="80" w:type="dxa"/>
            </w:tcMar>
          </w:tcPr>
          <w:p>
            <w:pPr>
              <w:spacing w:after="20" w:before="0" w:line="240" w:lineRule="auto"/>
            </w:pPr>
            <w:r>
              <w:rPr>
                <w:rFonts w:ascii="Aptos" w:hAnsi="Aptos"/>
                <w:sz w:val="16"/>
              </w:rPr>
              <w:t>Rectification</w:t>
            </w:r>
          </w:p>
        </w:tc>
        <w:tc>
          <w:tcPr>
            <w:tcW w:type="dxa" w:w="6984"/>
            <w:vAlign w:val="center"/>
            <w:tcMar>
              <w:top w:w="70" w:type="dxa"/>
              <w:start w:w="80" w:type="dxa"/>
              <w:bottom w:w="70" w:type="dxa"/>
              <w:end w:w="80" w:type="dxa"/>
            </w:tcMar>
          </w:tcPr>
          <w:p>
            <w:pPr>
              <w:spacing w:after="20" w:before="0" w:line="240" w:lineRule="auto"/>
            </w:pPr>
            <w:r>
              <w:rPr>
                <w:rFonts w:ascii="Aptos" w:hAnsi="Aptos"/>
                <w:sz w:val="16"/>
              </w:rPr>
              <w:t>Applicants can correct inaccurate source data and material derived information; recruitment teams can re-run/review where correction could affect outcome.</w:t>
            </w:r>
          </w:p>
        </w:tc>
      </w:tr>
      <w:tr>
        <w:tc>
          <w:tcPr>
            <w:tcW w:type="dxa" w:w="2376"/>
            <w:vAlign w:val="center"/>
            <w:tcMar>
              <w:top w:w="70" w:type="dxa"/>
              <w:start w:w="80" w:type="dxa"/>
              <w:bottom w:w="70" w:type="dxa"/>
              <w:end w:w="80" w:type="dxa"/>
            </w:tcMar>
            <w:shd w:fill="F7F9FA"/>
          </w:tcPr>
          <w:p>
            <w:pPr>
              <w:spacing w:after="20" w:before="0" w:line="240" w:lineRule="auto"/>
            </w:pPr>
            <w:r>
              <w:rPr>
                <w:rFonts w:ascii="Aptos" w:hAnsi="Aptos"/>
                <w:sz w:val="16"/>
              </w:rPr>
              <w:t>Erasure / restriction</w:t>
            </w:r>
          </w:p>
        </w:tc>
        <w:tc>
          <w:tcPr>
            <w:tcW w:type="dxa" w:w="6984"/>
            <w:vAlign w:val="center"/>
            <w:tcMar>
              <w:top w:w="70" w:type="dxa"/>
              <w:start w:w="80" w:type="dxa"/>
              <w:bottom w:w="70" w:type="dxa"/>
              <w:end w:w="80" w:type="dxa"/>
            </w:tcMar>
            <w:shd w:fill="F7F9FA"/>
          </w:tcPr>
          <w:p>
            <w:pPr>
              <w:spacing w:after="20" w:before="0" w:line="240" w:lineRule="auto"/>
            </w:pPr>
            <w:r>
              <w:rPr>
                <w:rFonts w:ascii="Aptos" w:hAnsi="Aptos"/>
                <w:sz w:val="16"/>
              </w:rPr>
              <w:t>Requests are handled under applicable GDPR conditions, with propagation to relevant processors and systems where required.</w:t>
            </w:r>
          </w:p>
        </w:tc>
      </w:tr>
      <w:tr>
        <w:tc>
          <w:tcPr>
            <w:tcW w:type="dxa" w:w="2376"/>
            <w:vAlign w:val="center"/>
            <w:tcMar>
              <w:top w:w="70" w:type="dxa"/>
              <w:start w:w="80" w:type="dxa"/>
              <w:bottom w:w="70" w:type="dxa"/>
              <w:end w:w="80" w:type="dxa"/>
            </w:tcMar>
          </w:tcPr>
          <w:p>
            <w:pPr>
              <w:spacing w:after="20" w:before="0" w:line="240" w:lineRule="auto"/>
            </w:pPr>
            <w:r>
              <w:rPr>
                <w:rFonts w:ascii="Aptos" w:hAnsi="Aptos"/>
                <w:sz w:val="16"/>
              </w:rPr>
              <w:t>Objection</w:t>
            </w:r>
          </w:p>
        </w:tc>
        <w:tc>
          <w:tcPr>
            <w:tcW w:type="dxa" w:w="6984"/>
            <w:vAlign w:val="center"/>
            <w:tcMar>
              <w:top w:w="70" w:type="dxa"/>
              <w:start w:w="80" w:type="dxa"/>
              <w:bottom w:w="70" w:type="dxa"/>
              <w:end w:w="80" w:type="dxa"/>
            </w:tcMar>
          </w:tcPr>
          <w:p>
            <w:pPr>
              <w:spacing w:after="20" w:before="0" w:line="240" w:lineRule="auto"/>
            </w:pPr>
            <w:r>
              <w:rPr>
                <w:rFonts w:ascii="Aptos" w:hAnsi="Aptos"/>
                <w:sz w:val="16"/>
              </w:rPr>
              <w:t>Where Article 21 applies based on lawful basis, Duckworks can identify, assess and action objections.</w:t>
            </w:r>
          </w:p>
        </w:tc>
      </w:tr>
      <w:tr>
        <w:tc>
          <w:tcPr>
            <w:tcW w:type="dxa" w:w="2376"/>
            <w:vAlign w:val="center"/>
            <w:tcMar>
              <w:top w:w="70" w:type="dxa"/>
              <w:start w:w="80" w:type="dxa"/>
              <w:bottom w:w="70" w:type="dxa"/>
              <w:end w:w="80" w:type="dxa"/>
            </w:tcMar>
            <w:shd w:fill="F7F9FA"/>
          </w:tcPr>
          <w:p>
            <w:pPr>
              <w:spacing w:after="20" w:before="0" w:line="240" w:lineRule="auto"/>
            </w:pPr>
            <w:r>
              <w:rPr>
                <w:rFonts w:ascii="Aptos" w:hAnsi="Aptos"/>
                <w:sz w:val="16"/>
              </w:rPr>
              <w:t>Article 22 safeguard</w:t>
            </w:r>
          </w:p>
        </w:tc>
        <w:tc>
          <w:tcPr>
            <w:tcW w:type="dxa" w:w="6984"/>
            <w:vAlign w:val="center"/>
            <w:tcMar>
              <w:top w:w="70" w:type="dxa"/>
              <w:start w:w="80" w:type="dxa"/>
              <w:bottom w:w="70" w:type="dxa"/>
              <w:end w:w="80" w:type="dxa"/>
            </w:tcMar>
            <w:shd w:fill="F7F9FA"/>
          </w:tcPr>
          <w:p>
            <w:pPr>
              <w:spacing w:after="20" w:before="0" w:line="240" w:lineRule="auto"/>
            </w:pPr>
            <w:r>
              <w:rPr>
                <w:rFonts w:ascii="Aptos" w:hAnsi="Aptos"/>
                <w:sz w:val="16"/>
              </w:rPr>
              <w:t>System design prohibits solely automated final hiring/rejection. Human intervention must be real, not ceremonial.</w:t>
            </w:r>
          </w:p>
        </w:tc>
      </w:tr>
      <w:tr>
        <w:tc>
          <w:tcPr>
            <w:tcW w:type="dxa" w:w="2376"/>
            <w:vAlign w:val="center"/>
            <w:tcMar>
              <w:top w:w="70" w:type="dxa"/>
              <w:start w:w="80" w:type="dxa"/>
              <w:bottom w:w="70" w:type="dxa"/>
              <w:end w:w="80" w:type="dxa"/>
            </w:tcMar>
          </w:tcPr>
          <w:p>
            <w:pPr>
              <w:spacing w:after="20" w:before="0" w:line="240" w:lineRule="auto"/>
            </w:pPr>
            <w:r>
              <w:rPr>
                <w:rFonts w:ascii="Aptos" w:hAnsi="Aptos"/>
                <w:sz w:val="16"/>
              </w:rPr>
              <w:t>Contestability</w:t>
            </w:r>
          </w:p>
        </w:tc>
        <w:tc>
          <w:tcPr>
            <w:tcW w:type="dxa" w:w="6984"/>
            <w:vAlign w:val="center"/>
            <w:tcMar>
              <w:top w:w="70" w:type="dxa"/>
              <w:start w:w="80" w:type="dxa"/>
              <w:bottom w:w="70" w:type="dxa"/>
              <w:end w:w="80" w:type="dxa"/>
            </w:tcMar>
          </w:tcPr>
          <w:p>
            <w:pPr>
              <w:spacing w:after="20" w:before="0" w:line="240" w:lineRule="auto"/>
            </w:pPr>
            <w:r>
              <w:rPr>
                <w:rFonts w:ascii="Aptos" w:hAnsi="Aptos"/>
                <w:sz w:val="16"/>
              </w:rPr>
              <w:t>Applicants have a route to query or contest material AI-supported outcomes and obtain human reconsideration where appropriate.</w:t>
            </w:r>
          </w:p>
        </w:tc>
      </w:tr>
      <w:tr>
        <w:tc>
          <w:tcPr>
            <w:tcW w:type="dxa" w:w="2376"/>
            <w:vAlign w:val="center"/>
            <w:tcMar>
              <w:top w:w="70" w:type="dxa"/>
              <w:start w:w="80" w:type="dxa"/>
              <w:bottom w:w="70" w:type="dxa"/>
              <w:end w:w="80" w:type="dxa"/>
            </w:tcMar>
            <w:shd w:fill="F7F9FA"/>
          </w:tcPr>
          <w:p>
            <w:pPr>
              <w:spacing w:after="20" w:before="0" w:line="240" w:lineRule="auto"/>
            </w:pPr>
            <w:r>
              <w:rPr>
                <w:rFonts w:ascii="Aptos" w:hAnsi="Aptos"/>
                <w:sz w:val="16"/>
              </w:rPr>
              <w:t>Human competence</w:t>
            </w:r>
          </w:p>
        </w:tc>
        <w:tc>
          <w:tcPr>
            <w:tcW w:type="dxa" w:w="6984"/>
            <w:vAlign w:val="center"/>
            <w:tcMar>
              <w:top w:w="70" w:type="dxa"/>
              <w:start w:w="80" w:type="dxa"/>
              <w:bottom w:w="70" w:type="dxa"/>
              <w:end w:w="80" w:type="dxa"/>
            </w:tcMar>
            <w:shd w:fill="F7F9FA"/>
          </w:tcPr>
          <w:p>
            <w:pPr>
              <w:spacing w:after="20" w:before="0" w:line="240" w:lineRule="auto"/>
            </w:pPr>
            <w:r>
              <w:rPr>
                <w:rFonts w:ascii="Aptos" w:hAnsi="Aptos"/>
                <w:sz w:val="16"/>
              </w:rPr>
              <w:t>Reviewers understand system purpose, known limitations, error patterns, fairness/automation-bias risk, and when to disregard/escalate output.</w:t>
            </w:r>
          </w:p>
        </w:tc>
      </w:tr>
      <w:tr>
        <w:tc>
          <w:tcPr>
            <w:tcW w:type="dxa" w:w="2376"/>
            <w:vAlign w:val="center"/>
            <w:tcMar>
              <w:top w:w="70" w:type="dxa"/>
              <w:start w:w="80" w:type="dxa"/>
              <w:bottom w:w="70" w:type="dxa"/>
              <w:end w:w="80" w:type="dxa"/>
            </w:tcMar>
          </w:tcPr>
          <w:p>
            <w:pPr>
              <w:spacing w:after="20" w:before="0" w:line="240" w:lineRule="auto"/>
            </w:pPr>
            <w:r>
              <w:rPr>
                <w:rFonts w:ascii="Aptos" w:hAnsi="Aptos"/>
                <w:sz w:val="16"/>
              </w:rPr>
              <w:t>Override</w:t>
            </w:r>
          </w:p>
        </w:tc>
        <w:tc>
          <w:tcPr>
            <w:tcW w:type="dxa" w:w="6984"/>
            <w:vAlign w:val="center"/>
            <w:tcMar>
              <w:top w:w="70" w:type="dxa"/>
              <w:start w:w="80" w:type="dxa"/>
              <w:bottom w:w="70" w:type="dxa"/>
              <w:end w:w="80" w:type="dxa"/>
            </w:tcMar>
          </w:tcPr>
          <w:p>
            <w:pPr>
              <w:spacing w:after="20" w:before="0" w:line="240" w:lineRule="auto"/>
            </w:pPr>
            <w:r>
              <w:rPr>
                <w:rFonts w:ascii="Aptos" w:hAnsi="Aptos"/>
                <w:sz w:val="16"/>
              </w:rPr>
              <w:t>Reviewer can change or ignore ranking without technical or managerial obstruction and can document rationale.</w:t>
            </w:r>
          </w:p>
        </w:tc>
      </w:tr>
      <w:tr>
        <w:tc>
          <w:tcPr>
            <w:tcW w:type="dxa" w:w="2376"/>
            <w:vAlign w:val="center"/>
            <w:tcMar>
              <w:top w:w="70" w:type="dxa"/>
              <w:start w:w="80" w:type="dxa"/>
              <w:bottom w:w="70" w:type="dxa"/>
              <w:end w:w="80" w:type="dxa"/>
            </w:tcMar>
            <w:shd w:fill="F7F9FA"/>
          </w:tcPr>
          <w:p>
            <w:pPr>
              <w:spacing w:after="20" w:before="0" w:line="240" w:lineRule="auto"/>
            </w:pPr>
            <w:r>
              <w:rPr>
                <w:rFonts w:ascii="Aptos" w:hAnsi="Aptos"/>
                <w:sz w:val="16"/>
              </w:rPr>
              <w:t>Stop authority</w:t>
            </w:r>
          </w:p>
        </w:tc>
        <w:tc>
          <w:tcPr>
            <w:tcW w:type="dxa" w:w="6984"/>
            <w:vAlign w:val="center"/>
            <w:tcMar>
              <w:top w:w="70" w:type="dxa"/>
              <w:start w:w="80" w:type="dxa"/>
              <w:bottom w:w="70" w:type="dxa"/>
              <w:end w:w="80" w:type="dxa"/>
            </w:tcMar>
            <w:shd w:fill="F7F9FA"/>
          </w:tcPr>
          <w:p>
            <w:pPr>
              <w:spacing w:after="20" w:before="0" w:line="240" w:lineRule="auto"/>
            </w:pPr>
            <w:r>
              <w:rPr>
                <w:rFonts w:ascii="Aptos" w:hAnsi="Aptos"/>
                <w:sz w:val="16"/>
              </w:rPr>
              <w:t>Business owner / governance functions can suspend DuckTalent when data protection, fairness, security, performance or oversight controls fail.</w:t>
            </w:r>
          </w:p>
        </w:tc>
      </w:tr>
    </w:tbl>
    <w:p>
      <w:pPr>
        <w:widowControl/>
        <w:spacing w:after="0"/>
      </w:pPr>
    </w:p>
    <w:p>
      <w:pPr>
        <w:pStyle w:val="Heading1"/>
        <w:keepNext/>
        <w:widowControl/>
      </w:pPr>
      <w:r>
        <w:rPr>
          <w:rFonts w:ascii="Aptos" w:hAnsi="Aptos"/>
        </w:rPr>
        <w:t>10. Security and Privacy-by-Design Measures</w:t>
      </w:r>
    </w:p>
    <w:p>
      <w:pPr>
        <w:pStyle w:val="ListBullet"/>
        <w:widowControl/>
        <w:spacing w:after="40"/>
        <w:ind w:left="317" w:hanging="202"/>
      </w:pPr>
      <w:r>
        <w:rPr>
          <w:rFonts w:ascii="Aptos" w:hAnsi="Aptos"/>
        </w:rPr>
        <w:t>Enterprise identity, role-based access control, least privilege and periodic access recertification for applicant data and AI administration.</w:t>
      </w:r>
    </w:p>
    <w:p>
      <w:pPr>
        <w:pStyle w:val="ListBullet"/>
        <w:widowControl/>
        <w:spacing w:after="40"/>
        <w:ind w:left="317" w:hanging="202"/>
      </w:pPr>
      <w:r>
        <w:rPr>
          <w:rFonts w:ascii="Aptos" w:hAnsi="Aptos"/>
        </w:rPr>
        <w:t>Encryption in transit and at rest where appropriate; secrets and credentials segregated from prompts/application data.</w:t>
      </w:r>
    </w:p>
    <w:p>
      <w:pPr>
        <w:pStyle w:val="ListBullet"/>
        <w:widowControl/>
        <w:spacing w:after="40"/>
        <w:ind w:left="317" w:hanging="202"/>
      </w:pPr>
      <w:r>
        <w:rPr>
          <w:rFonts w:ascii="Aptos" w:hAnsi="Aptos"/>
        </w:rPr>
        <w:t>Approved integrations only; no uncontrolled browser extensions or public GenAI services in the recruitment workflow.</w:t>
      </w:r>
    </w:p>
    <w:p>
      <w:pPr>
        <w:pStyle w:val="ListBullet"/>
        <w:widowControl/>
        <w:spacing w:after="40"/>
        <w:ind w:left="317" w:hanging="202"/>
      </w:pPr>
      <w:r>
        <w:rPr>
          <w:rFonts w:ascii="Aptos" w:hAnsi="Aptos"/>
        </w:rPr>
        <w:t>Input and output controls to reduce prompt injection, malicious attachments, data exfiltration and unauthorized tool execution if generative components are used.</w:t>
      </w:r>
    </w:p>
    <w:p>
      <w:pPr>
        <w:pStyle w:val="ListBullet"/>
        <w:widowControl/>
        <w:spacing w:after="40"/>
        <w:ind w:left="317" w:hanging="202"/>
      </w:pPr>
      <w:r>
        <w:rPr>
          <w:rFonts w:ascii="Aptos" w:hAnsi="Aptos"/>
        </w:rPr>
        <w:t>Segregation between applicant records, model/service configuration, logs, and administrative functions.</w:t>
      </w:r>
    </w:p>
    <w:p>
      <w:pPr>
        <w:pStyle w:val="ListBullet"/>
        <w:widowControl/>
        <w:spacing w:after="40"/>
        <w:ind w:left="317" w:hanging="202"/>
      </w:pPr>
      <w:r>
        <w:rPr>
          <w:rFonts w:ascii="Aptos" w:hAnsi="Aptos"/>
        </w:rPr>
        <w:t>Logging sufficient to reconstruct material actions without indiscriminately retaining full prompt/content histories.</w:t>
      </w:r>
    </w:p>
    <w:p>
      <w:pPr>
        <w:pStyle w:val="ListBullet"/>
        <w:widowControl/>
        <w:spacing w:after="40"/>
        <w:ind w:left="317" w:hanging="202"/>
      </w:pPr>
      <w:r>
        <w:rPr>
          <w:rFonts w:ascii="Aptos" w:hAnsi="Aptos"/>
        </w:rPr>
        <w:t>Secure development/change control, model/version management, vulnerability management and dependency/supply-chain review.</w:t>
      </w:r>
    </w:p>
    <w:p>
      <w:pPr>
        <w:pStyle w:val="ListBullet"/>
        <w:widowControl/>
        <w:spacing w:after="40"/>
        <w:ind w:left="317" w:hanging="202"/>
      </w:pPr>
      <w:r>
        <w:rPr>
          <w:rFonts w:ascii="Aptos" w:hAnsi="Aptos"/>
        </w:rPr>
        <w:t>Data-loss prevention and contractual restrictions against provider model training or unrelated reuse where applicable.</w:t>
      </w:r>
    </w:p>
    <w:p>
      <w:pPr>
        <w:pStyle w:val="ListBullet"/>
        <w:widowControl/>
        <w:spacing w:after="40"/>
        <w:ind w:left="317" w:hanging="202"/>
      </w:pPr>
      <w:r>
        <w:rPr>
          <w:rFonts w:ascii="Aptos" w:hAnsi="Aptos"/>
        </w:rPr>
        <w:t>Retention/deletion controls covering primary storage, caches, exports, test environments and processor copies as far as contractually/technically possible.</w:t>
      </w:r>
    </w:p>
    <w:p>
      <w:pPr>
        <w:pStyle w:val="ListBullet"/>
        <w:widowControl/>
        <w:spacing w:after="40"/>
        <w:ind w:left="317" w:hanging="202"/>
      </w:pPr>
      <w:r>
        <w:rPr>
          <w:rFonts w:ascii="Aptos" w:hAnsi="Aptos"/>
        </w:rPr>
        <w:t>Incident escalation integrated with Duckworks security/privacy processes, including assessment of GDPR breach notification obligations where relevant.</w:t>
      </w:r>
    </w:p>
    <w:p>
      <w:pPr>
        <w:pStyle w:val="Heading1"/>
        <w:keepNext/>
        <w:widowControl/>
      </w:pPr>
      <w:r>
        <w:rPr>
          <w:rFonts w:ascii="Aptos" w:hAnsi="Aptos"/>
        </w:rPr>
        <w:t>11. Consultation, DPO Advice, and Stakeholder Input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Consultation</w:t>
            </w:r>
          </w:p>
        </w:tc>
        <w:tc>
          <w:tcPr>
            <w:tcW w:type="dxa" w:w="2088"/>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Status</w:t>
            </w:r>
          </w:p>
        </w:tc>
        <w:tc>
          <w:tcPr>
            <w:tcW w:type="dxa" w:w="4752"/>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Required output</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5"/>
              </w:rPr>
              <w:t>DPO advice - Delia Duckham</w:t>
            </w:r>
          </w:p>
        </w:tc>
        <w:tc>
          <w:tcPr>
            <w:tcW w:type="dxa" w:w="2088"/>
            <w:vAlign w:val="center"/>
            <w:tcMar>
              <w:top w:w="70" w:type="dxa"/>
              <w:start w:w="80" w:type="dxa"/>
              <w:bottom w:w="70" w:type="dxa"/>
              <w:end w:w="80" w:type="dxa"/>
            </w:tcMar>
          </w:tcPr>
          <w:p>
            <w:pPr>
              <w:spacing w:after="20" w:before="0" w:line="240" w:lineRule="auto"/>
            </w:pPr>
            <w:r>
              <w:rPr>
                <w:rFonts w:ascii="Aptos" w:hAnsi="Aptos"/>
                <w:sz w:val="15"/>
              </w:rPr>
              <w:t>Required before approval</w:t>
            </w:r>
          </w:p>
        </w:tc>
        <w:tc>
          <w:tcPr>
            <w:tcW w:type="dxa" w:w="4752"/>
            <w:vAlign w:val="center"/>
            <w:tcMar>
              <w:top w:w="70" w:type="dxa"/>
              <w:start w:w="80" w:type="dxa"/>
              <w:bottom w:w="70" w:type="dxa"/>
              <w:end w:w="80" w:type="dxa"/>
            </w:tcMar>
          </w:tcPr>
          <w:p>
            <w:pPr>
              <w:spacing w:after="20" w:before="0" w:line="240" w:lineRule="auto"/>
            </w:pPr>
            <w:r>
              <w:rPr>
                <w:rFonts w:ascii="Aptos" w:hAnsi="Aptos"/>
                <w:sz w:val="15"/>
              </w:rPr>
              <w:t>Written advice on DPIA completeness, lawful basis, rights, minimization, Article 22 boundary, processor/transfer issues and residual risk.</w:t>
            </w:r>
          </w:p>
        </w:tc>
      </w:tr>
      <w:tr>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5"/>
              </w:rPr>
              <w:t>General Counsel</w:t>
            </w:r>
          </w:p>
        </w:tc>
        <w:tc>
          <w:tcPr>
            <w:tcW w:type="dxa" w:w="2088"/>
            <w:vAlign w:val="center"/>
            <w:tcMar>
              <w:top w:w="70" w:type="dxa"/>
              <w:start w:w="80" w:type="dxa"/>
              <w:bottom w:w="70" w:type="dxa"/>
              <w:end w:w="80" w:type="dxa"/>
            </w:tcMar>
            <w:shd w:fill="F7F9FA"/>
          </w:tcPr>
          <w:p>
            <w:pPr>
              <w:spacing w:after="20" w:before="0" w:line="240" w:lineRule="auto"/>
            </w:pPr>
            <w:r>
              <w:rPr>
                <w:rFonts w:ascii="Aptos" w:hAnsi="Aptos"/>
                <w:sz w:val="15"/>
              </w:rPr>
              <w:t>Required</w:t>
            </w:r>
          </w:p>
        </w:tc>
        <w:tc>
          <w:tcPr>
            <w:tcW w:type="dxa" w:w="4752"/>
            <w:vAlign w:val="center"/>
            <w:tcMar>
              <w:top w:w="70" w:type="dxa"/>
              <w:start w:w="80" w:type="dxa"/>
              <w:bottom w:w="70" w:type="dxa"/>
              <w:end w:w="80" w:type="dxa"/>
            </w:tcMar>
            <w:shd w:fill="F7F9FA"/>
          </w:tcPr>
          <w:p>
            <w:pPr>
              <w:spacing w:after="20" w:before="0" w:line="240" w:lineRule="auto"/>
            </w:pPr>
            <w:r>
              <w:rPr>
                <w:rFonts w:ascii="Aptos" w:hAnsi="Aptos"/>
                <w:sz w:val="15"/>
              </w:rPr>
              <w:t>Employment-law / Article 88 / jurisdiction-specific assessment; legal basis and contractual position.</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5"/>
              </w:rPr>
              <w:t>HR / business owner</w:t>
            </w:r>
          </w:p>
        </w:tc>
        <w:tc>
          <w:tcPr>
            <w:tcW w:type="dxa" w:w="2088"/>
            <w:vAlign w:val="center"/>
            <w:tcMar>
              <w:top w:w="70" w:type="dxa"/>
              <w:start w:w="80" w:type="dxa"/>
              <w:bottom w:w="70" w:type="dxa"/>
              <w:end w:w="80" w:type="dxa"/>
            </w:tcMar>
          </w:tcPr>
          <w:p>
            <w:pPr>
              <w:spacing w:after="20" w:before="0" w:line="240" w:lineRule="auto"/>
            </w:pPr>
            <w:r>
              <w:rPr>
                <w:rFonts w:ascii="Aptos" w:hAnsi="Aptos"/>
                <w:sz w:val="15"/>
              </w:rPr>
              <w:t>Required</w:t>
            </w:r>
          </w:p>
        </w:tc>
        <w:tc>
          <w:tcPr>
            <w:tcW w:type="dxa" w:w="4752"/>
            <w:vAlign w:val="center"/>
            <w:tcMar>
              <w:top w:w="70" w:type="dxa"/>
              <w:start w:w="80" w:type="dxa"/>
              <w:bottom w:w="70" w:type="dxa"/>
              <w:end w:w="80" w:type="dxa"/>
            </w:tcMar>
          </w:tcPr>
          <w:p>
            <w:pPr>
              <w:spacing w:after="20" w:before="0" w:line="240" w:lineRule="auto"/>
            </w:pPr>
            <w:r>
              <w:rPr>
                <w:rFonts w:ascii="Aptos" w:hAnsi="Aptos"/>
                <w:sz w:val="15"/>
              </w:rPr>
              <w:t>Approved job criteria, decision process, oversight procedure and candidate remedy route.</w:t>
            </w:r>
          </w:p>
        </w:tc>
      </w:tr>
      <w:tr>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5"/>
              </w:rPr>
              <w:t>CISO / Security</w:t>
            </w:r>
          </w:p>
        </w:tc>
        <w:tc>
          <w:tcPr>
            <w:tcW w:type="dxa" w:w="2088"/>
            <w:vAlign w:val="center"/>
            <w:tcMar>
              <w:top w:w="70" w:type="dxa"/>
              <w:start w:w="80" w:type="dxa"/>
              <w:bottom w:w="70" w:type="dxa"/>
              <w:end w:w="80" w:type="dxa"/>
            </w:tcMar>
            <w:shd w:fill="F7F9FA"/>
          </w:tcPr>
          <w:p>
            <w:pPr>
              <w:spacing w:after="20" w:before="0" w:line="240" w:lineRule="auto"/>
            </w:pPr>
            <w:r>
              <w:rPr>
                <w:rFonts w:ascii="Aptos" w:hAnsi="Aptos"/>
                <w:sz w:val="15"/>
              </w:rPr>
              <w:t>Required</w:t>
            </w:r>
          </w:p>
        </w:tc>
        <w:tc>
          <w:tcPr>
            <w:tcW w:type="dxa" w:w="4752"/>
            <w:vAlign w:val="center"/>
            <w:tcMar>
              <w:top w:w="70" w:type="dxa"/>
              <w:start w:w="80" w:type="dxa"/>
              <w:bottom w:w="70" w:type="dxa"/>
              <w:end w:w="80" w:type="dxa"/>
            </w:tcMar>
            <w:shd w:fill="F7F9FA"/>
          </w:tcPr>
          <w:p>
            <w:pPr>
              <w:spacing w:after="20" w:before="0" w:line="240" w:lineRule="auto"/>
            </w:pPr>
            <w:r>
              <w:rPr>
                <w:rFonts w:ascii="Aptos" w:hAnsi="Aptos"/>
                <w:sz w:val="15"/>
              </w:rPr>
              <w:t>Threat model, architecture/security review, access/logging and vendor/model supply-chain controls.</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5"/>
              </w:rPr>
              <w:t>Procurement / Vendor Assurance</w:t>
            </w:r>
          </w:p>
        </w:tc>
        <w:tc>
          <w:tcPr>
            <w:tcW w:type="dxa" w:w="2088"/>
            <w:vAlign w:val="center"/>
            <w:tcMar>
              <w:top w:w="70" w:type="dxa"/>
              <w:start w:w="80" w:type="dxa"/>
              <w:bottom w:w="70" w:type="dxa"/>
              <w:end w:w="80" w:type="dxa"/>
            </w:tcMar>
          </w:tcPr>
          <w:p>
            <w:pPr>
              <w:spacing w:after="20" w:before="0" w:line="240" w:lineRule="auto"/>
            </w:pPr>
            <w:r>
              <w:rPr>
                <w:rFonts w:ascii="Aptos" w:hAnsi="Aptos"/>
                <w:sz w:val="15"/>
              </w:rPr>
              <w:t>Required if third party</w:t>
            </w:r>
          </w:p>
        </w:tc>
        <w:tc>
          <w:tcPr>
            <w:tcW w:type="dxa" w:w="4752"/>
            <w:vAlign w:val="center"/>
            <w:tcMar>
              <w:top w:w="70" w:type="dxa"/>
              <w:start w:w="80" w:type="dxa"/>
              <w:bottom w:w="70" w:type="dxa"/>
              <w:end w:w="80" w:type="dxa"/>
            </w:tcMar>
          </w:tcPr>
          <w:p>
            <w:pPr>
              <w:spacing w:after="20" w:before="0" w:line="240" w:lineRule="auto"/>
            </w:pPr>
            <w:r>
              <w:rPr>
                <w:rFonts w:ascii="Aptos" w:hAnsi="Aptos"/>
                <w:sz w:val="15"/>
              </w:rPr>
              <w:t>Processor terms, subprocessors, data use, retention, incident notice, audit/evidence and exit arrangements.</w:t>
            </w:r>
          </w:p>
        </w:tc>
      </w:tr>
      <w:tr>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5"/>
              </w:rPr>
              <w:t>Applicant / representative views</w:t>
            </w:r>
          </w:p>
        </w:tc>
        <w:tc>
          <w:tcPr>
            <w:tcW w:type="dxa" w:w="2088"/>
            <w:vAlign w:val="center"/>
            <w:tcMar>
              <w:top w:w="70" w:type="dxa"/>
              <w:start w:w="80" w:type="dxa"/>
              <w:bottom w:w="70" w:type="dxa"/>
              <w:end w:w="80" w:type="dxa"/>
            </w:tcMar>
            <w:shd w:fill="F7F9FA"/>
          </w:tcPr>
          <w:p>
            <w:pPr>
              <w:spacing w:after="20" w:before="0" w:line="240" w:lineRule="auto"/>
            </w:pPr>
            <w:r>
              <w:rPr>
                <w:rFonts w:ascii="Aptos" w:hAnsi="Aptos"/>
                <w:sz w:val="15"/>
              </w:rPr>
              <w:t>Recommended where appropriate under Article 35(9)</w:t>
            </w:r>
          </w:p>
        </w:tc>
        <w:tc>
          <w:tcPr>
            <w:tcW w:type="dxa" w:w="4752"/>
            <w:vAlign w:val="center"/>
            <w:tcMar>
              <w:top w:w="70" w:type="dxa"/>
              <w:start w:w="80" w:type="dxa"/>
              <w:bottom w:w="70" w:type="dxa"/>
              <w:end w:w="80" w:type="dxa"/>
            </w:tcMar>
            <w:shd w:fill="F7F9FA"/>
          </w:tcPr>
          <w:p>
            <w:pPr>
              <w:spacing w:after="20" w:before="0" w:line="240" w:lineRule="auto"/>
            </w:pPr>
            <w:r>
              <w:rPr>
                <w:rFonts w:ascii="Aptos" w:hAnsi="Aptos"/>
                <w:sz w:val="15"/>
              </w:rPr>
              <w:t>Structured feedback on notice, usability, accessibility, contestability and perceived impact; document rationale if not sought.</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5"/>
              </w:rPr>
              <w:t>Recruiter / hiring-manager user testing</w:t>
            </w:r>
          </w:p>
        </w:tc>
        <w:tc>
          <w:tcPr>
            <w:tcW w:type="dxa" w:w="2088"/>
            <w:vAlign w:val="center"/>
            <w:tcMar>
              <w:top w:w="70" w:type="dxa"/>
              <w:start w:w="80" w:type="dxa"/>
              <w:bottom w:w="70" w:type="dxa"/>
              <w:end w:w="80" w:type="dxa"/>
            </w:tcMar>
          </w:tcPr>
          <w:p>
            <w:pPr>
              <w:spacing w:after="20" w:before="0" w:line="240" w:lineRule="auto"/>
            </w:pPr>
            <w:r>
              <w:rPr>
                <w:rFonts w:ascii="Aptos" w:hAnsi="Aptos"/>
                <w:sz w:val="15"/>
              </w:rPr>
              <w:t>Required organizational practice</w:t>
            </w:r>
          </w:p>
        </w:tc>
        <w:tc>
          <w:tcPr>
            <w:tcW w:type="dxa" w:w="4752"/>
            <w:vAlign w:val="center"/>
            <w:tcMar>
              <w:top w:w="70" w:type="dxa"/>
              <w:start w:w="80" w:type="dxa"/>
              <w:bottom w:w="70" w:type="dxa"/>
              <w:end w:w="80" w:type="dxa"/>
            </w:tcMar>
          </w:tcPr>
          <w:p>
            <w:pPr>
              <w:spacing w:after="20" w:before="0" w:line="240" w:lineRule="auto"/>
            </w:pPr>
            <w:r>
              <w:rPr>
                <w:rFonts w:ascii="Aptos" w:hAnsi="Aptos"/>
                <w:sz w:val="15"/>
              </w:rPr>
              <w:t>Demonstrate comprehension, meaningful review, correction/override capability and acceptable reliance patterns.</w:t>
            </w:r>
          </w:p>
        </w:tc>
      </w:tr>
      <w:tr>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5"/>
              </w:rPr>
              <w:t>Internal Audit</w:t>
            </w:r>
          </w:p>
        </w:tc>
        <w:tc>
          <w:tcPr>
            <w:tcW w:type="dxa" w:w="2088"/>
            <w:vAlign w:val="center"/>
            <w:tcMar>
              <w:top w:w="70" w:type="dxa"/>
              <w:start w:w="80" w:type="dxa"/>
              <w:bottom w:w="70" w:type="dxa"/>
              <w:end w:w="80" w:type="dxa"/>
            </w:tcMar>
            <w:shd w:fill="F7F9FA"/>
          </w:tcPr>
          <w:p>
            <w:pPr>
              <w:spacing w:after="20" w:before="0" w:line="240" w:lineRule="auto"/>
            </w:pPr>
            <w:r>
              <w:rPr>
                <w:rFonts w:ascii="Aptos" w:hAnsi="Aptos"/>
                <w:sz w:val="15"/>
              </w:rPr>
              <w:t>Observer / future assurance</w:t>
            </w:r>
          </w:p>
        </w:tc>
        <w:tc>
          <w:tcPr>
            <w:tcW w:type="dxa" w:w="4752"/>
            <w:vAlign w:val="center"/>
            <w:tcMar>
              <w:top w:w="70" w:type="dxa"/>
              <w:start w:w="80" w:type="dxa"/>
              <w:bottom w:w="70" w:type="dxa"/>
              <w:end w:w="80" w:type="dxa"/>
            </w:tcMar>
            <w:shd w:fill="F7F9FA"/>
          </w:tcPr>
          <w:p>
            <w:pPr>
              <w:spacing w:after="20" w:before="0" w:line="240" w:lineRule="auto"/>
            </w:pPr>
            <w:r>
              <w:rPr>
                <w:rFonts w:ascii="Aptos" w:hAnsi="Aptos"/>
                <w:sz w:val="15"/>
              </w:rPr>
              <w:t>May later test design and operating effectiveness; does not approve the DPIA or own controls.</w:t>
            </w:r>
          </w:p>
        </w:tc>
      </w:tr>
    </w:tbl>
    <w:p>
      <w:pPr>
        <w:widowControl/>
        <w:spacing w:after="0"/>
      </w:pPr>
    </w:p>
    <w:p>
      <w:pPr>
        <w:pStyle w:val="Heading1"/>
        <w:keepNext/>
        <w:widowControl/>
      </w:pPr>
      <w:r>
        <w:rPr>
          <w:rFonts w:ascii="Aptos" w:hAnsi="Aptos"/>
        </w:rPr>
        <w:t>12. Blocking Action and Treatment Plan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835"/>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ID</w:t>
            </w:r>
          </w:p>
        </w:tc>
        <w:tc>
          <w:tcPr>
            <w:tcW w:type="dxa" w:w="4637"/>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Action</w:t>
            </w:r>
          </w:p>
        </w:tc>
        <w:tc>
          <w:tcPr>
            <w:tcW w:type="dxa" w:w="1944"/>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Owner</w:t>
            </w:r>
          </w:p>
        </w:tc>
        <w:tc>
          <w:tcPr>
            <w:tcW w:type="dxa" w:w="1656"/>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Gate</w:t>
            </w:r>
          </w:p>
        </w:tc>
        <w:tc>
          <w:tcPr>
            <w:tcW w:type="dxa" w:w="893"/>
            <w:vAlign w:val="center"/>
            <w:tcMar>
              <w:top w:w="70" w:type="dxa"/>
              <w:start w:w="80" w:type="dxa"/>
              <w:bottom w:w="70" w:type="dxa"/>
              <w:end w:w="80" w:type="dxa"/>
            </w:tcMar>
            <w:shd w:fill="173B57"/>
          </w:tcPr>
          <w:p>
            <w:pPr>
              <w:spacing w:after="20" w:before="0" w:line="240" w:lineRule="auto"/>
            </w:pPr>
            <w:r>
              <w:rPr>
                <w:rFonts w:ascii="Aptos" w:hAnsi="Aptos"/>
                <w:b/>
                <w:color w:val="FFFFFF"/>
                <w:sz w:val="14"/>
              </w:rPr>
              <w:t>Status</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DP-01</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Confirm controller/processor roles, provider/model, hosting, support locations and subprocessors.</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Technical Owner + Procurement</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design approval</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shd w:fill="F7F9FA"/>
          </w:tcPr>
          <w:p>
            <w:pPr>
              <w:spacing w:after="20" w:before="0" w:line="240" w:lineRule="auto"/>
            </w:pPr>
            <w:r>
              <w:rPr>
                <w:rFonts w:ascii="Aptos" w:hAnsi="Aptos"/>
                <w:sz w:val="14"/>
              </w:rPr>
              <w:t>DP-02</w:t>
            </w:r>
          </w:p>
        </w:tc>
        <w:tc>
          <w:tcPr>
            <w:tcW w:type="dxa" w:w="4637"/>
            <w:vAlign w:val="center"/>
            <w:tcMar>
              <w:top w:w="70" w:type="dxa"/>
              <w:start w:w="80" w:type="dxa"/>
              <w:bottom w:w="70" w:type="dxa"/>
              <w:end w:w="80" w:type="dxa"/>
            </w:tcMar>
            <w:shd w:fill="F7F9FA"/>
          </w:tcPr>
          <w:p>
            <w:pPr>
              <w:spacing w:after="20" w:before="0" w:line="240" w:lineRule="auto"/>
            </w:pPr>
            <w:r>
              <w:rPr>
                <w:rFonts w:ascii="Aptos" w:hAnsi="Aptos"/>
                <w:sz w:val="14"/>
              </w:rPr>
              <w:t>Confirm Article 6 lawful basis and national employment-law / Article 88 requirements for each deployment jurisdiction.</w:t>
            </w:r>
          </w:p>
        </w:tc>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General Counsel + DPO</w:t>
            </w:r>
          </w:p>
        </w:tc>
        <w:tc>
          <w:tcPr>
            <w:tcW w:type="dxa" w:w="1656"/>
            <w:vAlign w:val="center"/>
            <w:tcMar>
              <w:top w:w="70" w:type="dxa"/>
              <w:start w:w="80" w:type="dxa"/>
              <w:bottom w:w="70" w:type="dxa"/>
              <w:end w:w="80" w:type="dxa"/>
            </w:tcMar>
            <w:shd w:fill="F7F9FA"/>
          </w:tcPr>
          <w:p>
            <w:pPr>
              <w:spacing w:after="20" w:before="0" w:line="240" w:lineRule="auto"/>
            </w:pPr>
            <w:r>
              <w:rPr>
                <w:rFonts w:ascii="Aptos" w:hAnsi="Aptos"/>
                <w:sz w:val="14"/>
              </w:rPr>
              <w:t>Before pilot with applicant data</w:t>
            </w:r>
          </w:p>
        </w:tc>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DP-03</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Approve data inventory, feature allow-list, prohibited data/proxy attributes and incidental sensitive-data handling.</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DPO + HR + Data &amp; AI</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validation</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shd w:fill="F7F9FA"/>
          </w:tcPr>
          <w:p>
            <w:pPr>
              <w:spacing w:after="20" w:before="0" w:line="240" w:lineRule="auto"/>
            </w:pPr>
            <w:r>
              <w:rPr>
                <w:rFonts w:ascii="Aptos" w:hAnsi="Aptos"/>
                <w:sz w:val="14"/>
              </w:rPr>
              <w:t>DP-04</w:t>
            </w:r>
          </w:p>
        </w:tc>
        <w:tc>
          <w:tcPr>
            <w:tcW w:type="dxa" w:w="4637"/>
            <w:vAlign w:val="center"/>
            <w:tcMar>
              <w:top w:w="70" w:type="dxa"/>
              <w:start w:w="80" w:type="dxa"/>
              <w:bottom w:w="70" w:type="dxa"/>
              <w:end w:w="80" w:type="dxa"/>
            </w:tcMar>
            <w:shd w:fill="F7F9FA"/>
          </w:tcPr>
          <w:p>
            <w:pPr>
              <w:spacing w:after="20" w:before="0" w:line="240" w:lineRule="auto"/>
            </w:pPr>
            <w:r>
              <w:rPr>
                <w:rFonts w:ascii="Aptos" w:hAnsi="Aptos"/>
                <w:sz w:val="14"/>
              </w:rPr>
              <w:t>Define and approve applicant privacy / AI transparency notice and contestability route.</w:t>
            </w:r>
          </w:p>
        </w:tc>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DPO + Legal + HR</w:t>
            </w:r>
          </w:p>
        </w:tc>
        <w:tc>
          <w:tcPr>
            <w:tcW w:type="dxa" w:w="1656"/>
            <w:vAlign w:val="center"/>
            <w:tcMar>
              <w:top w:w="70" w:type="dxa"/>
              <w:start w:w="80" w:type="dxa"/>
              <w:bottom w:w="70" w:type="dxa"/>
              <w:end w:w="80" w:type="dxa"/>
            </w:tcMar>
            <w:shd w:fill="F7F9FA"/>
          </w:tcPr>
          <w:p>
            <w:pPr>
              <w:spacing w:after="20" w:before="0" w:line="240" w:lineRule="auto"/>
            </w:pPr>
            <w:r>
              <w:rPr>
                <w:rFonts w:ascii="Aptos" w:hAnsi="Aptos"/>
                <w:sz w:val="14"/>
              </w:rPr>
              <w:t>Before applicant processing</w:t>
            </w:r>
          </w:p>
        </w:tc>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DP-05</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Demonstrate no autonomous rejection/hiring and validate meaningful human review, override and decision logging.</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HR + AI Governance</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controlled pilot</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shd w:fill="F7F9FA"/>
          </w:tcPr>
          <w:p>
            <w:pPr>
              <w:spacing w:after="20" w:before="0" w:line="240" w:lineRule="auto"/>
            </w:pPr>
            <w:r>
              <w:rPr>
                <w:rFonts w:ascii="Aptos" w:hAnsi="Aptos"/>
                <w:sz w:val="14"/>
              </w:rPr>
              <w:t>DP-06</w:t>
            </w:r>
          </w:p>
        </w:tc>
        <w:tc>
          <w:tcPr>
            <w:tcW w:type="dxa" w:w="4637"/>
            <w:vAlign w:val="center"/>
            <w:tcMar>
              <w:top w:w="70" w:type="dxa"/>
              <w:start w:w="80" w:type="dxa"/>
              <w:bottom w:w="70" w:type="dxa"/>
              <w:end w:w="80" w:type="dxa"/>
            </w:tcMar>
            <w:shd w:fill="F7F9FA"/>
          </w:tcPr>
          <w:p>
            <w:pPr>
              <w:spacing w:after="20" w:before="0" w:line="240" w:lineRule="auto"/>
            </w:pPr>
            <w:r>
              <w:rPr>
                <w:rFonts w:ascii="Aptos" w:hAnsi="Aptos"/>
                <w:sz w:val="14"/>
              </w:rPr>
              <w:t>Complete parsing/ranking accuracy validation across relevant roles, formats, languages and edge cases.</w:t>
            </w:r>
          </w:p>
        </w:tc>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Data &amp; AI + HR</w:t>
            </w:r>
          </w:p>
        </w:tc>
        <w:tc>
          <w:tcPr>
            <w:tcW w:type="dxa" w:w="1656"/>
            <w:vAlign w:val="center"/>
            <w:tcMar>
              <w:top w:w="70" w:type="dxa"/>
              <w:start w:w="80" w:type="dxa"/>
              <w:bottom w:w="70" w:type="dxa"/>
              <w:end w:w="80" w:type="dxa"/>
            </w:tcMar>
            <w:shd w:fill="F7F9FA"/>
          </w:tcPr>
          <w:p>
            <w:pPr>
              <w:spacing w:after="20" w:before="0" w:line="240" w:lineRule="auto"/>
            </w:pPr>
            <w:r>
              <w:rPr>
                <w:rFonts w:ascii="Aptos" w:hAnsi="Aptos"/>
                <w:sz w:val="14"/>
              </w:rPr>
              <w:t>Before pilot approval</w:t>
            </w:r>
          </w:p>
        </w:tc>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DP-07</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Complete fairness/proxy testing methodology and evidence sufficient for the intended applicant population.</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HR + Data &amp; AI + Legal/DPO</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production</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shd w:fill="F7F9FA"/>
          </w:tcPr>
          <w:p>
            <w:pPr>
              <w:spacing w:after="20" w:before="0" w:line="240" w:lineRule="auto"/>
            </w:pPr>
            <w:r>
              <w:rPr>
                <w:rFonts w:ascii="Aptos" w:hAnsi="Aptos"/>
                <w:sz w:val="14"/>
              </w:rPr>
              <w:t>DP-08</w:t>
            </w:r>
          </w:p>
        </w:tc>
        <w:tc>
          <w:tcPr>
            <w:tcW w:type="dxa" w:w="4637"/>
            <w:vAlign w:val="center"/>
            <w:tcMar>
              <w:top w:w="70" w:type="dxa"/>
              <w:start w:w="80" w:type="dxa"/>
              <w:bottom w:w="70" w:type="dxa"/>
              <w:end w:w="80" w:type="dxa"/>
            </w:tcMar>
            <w:shd w:fill="F7F9FA"/>
          </w:tcPr>
          <w:p>
            <w:pPr>
              <w:spacing w:after="20" w:before="0" w:line="240" w:lineRule="auto"/>
            </w:pPr>
            <w:r>
              <w:rPr>
                <w:rFonts w:ascii="Aptos" w:hAnsi="Aptos"/>
                <w:sz w:val="14"/>
              </w:rPr>
              <w:t>Complete security architecture/threat assessment and remediate material findings.</w:t>
            </w:r>
          </w:p>
        </w:tc>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CISO + Technical Owner</w:t>
            </w:r>
          </w:p>
        </w:tc>
        <w:tc>
          <w:tcPr>
            <w:tcW w:type="dxa" w:w="1656"/>
            <w:vAlign w:val="center"/>
            <w:tcMar>
              <w:top w:w="70" w:type="dxa"/>
              <w:start w:w="80" w:type="dxa"/>
              <w:bottom w:w="70" w:type="dxa"/>
              <w:end w:w="80" w:type="dxa"/>
            </w:tcMar>
            <w:shd w:fill="F7F9FA"/>
          </w:tcPr>
          <w:p>
            <w:pPr>
              <w:spacing w:after="20" w:before="0" w:line="240" w:lineRule="auto"/>
            </w:pPr>
            <w:r>
              <w:rPr>
                <w:rFonts w:ascii="Aptos" w:hAnsi="Aptos"/>
                <w:sz w:val="14"/>
              </w:rPr>
              <w:t>Before pilot</w:t>
            </w:r>
          </w:p>
        </w:tc>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DP-09</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Complete processor/vendor due diligence, Article 28 terms as applicable, data-use/retention/subprocessor/incident/exit controls.</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Procurement + Legal + DPO + CISO</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contract/use</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shd w:fill="F7F9FA"/>
          </w:tcPr>
          <w:p>
            <w:pPr>
              <w:spacing w:after="20" w:before="0" w:line="240" w:lineRule="auto"/>
            </w:pPr>
            <w:r>
              <w:rPr>
                <w:rFonts w:ascii="Aptos" w:hAnsi="Aptos"/>
                <w:sz w:val="14"/>
              </w:rPr>
              <w:t>DP-10</w:t>
            </w:r>
          </w:p>
        </w:tc>
        <w:tc>
          <w:tcPr>
            <w:tcW w:type="dxa" w:w="4637"/>
            <w:vAlign w:val="center"/>
            <w:tcMar>
              <w:top w:w="70" w:type="dxa"/>
              <w:start w:w="80" w:type="dxa"/>
              <w:bottom w:w="70" w:type="dxa"/>
              <w:end w:w="80" w:type="dxa"/>
            </w:tcMar>
            <w:shd w:fill="F7F9FA"/>
          </w:tcPr>
          <w:p>
            <w:pPr>
              <w:spacing w:after="20" w:before="0" w:line="240" w:lineRule="auto"/>
            </w:pPr>
            <w:r>
              <w:rPr>
                <w:rFonts w:ascii="Aptos" w:hAnsi="Aptos"/>
                <w:sz w:val="14"/>
              </w:rPr>
              <w:t>Map international transfers and establish valid safeguards where required.</w:t>
            </w:r>
          </w:p>
        </w:tc>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DPO + Legal + Procurement</w:t>
            </w:r>
          </w:p>
        </w:tc>
        <w:tc>
          <w:tcPr>
            <w:tcW w:type="dxa" w:w="1656"/>
            <w:vAlign w:val="center"/>
            <w:tcMar>
              <w:top w:w="70" w:type="dxa"/>
              <w:start w:w="80" w:type="dxa"/>
              <w:bottom w:w="70" w:type="dxa"/>
              <w:end w:w="80" w:type="dxa"/>
            </w:tcMar>
            <w:shd w:fill="F7F9FA"/>
          </w:tcPr>
          <w:p>
            <w:pPr>
              <w:spacing w:after="20" w:before="0" w:line="240" w:lineRule="auto"/>
            </w:pPr>
            <w:r>
              <w:rPr>
                <w:rFonts w:ascii="Aptos" w:hAnsi="Aptos"/>
                <w:sz w:val="14"/>
              </w:rPr>
              <w:t>Before data transfer</w:t>
            </w:r>
          </w:p>
        </w:tc>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DP-11</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Define purpose-based retention and deletion schedule for applications, derived scores, audit logs and vendor copies.</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HR + DPO + Records/Legal</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production</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shd w:fill="F7F9FA"/>
          </w:tcPr>
          <w:p>
            <w:pPr>
              <w:spacing w:after="20" w:before="0" w:line="240" w:lineRule="auto"/>
            </w:pPr>
            <w:r>
              <w:rPr>
                <w:rFonts w:ascii="Aptos" w:hAnsi="Aptos"/>
                <w:sz w:val="14"/>
              </w:rPr>
              <w:t>DP-12</w:t>
            </w:r>
          </w:p>
        </w:tc>
        <w:tc>
          <w:tcPr>
            <w:tcW w:type="dxa" w:w="4637"/>
            <w:vAlign w:val="center"/>
            <w:tcMar>
              <w:top w:w="70" w:type="dxa"/>
              <w:start w:w="80" w:type="dxa"/>
              <w:bottom w:w="70" w:type="dxa"/>
              <w:end w:w="80" w:type="dxa"/>
            </w:tcMar>
            <w:shd w:fill="F7F9FA"/>
          </w:tcPr>
          <w:p>
            <w:pPr>
              <w:spacing w:after="20" w:before="0" w:line="240" w:lineRule="auto"/>
            </w:pPr>
            <w:r>
              <w:rPr>
                <w:rFonts w:ascii="Aptos" w:hAnsi="Aptos"/>
                <w:sz w:val="14"/>
              </w:rPr>
              <w:t>Test access, rectification, restriction/erasure and contest workflows across source and derived data.</w:t>
            </w:r>
          </w:p>
        </w:tc>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DPO + HR + Technical Owner</w:t>
            </w:r>
          </w:p>
        </w:tc>
        <w:tc>
          <w:tcPr>
            <w:tcW w:type="dxa" w:w="1656"/>
            <w:vAlign w:val="center"/>
            <w:tcMar>
              <w:top w:w="70" w:type="dxa"/>
              <w:start w:w="80" w:type="dxa"/>
              <w:bottom w:w="70" w:type="dxa"/>
              <w:end w:w="80" w:type="dxa"/>
            </w:tcMar>
            <w:shd w:fill="F7F9FA"/>
          </w:tcPr>
          <w:p>
            <w:pPr>
              <w:spacing w:after="20" w:before="0" w:line="240" w:lineRule="auto"/>
            </w:pPr>
            <w:r>
              <w:rPr>
                <w:rFonts w:ascii="Aptos" w:hAnsi="Aptos"/>
                <w:sz w:val="14"/>
              </w:rPr>
              <w:t>Before production</w:t>
            </w:r>
          </w:p>
        </w:tc>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DP-13</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Define monitoring thresholds for accuracy, corrections, overrides, complaints, fairness signals, incidents and model/vendor changes.</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AI Governance + Data &amp; AI + HR</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production</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shd w:fill="F7F9FA"/>
          </w:tcPr>
          <w:p>
            <w:pPr>
              <w:spacing w:after="20" w:before="0" w:line="240" w:lineRule="auto"/>
            </w:pPr>
            <w:r>
              <w:rPr>
                <w:rFonts w:ascii="Aptos" w:hAnsi="Aptos"/>
                <w:sz w:val="14"/>
              </w:rPr>
              <w:t>DP-14</w:t>
            </w:r>
          </w:p>
        </w:tc>
        <w:tc>
          <w:tcPr>
            <w:tcW w:type="dxa" w:w="4637"/>
            <w:vAlign w:val="center"/>
            <w:tcMar>
              <w:top w:w="70" w:type="dxa"/>
              <w:start w:w="80" w:type="dxa"/>
              <w:bottom w:w="70" w:type="dxa"/>
              <w:end w:w="80" w:type="dxa"/>
            </w:tcMar>
            <w:shd w:fill="F7F9FA"/>
          </w:tcPr>
          <w:p>
            <w:pPr>
              <w:spacing w:after="20" w:before="0" w:line="240" w:lineRule="auto"/>
            </w:pPr>
            <w:r>
              <w:rPr>
                <w:rFonts w:ascii="Aptos" w:hAnsi="Aptos"/>
                <w:sz w:val="14"/>
              </w:rPr>
              <w:t>Obtain written DPO advice and close/accept all DPIA findings within delegated authority.</w:t>
            </w:r>
          </w:p>
        </w:tc>
        <w:tc>
          <w:tcPr>
            <w:tcW w:type="dxa" w:w="1944"/>
            <w:vAlign w:val="center"/>
            <w:tcMar>
              <w:top w:w="70" w:type="dxa"/>
              <w:start w:w="80" w:type="dxa"/>
              <w:bottom w:w="70" w:type="dxa"/>
              <w:end w:w="80" w:type="dxa"/>
            </w:tcMar>
            <w:shd w:fill="F7F9FA"/>
          </w:tcPr>
          <w:p>
            <w:pPr>
              <w:spacing w:after="20" w:before="0" w:line="240" w:lineRule="auto"/>
            </w:pPr>
            <w:r>
              <w:rPr>
                <w:rFonts w:ascii="Aptos" w:hAnsi="Aptos"/>
                <w:sz w:val="14"/>
              </w:rPr>
              <w:t>AI Governance Lead</w:t>
            </w:r>
          </w:p>
        </w:tc>
        <w:tc>
          <w:tcPr>
            <w:tcW w:type="dxa" w:w="1656"/>
            <w:vAlign w:val="center"/>
            <w:tcMar>
              <w:top w:w="70" w:type="dxa"/>
              <w:start w:w="80" w:type="dxa"/>
              <w:bottom w:w="70" w:type="dxa"/>
              <w:end w:w="80" w:type="dxa"/>
            </w:tcMar>
            <w:shd w:fill="F7F9FA"/>
          </w:tcPr>
          <w:p>
            <w:pPr>
              <w:spacing w:after="20" w:before="0" w:line="240" w:lineRule="auto"/>
            </w:pPr>
            <w:r>
              <w:rPr>
                <w:rFonts w:ascii="Aptos" w:hAnsi="Aptos"/>
                <w:sz w:val="14"/>
              </w:rPr>
              <w:t>Before approval</w:t>
            </w:r>
          </w:p>
        </w:tc>
        <w:tc>
          <w:tcPr>
            <w:tcW w:type="dxa" w:w="893"/>
            <w:vAlign w:val="center"/>
            <w:tcMar>
              <w:top w:w="70" w:type="dxa"/>
              <w:start w:w="80" w:type="dxa"/>
              <w:bottom w:w="70" w:type="dxa"/>
              <w:end w:w="80" w:type="dxa"/>
            </w:tcMar>
            <w:shd w:fill="F7F9FA"/>
          </w:tcPr>
          <w:p>
            <w:pPr>
              <w:spacing w:after="20" w:before="0" w:line="240" w:lineRule="auto"/>
            </w:pPr>
            <w:r>
              <w:rPr>
                <w:rFonts w:ascii="Aptos" w:hAnsi="Aptos"/>
                <w:sz w:val="14"/>
              </w:rPr>
              <w:t>Open</w:t>
            </w:r>
          </w:p>
        </w:tc>
      </w:tr>
      <w:tr>
        <w:tc>
          <w:tcPr>
            <w:tcW w:type="dxa" w:w="835"/>
            <w:vAlign w:val="center"/>
            <w:tcMar>
              <w:top w:w="70" w:type="dxa"/>
              <w:start w:w="80" w:type="dxa"/>
              <w:bottom w:w="70" w:type="dxa"/>
              <w:end w:w="80" w:type="dxa"/>
            </w:tcMar>
          </w:tcPr>
          <w:p>
            <w:pPr>
              <w:spacing w:after="20" w:before="0" w:line="240" w:lineRule="auto"/>
            </w:pPr>
            <w:r>
              <w:rPr>
                <w:rFonts w:ascii="Aptos" w:hAnsi="Aptos"/>
                <w:sz w:val="14"/>
              </w:rPr>
              <w:t>DP-15</w:t>
            </w:r>
          </w:p>
        </w:tc>
        <w:tc>
          <w:tcPr>
            <w:tcW w:type="dxa" w:w="4637"/>
            <w:vAlign w:val="center"/>
            <w:tcMar>
              <w:top w:w="70" w:type="dxa"/>
              <w:start w:w="80" w:type="dxa"/>
              <w:bottom w:w="70" w:type="dxa"/>
              <w:end w:w="80" w:type="dxa"/>
            </w:tcMar>
          </w:tcPr>
          <w:p>
            <w:pPr>
              <w:spacing w:after="20" w:before="0" w:line="240" w:lineRule="auto"/>
            </w:pPr>
            <w:r>
              <w:rPr>
                <w:rFonts w:ascii="Aptos" w:hAnsi="Aptos"/>
                <w:sz w:val="14"/>
              </w:rPr>
              <w:t>If high residual risk remains after measures, assess and complete Article 36 prior consultation before processing.</w:t>
            </w:r>
          </w:p>
        </w:tc>
        <w:tc>
          <w:tcPr>
            <w:tcW w:type="dxa" w:w="1944"/>
            <w:vAlign w:val="center"/>
            <w:tcMar>
              <w:top w:w="70" w:type="dxa"/>
              <w:start w:w="80" w:type="dxa"/>
              <w:bottom w:w="70" w:type="dxa"/>
              <w:end w:w="80" w:type="dxa"/>
            </w:tcMar>
          </w:tcPr>
          <w:p>
            <w:pPr>
              <w:spacing w:after="20" w:before="0" w:line="240" w:lineRule="auto"/>
            </w:pPr>
            <w:r>
              <w:rPr>
                <w:rFonts w:ascii="Aptos" w:hAnsi="Aptos"/>
                <w:sz w:val="14"/>
              </w:rPr>
              <w:t>DPO + General Counsel + Controller</w:t>
            </w:r>
          </w:p>
        </w:tc>
        <w:tc>
          <w:tcPr>
            <w:tcW w:type="dxa" w:w="1656"/>
            <w:vAlign w:val="center"/>
            <w:tcMar>
              <w:top w:w="70" w:type="dxa"/>
              <w:start w:w="80" w:type="dxa"/>
              <w:bottom w:w="70" w:type="dxa"/>
              <w:end w:w="80" w:type="dxa"/>
            </w:tcMar>
          </w:tcPr>
          <w:p>
            <w:pPr>
              <w:spacing w:after="20" w:before="0" w:line="240" w:lineRule="auto"/>
            </w:pPr>
            <w:r>
              <w:rPr>
                <w:rFonts w:ascii="Aptos" w:hAnsi="Aptos"/>
                <w:sz w:val="14"/>
              </w:rPr>
              <w:t>Before production</w:t>
            </w:r>
          </w:p>
        </w:tc>
        <w:tc>
          <w:tcPr>
            <w:tcW w:type="dxa" w:w="893"/>
            <w:vAlign w:val="center"/>
            <w:tcMar>
              <w:top w:w="70" w:type="dxa"/>
              <w:start w:w="80" w:type="dxa"/>
              <w:bottom w:w="70" w:type="dxa"/>
              <w:end w:w="80" w:type="dxa"/>
            </w:tcMar>
          </w:tcPr>
          <w:p>
            <w:pPr>
              <w:spacing w:after="20" w:before="0" w:line="240" w:lineRule="auto"/>
            </w:pPr>
            <w:r>
              <w:rPr>
                <w:rFonts w:ascii="Aptos" w:hAnsi="Aptos"/>
                <w:sz w:val="14"/>
              </w:rPr>
              <w:t>Conditional</w:t>
            </w:r>
          </w:p>
        </w:tc>
      </w:tr>
    </w:tbl>
    <w:p>
      <w:pPr>
        <w:widowControl/>
        <w:spacing w:after="0"/>
      </w:pPr>
    </w:p>
    <w:p>
      <w:pPr>
        <w:pStyle w:val="Heading1"/>
        <w:keepNext/>
        <w:widowControl/>
      </w:pPr>
      <w:r>
        <w:rPr>
          <w:rFonts w:ascii="Aptos" w:hAnsi="Aptos"/>
        </w:rPr>
        <w:t>13. DPIA Decision and Approval Record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Decision field</w:t>
            </w:r>
          </w:p>
        </w:tc>
        <w:tc>
          <w:tcPr>
            <w:tcW w:type="dxa" w:w="6840"/>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Current record</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6"/>
              </w:rPr>
              <w:t>DPIA outcome</w:t>
            </w:r>
          </w:p>
        </w:tc>
        <w:tc>
          <w:tcPr>
            <w:tcW w:type="dxa" w:w="6840"/>
            <w:vAlign w:val="center"/>
            <w:tcMar>
              <w:top w:w="70" w:type="dxa"/>
              <w:start w:w="80" w:type="dxa"/>
              <w:bottom w:w="70" w:type="dxa"/>
              <w:end w:w="80" w:type="dxa"/>
            </w:tcMar>
          </w:tcPr>
          <w:p>
            <w:pPr>
              <w:spacing w:after="20" w:before="0" w:line="240" w:lineRule="auto"/>
            </w:pPr>
            <w:r>
              <w:rPr>
                <w:rFonts w:ascii="Aptos" w:hAnsi="Aptos"/>
                <w:sz w:val="16"/>
              </w:rPr>
              <w:t>High-risk processing concerns identified; controls and evidence incomplete.</w:t>
            </w:r>
          </w:p>
        </w:tc>
      </w:tr>
      <w:tr>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6"/>
              </w:rPr>
              <w:t>Lifecycle decision</w:t>
            </w:r>
          </w:p>
        </w:tc>
        <w:tc>
          <w:tcPr>
            <w:tcW w:type="dxa" w:w="6840"/>
            <w:vAlign w:val="center"/>
            <w:tcMar>
              <w:top w:w="70" w:type="dxa"/>
              <w:start w:w="80" w:type="dxa"/>
              <w:bottom w:w="70" w:type="dxa"/>
              <w:end w:w="80" w:type="dxa"/>
            </w:tcMar>
            <w:shd w:fill="F7F9FA"/>
          </w:tcPr>
          <w:p>
            <w:pPr>
              <w:spacing w:after="20" w:before="0" w:line="240" w:lineRule="auto"/>
            </w:pPr>
            <w:r>
              <w:rPr>
                <w:rFonts w:ascii="Aptos" w:hAnsi="Aptos"/>
                <w:sz w:val="16"/>
              </w:rPr>
              <w:t>DO NOT DEPLOY in current state.</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6"/>
              </w:rPr>
              <w:t>Controlled testing</w:t>
            </w:r>
          </w:p>
        </w:tc>
        <w:tc>
          <w:tcPr>
            <w:tcW w:type="dxa" w:w="6840"/>
            <w:vAlign w:val="center"/>
            <w:tcMar>
              <w:top w:w="70" w:type="dxa"/>
              <w:start w:w="80" w:type="dxa"/>
              <w:bottom w:w="70" w:type="dxa"/>
              <w:end w:w="80" w:type="dxa"/>
            </w:tcMar>
          </w:tcPr>
          <w:p>
            <w:pPr>
              <w:spacing w:after="20" w:before="0" w:line="240" w:lineRule="auto"/>
            </w:pPr>
            <w:r>
              <w:rPr>
                <w:rFonts w:ascii="Aptos" w:hAnsi="Aptos"/>
                <w:sz w:val="16"/>
              </w:rPr>
              <w:t>Only synthetic or otherwise lawfully approved test data under a documented test plan; real applicant processing requires completion of applicable privacy/legal gates.</w:t>
            </w:r>
          </w:p>
        </w:tc>
      </w:tr>
      <w:tr>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6"/>
              </w:rPr>
              <w:t>Condition for approval</w:t>
            </w:r>
          </w:p>
        </w:tc>
        <w:tc>
          <w:tcPr>
            <w:tcW w:type="dxa" w:w="6840"/>
            <w:vAlign w:val="center"/>
            <w:tcMar>
              <w:top w:w="70" w:type="dxa"/>
              <w:start w:w="80" w:type="dxa"/>
              <w:bottom w:w="70" w:type="dxa"/>
              <w:end w:w="80" w:type="dxa"/>
            </w:tcMar>
            <w:shd w:fill="F7F9FA"/>
          </w:tcPr>
          <w:p>
            <w:pPr>
              <w:spacing w:after="20" w:before="0" w:line="240" w:lineRule="auto"/>
            </w:pPr>
            <w:r>
              <w:rPr>
                <w:rFonts w:ascii="Aptos" w:hAnsi="Aptos"/>
                <w:sz w:val="16"/>
              </w:rPr>
              <w:t>Blocking actions closed or formally dispositioned; DPO advice received; lawful basis and data flows verified; privacy/security/fairness/human-oversight evidence supports acceptable residual risk; wider Duckworks AI Governance approval gates satisfied.</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6"/>
              </w:rPr>
              <w:t>Article 36</w:t>
            </w:r>
          </w:p>
        </w:tc>
        <w:tc>
          <w:tcPr>
            <w:tcW w:type="dxa" w:w="6840"/>
            <w:vAlign w:val="center"/>
            <w:tcMar>
              <w:top w:w="70" w:type="dxa"/>
              <w:start w:w="80" w:type="dxa"/>
              <w:bottom w:w="70" w:type="dxa"/>
              <w:end w:w="80" w:type="dxa"/>
            </w:tcMar>
          </w:tcPr>
          <w:p>
            <w:pPr>
              <w:spacing w:after="20" w:before="0" w:line="240" w:lineRule="auto"/>
            </w:pPr>
            <w:r>
              <w:rPr>
                <w:rFonts w:ascii="Aptos" w:hAnsi="Aptos"/>
                <w:sz w:val="16"/>
              </w:rPr>
              <w:t>If high residual risk remains after mitigation, prior consultation must be assessed/completed before processing as required.</w:t>
            </w:r>
          </w:p>
        </w:tc>
      </w:tr>
      <w:tr>
        <w:tc>
          <w:tcPr>
            <w:tcW w:type="dxa" w:w="2520"/>
            <w:vAlign w:val="center"/>
            <w:tcMar>
              <w:top w:w="70" w:type="dxa"/>
              <w:start w:w="80" w:type="dxa"/>
              <w:bottom w:w="70" w:type="dxa"/>
              <w:end w:w="80" w:type="dxa"/>
            </w:tcMar>
            <w:shd w:fill="F7F9FA"/>
          </w:tcPr>
          <w:p>
            <w:pPr>
              <w:spacing w:after="20" w:before="0" w:line="240" w:lineRule="auto"/>
            </w:pPr>
            <w:r>
              <w:rPr>
                <w:rFonts w:ascii="Aptos" w:hAnsi="Aptos"/>
                <w:sz w:val="16"/>
              </w:rPr>
              <w:t>Risk acceptance</w:t>
            </w:r>
          </w:p>
        </w:tc>
        <w:tc>
          <w:tcPr>
            <w:tcW w:type="dxa" w:w="6840"/>
            <w:vAlign w:val="center"/>
            <w:tcMar>
              <w:top w:w="70" w:type="dxa"/>
              <w:start w:w="80" w:type="dxa"/>
              <w:bottom w:w="70" w:type="dxa"/>
              <w:end w:w="80" w:type="dxa"/>
            </w:tcMar>
            <w:shd w:fill="F7F9FA"/>
          </w:tcPr>
          <w:p>
            <w:pPr>
              <w:spacing w:after="20" w:before="0" w:line="240" w:lineRule="auto"/>
            </w:pPr>
            <w:r>
              <w:rPr>
                <w:rFonts w:ascii="Aptos" w:hAnsi="Aptos"/>
                <w:sz w:val="16"/>
              </w:rPr>
              <w:t>Business owner cannot self-approve unresolved High/Critical enterprise risk. Privacy legal obligations cannot be waived through internal risk acceptance.</w:t>
            </w:r>
          </w:p>
        </w:tc>
      </w:tr>
      <w:tr>
        <w:tc>
          <w:tcPr>
            <w:tcW w:type="dxa" w:w="2520"/>
            <w:vAlign w:val="center"/>
            <w:tcMar>
              <w:top w:w="70" w:type="dxa"/>
              <w:start w:w="80" w:type="dxa"/>
              <w:bottom w:w="70" w:type="dxa"/>
              <w:end w:w="80" w:type="dxa"/>
            </w:tcMar>
          </w:tcPr>
          <w:p>
            <w:pPr>
              <w:spacing w:after="20" w:before="0" w:line="240" w:lineRule="auto"/>
            </w:pPr>
            <w:r>
              <w:rPr>
                <w:rFonts w:ascii="Aptos" w:hAnsi="Aptos"/>
                <w:sz w:val="16"/>
              </w:rPr>
              <w:t>Approval validity</w:t>
            </w:r>
          </w:p>
        </w:tc>
        <w:tc>
          <w:tcPr>
            <w:tcW w:type="dxa" w:w="6840"/>
            <w:vAlign w:val="center"/>
            <w:tcMar>
              <w:top w:w="70" w:type="dxa"/>
              <w:start w:w="80" w:type="dxa"/>
              <w:bottom w:w="70" w:type="dxa"/>
              <w:end w:w="80" w:type="dxa"/>
            </w:tcMar>
          </w:tcPr>
          <w:p>
            <w:pPr>
              <w:spacing w:after="20" w:before="0" w:line="240" w:lineRule="auto"/>
            </w:pPr>
            <w:r>
              <w:rPr>
                <w:rFonts w:ascii="Aptos" w:hAnsi="Aptos"/>
                <w:sz w:val="16"/>
              </w:rPr>
              <w:t>Expires / requires reassessment upon material changes listed in Section 14.</w:t>
            </w:r>
          </w:p>
        </w:tc>
      </w:tr>
    </w:tbl>
    <w:p>
      <w:pPr>
        <w:widowControl/>
        <w:spacing w:after="0"/>
      </w:pPr>
    </w:p>
    <w:p>
      <w:pPr>
        <w:pStyle w:val="Heading2"/>
        <w:keepNext/>
        <w:widowControl/>
      </w:pPr>
      <w:r>
        <w:rPr>
          <w:rFonts w:ascii="Aptos" w:hAnsi="Aptos"/>
        </w:rPr>
        <w:t>13.1 Draft sign-off</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Role</w:t>
            </w:r>
          </w:p>
        </w:tc>
        <w:tc>
          <w:tcPr>
            <w:tcW w:type="dxa" w:w="2232"/>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Name</w:t>
            </w:r>
          </w:p>
        </w:tc>
        <w:tc>
          <w:tcPr>
            <w:tcW w:type="dxa" w:w="3672"/>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DPIA position</w:t>
            </w:r>
          </w:p>
        </w:tc>
        <w:tc>
          <w:tcPr>
            <w:tcW w:type="dxa" w:w="1440"/>
            <w:vAlign w:val="center"/>
            <w:tcMar>
              <w:top w:w="70" w:type="dxa"/>
              <w:start w:w="80" w:type="dxa"/>
              <w:bottom w:w="70" w:type="dxa"/>
              <w:end w:w="80" w:type="dxa"/>
            </w:tcMar>
            <w:shd w:fill="173B57"/>
          </w:tcPr>
          <w:p>
            <w:pPr>
              <w:spacing w:after="20" w:before="0" w:line="240" w:lineRule="auto"/>
            </w:pPr>
            <w:r>
              <w:rPr>
                <w:rFonts w:ascii="Aptos" w:hAnsi="Aptos"/>
                <w:b/>
                <w:color w:val="FFFFFF"/>
                <w:sz w:val="15"/>
              </w:rPr>
              <w:t>Status / date</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Business Owner</w:t>
            </w:r>
          </w:p>
        </w:tc>
        <w:tc>
          <w:tcPr>
            <w:tcW w:type="dxa" w:w="2232"/>
            <w:vAlign w:val="center"/>
            <w:tcMar>
              <w:top w:w="70" w:type="dxa"/>
              <w:start w:w="80" w:type="dxa"/>
              <w:bottom w:w="70" w:type="dxa"/>
              <w:end w:w="80" w:type="dxa"/>
            </w:tcMar>
          </w:tcPr>
          <w:p>
            <w:pPr>
              <w:spacing w:after="20" w:before="0" w:line="240" w:lineRule="auto"/>
            </w:pPr>
            <w:r>
              <w:rPr>
                <w:rFonts w:ascii="Aptos" w:hAnsi="Aptos"/>
                <w:sz w:val="15"/>
              </w:rPr>
              <w:t>Beatrice Van Duck</w:t>
            </w:r>
          </w:p>
        </w:tc>
        <w:tc>
          <w:tcPr>
            <w:tcW w:type="dxa" w:w="3672"/>
            <w:vAlign w:val="center"/>
            <w:tcMar>
              <w:top w:w="70" w:type="dxa"/>
              <w:start w:w="80" w:type="dxa"/>
              <w:bottom w:w="70" w:type="dxa"/>
              <w:end w:w="80" w:type="dxa"/>
            </w:tcMar>
          </w:tcPr>
          <w:p>
            <w:pPr>
              <w:spacing w:after="20" w:before="0" w:line="240" w:lineRule="auto"/>
            </w:pPr>
            <w:r>
              <w:rPr>
                <w:rFonts w:ascii="Aptos" w:hAnsi="Aptos"/>
                <w:sz w:val="15"/>
              </w:rPr>
              <w:t>Confirms purpose, process and controls</w:t>
            </w:r>
          </w:p>
        </w:tc>
        <w:tc>
          <w:tcPr>
            <w:tcW w:type="dxa" w:w="1440"/>
            <w:vAlign w:val="center"/>
            <w:tcMar>
              <w:top w:w="70" w:type="dxa"/>
              <w:start w:w="80" w:type="dxa"/>
              <w:bottom w:w="70" w:type="dxa"/>
              <w:end w:w="80" w:type="dxa"/>
            </w:tcMar>
          </w:tcPr>
          <w:p>
            <w:pPr>
              <w:spacing w:after="20" w:before="0" w:line="240" w:lineRule="auto"/>
            </w:pPr>
            <w:r>
              <w:rPr>
                <w:rFonts w:ascii="Aptos" w:hAnsi="Aptos"/>
                <w:sz w:val="15"/>
              </w:rPr>
              <w:t>Draft - pending</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DPO</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Delia Duckham</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5"/>
              </w:rPr>
              <w:t>Provides Article 35 advice / privacy challenge</w:t>
            </w:r>
          </w:p>
        </w:tc>
        <w:tc>
          <w:tcPr>
            <w:tcW w:type="dxa" w:w="1440"/>
            <w:vAlign w:val="center"/>
            <w:tcMar>
              <w:top w:w="70" w:type="dxa"/>
              <w:start w:w="80" w:type="dxa"/>
              <w:bottom w:w="70" w:type="dxa"/>
              <w:end w:w="80" w:type="dxa"/>
            </w:tcMar>
            <w:shd w:fill="F7F9FA"/>
          </w:tcPr>
          <w:p>
            <w:pPr>
              <w:spacing w:after="20" w:before="0" w:line="240" w:lineRule="auto"/>
            </w:pPr>
            <w:r>
              <w:rPr>
                <w:rFonts w:ascii="Aptos" w:hAnsi="Aptos"/>
                <w:sz w:val="15"/>
              </w:rPr>
              <w:t>Draft - pending</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General Counsel</w:t>
            </w:r>
          </w:p>
        </w:tc>
        <w:tc>
          <w:tcPr>
            <w:tcW w:type="dxa" w:w="2232"/>
            <w:vAlign w:val="center"/>
            <w:tcMar>
              <w:top w:w="70" w:type="dxa"/>
              <w:start w:w="80" w:type="dxa"/>
              <w:bottom w:w="70" w:type="dxa"/>
              <w:end w:w="80" w:type="dxa"/>
            </w:tcMar>
          </w:tcPr>
          <w:p>
            <w:pPr>
              <w:spacing w:after="20" w:before="0" w:line="240" w:lineRule="auto"/>
            </w:pPr>
            <w:r>
              <w:rPr>
                <w:rFonts w:ascii="Aptos" w:hAnsi="Aptos"/>
                <w:sz w:val="15"/>
              </w:rPr>
              <w:t>Amelia Duckett</w:t>
            </w:r>
          </w:p>
        </w:tc>
        <w:tc>
          <w:tcPr>
            <w:tcW w:type="dxa" w:w="3672"/>
            <w:vAlign w:val="center"/>
            <w:tcMar>
              <w:top w:w="70" w:type="dxa"/>
              <w:start w:w="80" w:type="dxa"/>
              <w:bottom w:w="70" w:type="dxa"/>
              <w:end w:w="80" w:type="dxa"/>
            </w:tcMar>
          </w:tcPr>
          <w:p>
            <w:pPr>
              <w:spacing w:after="20" w:before="0" w:line="240" w:lineRule="auto"/>
            </w:pPr>
            <w:r>
              <w:rPr>
                <w:rFonts w:ascii="Aptos" w:hAnsi="Aptos"/>
                <w:sz w:val="15"/>
              </w:rPr>
              <w:t>Confirms legal basis / employment-law context</w:t>
            </w:r>
          </w:p>
        </w:tc>
        <w:tc>
          <w:tcPr>
            <w:tcW w:type="dxa" w:w="1440"/>
            <w:vAlign w:val="center"/>
            <w:tcMar>
              <w:top w:w="70" w:type="dxa"/>
              <w:start w:w="80" w:type="dxa"/>
              <w:bottom w:w="70" w:type="dxa"/>
              <w:end w:w="80" w:type="dxa"/>
            </w:tcMar>
          </w:tcPr>
          <w:p>
            <w:pPr>
              <w:spacing w:after="20" w:before="0" w:line="240" w:lineRule="auto"/>
            </w:pPr>
            <w:r>
              <w:rPr>
                <w:rFonts w:ascii="Aptos" w:hAnsi="Aptos"/>
                <w:sz w:val="15"/>
              </w:rPr>
              <w:t>Draft - pending</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CISO</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Cassandra Duckley</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5"/>
              </w:rPr>
              <w:t>Confirms security/privacy control position</w:t>
            </w:r>
          </w:p>
        </w:tc>
        <w:tc>
          <w:tcPr>
            <w:tcW w:type="dxa" w:w="1440"/>
            <w:vAlign w:val="center"/>
            <w:tcMar>
              <w:top w:w="70" w:type="dxa"/>
              <w:start w:w="80" w:type="dxa"/>
              <w:bottom w:w="70" w:type="dxa"/>
              <w:end w:w="80" w:type="dxa"/>
            </w:tcMar>
            <w:shd w:fill="F7F9FA"/>
          </w:tcPr>
          <w:p>
            <w:pPr>
              <w:spacing w:after="20" w:before="0" w:line="240" w:lineRule="auto"/>
            </w:pPr>
            <w:r>
              <w:rPr>
                <w:rFonts w:ascii="Aptos" w:hAnsi="Aptos"/>
                <w:sz w:val="15"/>
              </w:rPr>
              <w:t>Draft - pending</w:t>
            </w:r>
          </w:p>
        </w:tc>
      </w:tr>
      <w:tr>
        <w:tc>
          <w:tcPr>
            <w:tcW w:type="dxa" w:w="2232"/>
            <w:vAlign w:val="center"/>
            <w:tcMar>
              <w:top w:w="70" w:type="dxa"/>
              <w:start w:w="80" w:type="dxa"/>
              <w:bottom w:w="70" w:type="dxa"/>
              <w:end w:w="80" w:type="dxa"/>
            </w:tcMar>
          </w:tcPr>
          <w:p>
            <w:pPr>
              <w:spacing w:after="20" w:before="0" w:line="240" w:lineRule="auto"/>
            </w:pPr>
            <w:r>
              <w:rPr>
                <w:rFonts w:ascii="Aptos" w:hAnsi="Aptos"/>
                <w:sz w:val="15"/>
              </w:rPr>
              <w:t>AI Governance Lead</w:t>
            </w:r>
          </w:p>
        </w:tc>
        <w:tc>
          <w:tcPr>
            <w:tcW w:type="dxa" w:w="2232"/>
            <w:vAlign w:val="center"/>
            <w:tcMar>
              <w:top w:w="70" w:type="dxa"/>
              <w:start w:w="80" w:type="dxa"/>
              <w:bottom w:w="70" w:type="dxa"/>
              <w:end w:w="80" w:type="dxa"/>
            </w:tcMar>
          </w:tcPr>
          <w:p>
            <w:pPr>
              <w:spacing w:after="20" w:before="0" w:line="240" w:lineRule="auto"/>
            </w:pPr>
            <w:r>
              <w:rPr>
                <w:rFonts w:ascii="Aptos" w:hAnsi="Aptos"/>
                <w:sz w:val="15"/>
              </w:rPr>
              <w:t>Eleanor Duckford</w:t>
            </w:r>
          </w:p>
        </w:tc>
        <w:tc>
          <w:tcPr>
            <w:tcW w:type="dxa" w:w="3672"/>
            <w:vAlign w:val="center"/>
            <w:tcMar>
              <w:top w:w="70" w:type="dxa"/>
              <w:start w:w="80" w:type="dxa"/>
              <w:bottom w:w="70" w:type="dxa"/>
              <w:end w:w="80" w:type="dxa"/>
            </w:tcMar>
          </w:tcPr>
          <w:p>
            <w:pPr>
              <w:spacing w:after="20" w:before="0" w:line="240" w:lineRule="auto"/>
            </w:pPr>
            <w:r>
              <w:rPr>
                <w:rFonts w:ascii="Aptos" w:hAnsi="Aptos"/>
                <w:sz w:val="15"/>
              </w:rPr>
              <w:t>Confirms evidence, actions and governance gate</w:t>
            </w:r>
          </w:p>
        </w:tc>
        <w:tc>
          <w:tcPr>
            <w:tcW w:type="dxa" w:w="1440"/>
            <w:vAlign w:val="center"/>
            <w:tcMar>
              <w:top w:w="70" w:type="dxa"/>
              <w:start w:w="80" w:type="dxa"/>
              <w:bottom w:w="70" w:type="dxa"/>
              <w:end w:w="80" w:type="dxa"/>
            </w:tcMar>
          </w:tcPr>
          <w:p>
            <w:pPr>
              <w:spacing w:after="20" w:before="0" w:line="240" w:lineRule="auto"/>
            </w:pPr>
            <w:r>
              <w:rPr>
                <w:rFonts w:ascii="Aptos" w:hAnsi="Aptos"/>
                <w:sz w:val="15"/>
              </w:rPr>
              <w:t>Draft - pending</w:t>
            </w:r>
          </w:p>
        </w:tc>
      </w:tr>
      <w:tr>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AI Governance Committee</w:t>
            </w:r>
          </w:p>
        </w:tc>
        <w:tc>
          <w:tcPr>
            <w:tcW w:type="dxa" w:w="2232"/>
            <w:vAlign w:val="center"/>
            <w:tcMar>
              <w:top w:w="70" w:type="dxa"/>
              <w:start w:w="80" w:type="dxa"/>
              <w:bottom w:w="70" w:type="dxa"/>
              <w:end w:w="80" w:type="dxa"/>
            </w:tcMar>
            <w:shd w:fill="F7F9FA"/>
          </w:tcPr>
          <w:p>
            <w:pPr>
              <w:spacing w:after="20" w:before="0" w:line="240" w:lineRule="auto"/>
            </w:pPr>
            <w:r>
              <w:rPr>
                <w:rFonts w:ascii="Aptos" w:hAnsi="Aptos"/>
                <w:sz w:val="15"/>
              </w:rPr>
              <w:t>Cross-functional</w:t>
            </w:r>
          </w:p>
        </w:tc>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5"/>
              </w:rPr>
              <w:t>Approves governance treatment when prerequisites met</w:t>
            </w:r>
          </w:p>
        </w:tc>
        <w:tc>
          <w:tcPr>
            <w:tcW w:type="dxa" w:w="1440"/>
            <w:vAlign w:val="center"/>
            <w:tcMar>
              <w:top w:w="70" w:type="dxa"/>
              <w:start w:w="80" w:type="dxa"/>
              <w:bottom w:w="70" w:type="dxa"/>
              <w:end w:w="80" w:type="dxa"/>
            </w:tcMar>
            <w:shd w:fill="F7F9FA"/>
          </w:tcPr>
          <w:p>
            <w:pPr>
              <w:spacing w:after="20" w:before="0" w:line="240" w:lineRule="auto"/>
            </w:pPr>
            <w:r>
              <w:rPr>
                <w:rFonts w:ascii="Aptos" w:hAnsi="Aptos"/>
                <w:sz w:val="15"/>
              </w:rPr>
              <w:t>Not submitted</w:t>
            </w:r>
          </w:p>
        </w:tc>
      </w:tr>
    </w:tbl>
    <w:p>
      <w:pPr>
        <w:widowControl/>
        <w:spacing w:after="0"/>
      </w:pPr>
    </w:p>
    <w:p>
      <w:pPr>
        <w:pStyle w:val="Heading1"/>
        <w:keepNext/>
        <w:widowControl/>
      </w:pPr>
      <w:r>
        <w:rPr>
          <w:rFonts w:ascii="Aptos" w:hAnsi="Aptos"/>
        </w:rPr>
        <w:t>14. Review and Reassessment Triggers</w:t>
      </w:r>
    </w:p>
    <w:p>
      <w:pPr>
        <w:pStyle w:val="ListBullet"/>
        <w:widowControl/>
        <w:spacing w:after="40"/>
        <w:ind w:left="317" w:hanging="202"/>
      </w:pPr>
      <w:r>
        <w:rPr>
          <w:rFonts w:ascii="Aptos" w:hAnsi="Aptos"/>
        </w:rPr>
        <w:t>Change in intended purpose, autonomy, decision authority, job family, ranking logic, feature set or criteria weighting.</w:t>
      </w:r>
    </w:p>
    <w:p>
      <w:pPr>
        <w:pStyle w:val="ListBullet"/>
        <w:widowControl/>
        <w:spacing w:after="40"/>
        <w:ind w:left="317" w:hanging="202"/>
      </w:pPr>
      <w:r>
        <w:rPr>
          <w:rFonts w:ascii="Aptos" w:hAnsi="Aptos"/>
        </w:rPr>
        <w:t>New model/provider/version, prompt/configuration, hosting region, subprocessor, integration or data source.</w:t>
      </w:r>
    </w:p>
    <w:p>
      <w:pPr>
        <w:pStyle w:val="ListBullet"/>
        <w:widowControl/>
        <w:spacing w:after="40"/>
        <w:ind w:left="317" w:hanging="202"/>
      </w:pPr>
      <w:r>
        <w:rPr>
          <w:rFonts w:ascii="Aptos" w:hAnsi="Aptos"/>
        </w:rPr>
        <w:t>Use of special-category, criminal-conviction, biometric, inferred-sensitive or other materially different data.</w:t>
      </w:r>
    </w:p>
    <w:p>
      <w:pPr>
        <w:pStyle w:val="ListBullet"/>
        <w:widowControl/>
        <w:spacing w:after="40"/>
        <w:ind w:left="317" w:hanging="202"/>
      </w:pPr>
      <w:r>
        <w:rPr>
          <w:rFonts w:ascii="Aptos" w:hAnsi="Aptos"/>
        </w:rPr>
        <w:t>Expansion to new countries, languages, applicant populations, internal mobility, promotion, performance, termination or workforce monitoring.</w:t>
      </w:r>
    </w:p>
    <w:p>
      <w:pPr>
        <w:pStyle w:val="ListBullet"/>
        <w:widowControl/>
        <w:spacing w:after="40"/>
        <w:ind w:left="317" w:hanging="202"/>
      </w:pPr>
      <w:r>
        <w:rPr>
          <w:rFonts w:ascii="Aptos" w:hAnsi="Aptos"/>
        </w:rPr>
        <w:t>Material accuracy failure, unexpected error distribution, fairness concern, discriminatory outcome, accessibility issue, complaint or successful challenge.</w:t>
      </w:r>
    </w:p>
    <w:p>
      <w:pPr>
        <w:pStyle w:val="ListBullet"/>
        <w:widowControl/>
        <w:spacing w:after="40"/>
        <w:ind w:left="317" w:hanging="202"/>
      </w:pPr>
      <w:r>
        <w:rPr>
          <w:rFonts w:ascii="Aptos" w:hAnsi="Aptos"/>
        </w:rPr>
        <w:t>Evidence that recruiters are mechanically following the rank or cannot meaningfully override the output.</w:t>
      </w:r>
    </w:p>
    <w:p>
      <w:pPr>
        <w:pStyle w:val="ListBullet"/>
        <w:widowControl/>
        <w:spacing w:after="40"/>
        <w:ind w:left="317" w:hanging="202"/>
      </w:pPr>
      <w:r>
        <w:rPr>
          <w:rFonts w:ascii="Aptos" w:hAnsi="Aptos"/>
        </w:rPr>
        <w:t>Privacy/security incident, data leakage, unauthorized access, model/service compromise or vendor incident.</w:t>
      </w:r>
    </w:p>
    <w:p>
      <w:pPr>
        <w:pStyle w:val="ListBullet"/>
        <w:widowControl/>
        <w:spacing w:after="40"/>
        <w:ind w:left="317" w:hanging="202"/>
      </w:pPr>
      <w:r>
        <w:rPr>
          <w:rFonts w:ascii="Aptos" w:hAnsi="Aptos"/>
        </w:rPr>
        <w:t>Change to lawful basis, employment law, supervisory-authority DPIA list, regulatory interpretation or other legal requirement.</w:t>
      </w:r>
    </w:p>
    <w:p>
      <w:pPr>
        <w:pStyle w:val="ListBullet"/>
        <w:widowControl/>
        <w:spacing w:after="40"/>
        <w:ind w:left="317" w:hanging="202"/>
      </w:pPr>
      <w:r>
        <w:rPr>
          <w:rFonts w:ascii="Aptos" w:hAnsi="Aptos"/>
        </w:rPr>
        <w:t>Control failure, evidence expiry, retention breach, rights-handling failure or inability to reconstruct material processing/decision support.</w:t>
      </w:r>
    </w:p>
    <w:p>
      <w:pPr>
        <w:pStyle w:val="ListBullet"/>
        <w:widowControl/>
        <w:spacing w:after="40"/>
        <w:ind w:left="317" w:hanging="202"/>
      </w:pPr>
      <w:r>
        <w:rPr>
          <w:rFonts w:ascii="Aptos" w:hAnsi="Aptos"/>
        </w:rPr>
        <w:t>Any transition from concept/pilot to production or material scale increase.</w:t>
      </w:r>
    </w:p>
    <w:p>
      <w:pPr>
        <w:widowControl/>
      </w:pPr>
      <w:r>
        <w:rPr>
          <w:rFonts w:ascii="Aptos" w:hAnsi="Aptos"/>
        </w:rPr>
        <w:t>Under GDPR Article 35(11), the controller must review the DPIA where necessary, at least when there is a change in the risk represented by the processing operations. Duckworks applies this through its broader AI Lifecycle SOP and material-change process.</w:t>
      </w:r>
    </w:p>
    <w:p>
      <w:pPr>
        <w:pStyle w:val="Heading1"/>
        <w:keepNext/>
        <w:widowControl/>
      </w:pPr>
      <w:r>
        <w:rPr>
          <w:rFonts w:ascii="Aptos" w:hAnsi="Aptos"/>
        </w:rPr>
        <w:t>15. Article 35 Minimum-Content Traceability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GDPR requirement</w:t>
            </w:r>
          </w:p>
        </w:tc>
        <w:tc>
          <w:tcPr>
            <w:tcW w:type="dxa" w:w="5688"/>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Where addressed</w:t>
            </w:r>
          </w:p>
        </w:tc>
      </w:tr>
      <w:tr>
        <w:tc>
          <w:tcPr>
            <w:tcW w:type="dxa" w:w="3672"/>
            <w:vAlign w:val="center"/>
            <w:tcMar>
              <w:top w:w="70" w:type="dxa"/>
              <w:start w:w="80" w:type="dxa"/>
              <w:bottom w:w="70" w:type="dxa"/>
              <w:end w:w="80" w:type="dxa"/>
            </w:tcMar>
          </w:tcPr>
          <w:p>
            <w:pPr>
              <w:spacing w:after="20" w:before="0" w:line="240" w:lineRule="auto"/>
            </w:pPr>
            <w:r>
              <w:rPr>
                <w:rFonts w:ascii="Aptos" w:hAnsi="Aptos"/>
                <w:sz w:val="16"/>
              </w:rPr>
              <w:t>35(7)(a) - systematic description and purposes</w:t>
            </w:r>
          </w:p>
        </w:tc>
        <w:tc>
          <w:tcPr>
            <w:tcW w:type="dxa" w:w="5688"/>
            <w:vAlign w:val="center"/>
            <w:tcMar>
              <w:top w:w="70" w:type="dxa"/>
              <w:start w:w="80" w:type="dxa"/>
              <w:bottom w:w="70" w:type="dxa"/>
              <w:end w:w="80" w:type="dxa"/>
            </w:tcMar>
          </w:tcPr>
          <w:p>
            <w:pPr>
              <w:spacing w:after="20" w:before="0" w:line="240" w:lineRule="auto"/>
            </w:pPr>
            <w:r>
              <w:rPr>
                <w:rFonts w:ascii="Aptos" w:hAnsi="Aptos"/>
                <w:sz w:val="16"/>
              </w:rPr>
              <w:t>Sections 3-6; processing scope, data flows, roles, purpose, lawful-basis decision.</w:t>
            </w:r>
          </w:p>
        </w:tc>
      </w:tr>
      <w:tr>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6"/>
              </w:rPr>
              <w:t>35(7)(b) - necessity and proportionality</w:t>
            </w:r>
          </w:p>
        </w:tc>
        <w:tc>
          <w:tcPr>
            <w:tcW w:type="dxa" w:w="5688"/>
            <w:vAlign w:val="center"/>
            <w:tcMar>
              <w:top w:w="70" w:type="dxa"/>
              <w:start w:w="80" w:type="dxa"/>
              <w:bottom w:w="70" w:type="dxa"/>
              <w:end w:w="80" w:type="dxa"/>
            </w:tcMar>
            <w:shd w:fill="F7F9FA"/>
          </w:tcPr>
          <w:p>
            <w:pPr>
              <w:spacing w:after="20" w:before="0" w:line="240" w:lineRule="auto"/>
            </w:pPr>
            <w:r>
              <w:rPr>
                <w:rFonts w:ascii="Aptos" w:hAnsi="Aptos"/>
                <w:sz w:val="16"/>
              </w:rPr>
              <w:t>Section 7; alternatives, minimization, accuracy, oversight, transparency, retention, access and vendor necessity.</w:t>
            </w:r>
          </w:p>
        </w:tc>
      </w:tr>
      <w:tr>
        <w:tc>
          <w:tcPr>
            <w:tcW w:type="dxa" w:w="3672"/>
            <w:vAlign w:val="center"/>
            <w:tcMar>
              <w:top w:w="70" w:type="dxa"/>
              <w:start w:w="80" w:type="dxa"/>
              <w:bottom w:w="70" w:type="dxa"/>
              <w:end w:w="80" w:type="dxa"/>
            </w:tcMar>
          </w:tcPr>
          <w:p>
            <w:pPr>
              <w:spacing w:after="20" w:before="0" w:line="240" w:lineRule="auto"/>
            </w:pPr>
            <w:r>
              <w:rPr>
                <w:rFonts w:ascii="Aptos" w:hAnsi="Aptos"/>
                <w:sz w:val="16"/>
              </w:rPr>
              <w:t>35(7)(c) - risks to rights and freedoms</w:t>
            </w:r>
          </w:p>
        </w:tc>
        <w:tc>
          <w:tcPr>
            <w:tcW w:type="dxa" w:w="5688"/>
            <w:vAlign w:val="center"/>
            <w:tcMar>
              <w:top w:w="70" w:type="dxa"/>
              <w:start w:w="80" w:type="dxa"/>
              <w:bottom w:w="70" w:type="dxa"/>
              <w:end w:w="80" w:type="dxa"/>
            </w:tcMar>
          </w:tcPr>
          <w:p>
            <w:pPr>
              <w:spacing w:after="20" w:before="0" w:line="240" w:lineRule="auto"/>
            </w:pPr>
            <w:r>
              <w:rPr>
                <w:rFonts w:ascii="Aptos" w:hAnsi="Aptos"/>
                <w:sz w:val="16"/>
              </w:rPr>
              <w:t>Sections 8-10; applicant risk register, rights, human oversight, privacy/security measures.</w:t>
            </w:r>
          </w:p>
        </w:tc>
      </w:tr>
      <w:tr>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6"/>
              </w:rPr>
              <w:t>35(7)(d) - measures/safeguards and mechanisms</w:t>
            </w:r>
          </w:p>
        </w:tc>
        <w:tc>
          <w:tcPr>
            <w:tcW w:type="dxa" w:w="5688"/>
            <w:vAlign w:val="center"/>
            <w:tcMar>
              <w:top w:w="70" w:type="dxa"/>
              <w:start w:w="80" w:type="dxa"/>
              <w:bottom w:w="70" w:type="dxa"/>
              <w:end w:w="80" w:type="dxa"/>
            </w:tcMar>
            <w:shd w:fill="F7F9FA"/>
          </w:tcPr>
          <w:p>
            <w:pPr>
              <w:spacing w:after="20" w:before="0" w:line="240" w:lineRule="auto"/>
            </w:pPr>
            <w:r>
              <w:rPr>
                <w:rFonts w:ascii="Aptos" w:hAnsi="Aptos"/>
                <w:sz w:val="16"/>
              </w:rPr>
              <w:t>Sections 8-12; technical, organizational, contractual, human and monitoring controls plus evidence plan.</w:t>
            </w:r>
          </w:p>
        </w:tc>
      </w:tr>
      <w:tr>
        <w:tc>
          <w:tcPr>
            <w:tcW w:type="dxa" w:w="3672"/>
            <w:vAlign w:val="center"/>
            <w:tcMar>
              <w:top w:w="70" w:type="dxa"/>
              <w:start w:w="80" w:type="dxa"/>
              <w:bottom w:w="70" w:type="dxa"/>
              <w:end w:w="80" w:type="dxa"/>
            </w:tcMar>
          </w:tcPr>
          <w:p>
            <w:pPr>
              <w:spacing w:after="20" w:before="0" w:line="240" w:lineRule="auto"/>
            </w:pPr>
            <w:r>
              <w:rPr>
                <w:rFonts w:ascii="Aptos" w:hAnsi="Aptos"/>
                <w:sz w:val="16"/>
              </w:rPr>
              <w:t>35(2) - DPO advice</w:t>
            </w:r>
          </w:p>
        </w:tc>
        <w:tc>
          <w:tcPr>
            <w:tcW w:type="dxa" w:w="5688"/>
            <w:vAlign w:val="center"/>
            <w:tcMar>
              <w:top w:w="70" w:type="dxa"/>
              <w:start w:w="80" w:type="dxa"/>
              <w:bottom w:w="70" w:type="dxa"/>
              <w:end w:w="80" w:type="dxa"/>
            </w:tcMar>
          </w:tcPr>
          <w:p>
            <w:pPr>
              <w:spacing w:after="20" w:before="0" w:line="240" w:lineRule="auto"/>
            </w:pPr>
            <w:r>
              <w:rPr>
                <w:rFonts w:ascii="Aptos" w:hAnsi="Aptos"/>
                <w:sz w:val="16"/>
              </w:rPr>
              <w:t>Section 11 and sign-off record.</w:t>
            </w:r>
          </w:p>
        </w:tc>
      </w:tr>
      <w:tr>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6"/>
              </w:rPr>
              <w:t>35(9) - views of data subjects/representatives where appropriate</w:t>
            </w:r>
          </w:p>
        </w:tc>
        <w:tc>
          <w:tcPr>
            <w:tcW w:type="dxa" w:w="5688"/>
            <w:vAlign w:val="center"/>
            <w:tcMar>
              <w:top w:w="70" w:type="dxa"/>
              <w:start w:w="80" w:type="dxa"/>
              <w:bottom w:w="70" w:type="dxa"/>
              <w:end w:w="80" w:type="dxa"/>
            </w:tcMar>
            <w:shd w:fill="F7F9FA"/>
          </w:tcPr>
          <w:p>
            <w:pPr>
              <w:spacing w:after="20" w:before="0" w:line="240" w:lineRule="auto"/>
            </w:pPr>
            <w:r>
              <w:rPr>
                <w:rFonts w:ascii="Aptos" w:hAnsi="Aptos"/>
                <w:sz w:val="16"/>
              </w:rPr>
              <w:t>Section 11; candidate/representative feedback approach or documented rationale.</w:t>
            </w:r>
          </w:p>
        </w:tc>
      </w:tr>
      <w:tr>
        <w:tc>
          <w:tcPr>
            <w:tcW w:type="dxa" w:w="3672"/>
            <w:vAlign w:val="center"/>
            <w:tcMar>
              <w:top w:w="70" w:type="dxa"/>
              <w:start w:w="80" w:type="dxa"/>
              <w:bottom w:w="70" w:type="dxa"/>
              <w:end w:w="80" w:type="dxa"/>
            </w:tcMar>
          </w:tcPr>
          <w:p>
            <w:pPr>
              <w:spacing w:after="20" w:before="0" w:line="240" w:lineRule="auto"/>
            </w:pPr>
            <w:r>
              <w:rPr>
                <w:rFonts w:ascii="Aptos" w:hAnsi="Aptos"/>
                <w:sz w:val="16"/>
              </w:rPr>
              <w:t>35(11) - review on change of risk</w:t>
            </w:r>
          </w:p>
        </w:tc>
        <w:tc>
          <w:tcPr>
            <w:tcW w:type="dxa" w:w="5688"/>
            <w:vAlign w:val="center"/>
            <w:tcMar>
              <w:top w:w="70" w:type="dxa"/>
              <w:start w:w="80" w:type="dxa"/>
              <w:bottom w:w="70" w:type="dxa"/>
              <w:end w:w="80" w:type="dxa"/>
            </w:tcMar>
          </w:tcPr>
          <w:p>
            <w:pPr>
              <w:spacing w:after="20" w:before="0" w:line="240" w:lineRule="auto"/>
            </w:pPr>
            <w:r>
              <w:rPr>
                <w:rFonts w:ascii="Aptos" w:hAnsi="Aptos"/>
                <w:sz w:val="16"/>
              </w:rPr>
              <w:t>Section 14 reassessment triggers.</w:t>
            </w:r>
          </w:p>
        </w:tc>
      </w:tr>
      <w:tr>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6"/>
              </w:rPr>
              <w:t>36 - prior consultation where high risk remains</w:t>
            </w:r>
          </w:p>
        </w:tc>
        <w:tc>
          <w:tcPr>
            <w:tcW w:type="dxa" w:w="5688"/>
            <w:vAlign w:val="center"/>
            <w:tcMar>
              <w:top w:w="70" w:type="dxa"/>
              <w:start w:w="80" w:type="dxa"/>
              <w:bottom w:w="70" w:type="dxa"/>
              <w:end w:w="80" w:type="dxa"/>
            </w:tcMar>
            <w:shd w:fill="F7F9FA"/>
          </w:tcPr>
          <w:p>
            <w:pPr>
              <w:spacing w:after="20" w:before="0" w:line="240" w:lineRule="auto"/>
            </w:pPr>
            <w:r>
              <w:rPr>
                <w:rFonts w:ascii="Aptos" w:hAnsi="Aptos"/>
                <w:sz w:val="16"/>
              </w:rPr>
              <w:t>Sections 12-13; conditional prior-consultation gate.</w:t>
            </w:r>
          </w:p>
        </w:tc>
      </w:tr>
    </w:tbl>
    <w:p>
      <w:pPr>
        <w:widowControl/>
        <w:spacing w:after="0"/>
      </w:pPr>
    </w:p>
    <w:p>
      <w:pPr>
        <w:pStyle w:val="Heading1"/>
        <w:keepNext/>
        <w:widowControl/>
      </w:pPr>
      <w:r>
        <w:rPr>
          <w:rFonts w:ascii="Aptos" w:hAnsi="Aptos"/>
        </w:rPr>
        <w:t>16. Minimum DPIA Evidence Pack</w:t>
      </w:r>
    </w:p>
    <w:p>
      <w:pPr>
        <w:pStyle w:val="ListBullet"/>
        <w:widowControl/>
        <w:spacing w:after="40"/>
        <w:ind w:left="317" w:hanging="202"/>
      </w:pPr>
      <w:r>
        <w:rPr>
          <w:rFonts w:ascii="Aptos" w:hAnsi="Aptos"/>
        </w:rPr>
        <w:t>Approved AI Business Use Case and QuackTrack inventory record for AI-005.</w:t>
      </w:r>
    </w:p>
    <w:p>
      <w:pPr>
        <w:pStyle w:val="ListBullet"/>
        <w:widowControl/>
        <w:spacing w:after="40"/>
        <w:ind w:left="317" w:hanging="202"/>
      </w:pPr>
      <w:r>
        <w:rPr>
          <w:rFonts w:ascii="Aptos" w:hAnsi="Aptos"/>
        </w:rPr>
        <w:t>Data-flow / architecture diagram showing systems, interfaces, storage locations, users, processors and subprocessors.</w:t>
      </w:r>
    </w:p>
    <w:p>
      <w:pPr>
        <w:pStyle w:val="ListBullet"/>
        <w:widowControl/>
        <w:spacing w:after="40"/>
        <w:ind w:left="317" w:hanging="202"/>
      </w:pPr>
      <w:r>
        <w:rPr>
          <w:rFonts w:ascii="Aptos" w:hAnsi="Aptos"/>
        </w:rPr>
        <w:t>Record of processing activity (ROPA) link / entry and approved Article 6/Article 9 legal-basis analysis.</w:t>
      </w:r>
    </w:p>
    <w:p>
      <w:pPr>
        <w:pStyle w:val="ListBullet"/>
        <w:widowControl/>
        <w:spacing w:after="40"/>
        <w:ind w:left="317" w:hanging="202"/>
      </w:pPr>
      <w:r>
        <w:rPr>
          <w:rFonts w:ascii="Aptos" w:hAnsi="Aptos"/>
        </w:rPr>
        <w:t>Applicant privacy notice and AI-use transparency text.</w:t>
      </w:r>
    </w:p>
    <w:p>
      <w:pPr>
        <w:pStyle w:val="ListBullet"/>
        <w:widowControl/>
        <w:spacing w:after="40"/>
        <w:ind w:left="317" w:hanging="202"/>
      </w:pPr>
      <w:r>
        <w:rPr>
          <w:rFonts w:ascii="Aptos" w:hAnsi="Aptos"/>
        </w:rPr>
        <w:t>Data dictionary, feature/criteria allow-list, exclusion list and data-minimization rationale.</w:t>
      </w:r>
    </w:p>
    <w:p>
      <w:pPr>
        <w:pStyle w:val="ListBullet"/>
        <w:widowControl/>
        <w:spacing w:after="40"/>
        <w:ind w:left="317" w:hanging="202"/>
      </w:pPr>
      <w:r>
        <w:rPr>
          <w:rFonts w:ascii="Aptos" w:hAnsi="Aptos"/>
        </w:rPr>
        <w:t>Processor / vendor due diligence, contract/DPA, subprocessor list, data-use/retention terms and transfer evidence.</w:t>
      </w:r>
    </w:p>
    <w:p>
      <w:pPr>
        <w:pStyle w:val="ListBullet"/>
        <w:widowControl/>
        <w:spacing w:after="40"/>
        <w:ind w:left="317" w:hanging="202"/>
      </w:pPr>
      <w:r>
        <w:rPr>
          <w:rFonts w:ascii="Aptos" w:hAnsi="Aptos"/>
        </w:rPr>
        <w:t>Security threat model, access-control design, security test results and remediation evidence.</w:t>
      </w:r>
    </w:p>
    <w:p>
      <w:pPr>
        <w:pStyle w:val="ListBullet"/>
        <w:widowControl/>
        <w:spacing w:after="40"/>
        <w:ind w:left="317" w:hanging="202"/>
      </w:pPr>
      <w:r>
        <w:rPr>
          <w:rFonts w:ascii="Aptos" w:hAnsi="Aptos"/>
        </w:rPr>
        <w:t>Parsing/ranking validation, accuracy/error analysis and documented limitations.</w:t>
      </w:r>
    </w:p>
    <w:p>
      <w:pPr>
        <w:pStyle w:val="ListBullet"/>
        <w:widowControl/>
        <w:spacing w:after="40"/>
        <w:ind w:left="317" w:hanging="202"/>
      </w:pPr>
      <w:r>
        <w:rPr>
          <w:rFonts w:ascii="Aptos" w:hAnsi="Aptos"/>
        </w:rPr>
        <w:t>Fairness/proxy testing methodology and results appropriate to the lawful data available and intended population.</w:t>
      </w:r>
    </w:p>
    <w:p>
      <w:pPr>
        <w:pStyle w:val="ListBullet"/>
        <w:widowControl/>
        <w:spacing w:after="40"/>
        <w:ind w:left="317" w:hanging="202"/>
      </w:pPr>
      <w:r>
        <w:rPr>
          <w:rFonts w:ascii="Aptos" w:hAnsi="Aptos"/>
        </w:rPr>
        <w:t>Human-oversight SOP, recruiter training, override mechanism and user-acceptance evidence.</w:t>
      </w:r>
    </w:p>
    <w:p>
      <w:pPr>
        <w:pStyle w:val="ListBullet"/>
        <w:widowControl/>
        <w:spacing w:after="40"/>
        <w:ind w:left="317" w:hanging="202"/>
      </w:pPr>
      <w:r>
        <w:rPr>
          <w:rFonts w:ascii="Aptos" w:hAnsi="Aptos"/>
        </w:rPr>
        <w:t>Data-subject rights test results, including access/rectification and candidate challenge/reconsideration workflow.</w:t>
      </w:r>
    </w:p>
    <w:p>
      <w:pPr>
        <w:pStyle w:val="ListBullet"/>
        <w:widowControl/>
        <w:spacing w:after="40"/>
        <w:ind w:left="317" w:hanging="202"/>
      </w:pPr>
      <w:r>
        <w:rPr>
          <w:rFonts w:ascii="Aptos" w:hAnsi="Aptos"/>
        </w:rPr>
        <w:t>Retention/deletion schedule and evidence that vendor copies/logs follow approved rules.</w:t>
      </w:r>
    </w:p>
    <w:p>
      <w:pPr>
        <w:pStyle w:val="ListBullet"/>
        <w:widowControl/>
        <w:spacing w:after="40"/>
        <w:ind w:left="317" w:hanging="202"/>
      </w:pPr>
      <w:r>
        <w:rPr>
          <w:rFonts w:ascii="Aptos" w:hAnsi="Aptos"/>
        </w:rPr>
        <w:t>Monitoring specification, thresholds, complaint/incident triggers and model/vendor change process.</w:t>
      </w:r>
    </w:p>
    <w:p>
      <w:pPr>
        <w:pStyle w:val="ListBullet"/>
        <w:widowControl/>
        <w:spacing w:after="40"/>
        <w:ind w:left="317" w:hanging="202"/>
      </w:pPr>
      <w:r>
        <w:rPr>
          <w:rFonts w:ascii="Aptos" w:hAnsi="Aptos"/>
        </w:rPr>
        <w:t>DPO advice, Legal review, governance approvals, exceptions/risk decisions and action-closure evidence.</w:t>
      </w:r>
    </w:p>
    <w:p>
      <w:pPr>
        <w:pStyle w:val="Heading1"/>
        <w:keepNext/>
        <w:widowControl/>
      </w:pPr>
      <w:r>
        <w:rPr>
          <w:rFonts w:ascii="Aptos" w:hAnsi="Aptos"/>
        </w:rPr>
        <w:t>17. Source Basis and Limitations</w:t>
      </w:r>
    </w:p>
    <w:p>
      <w:pPr>
        <w:widowControl/>
      </w:pPr>
      <w:r>
        <w:rPr>
          <w:rFonts w:ascii="Aptos" w:hAnsi="Aptos"/>
        </w:rPr>
        <w:t>Duckworks project sources used: Business Scenario; Project Objectives; In-Scope / Out-of-Scope; Stakeholder Register; Assumptions Register; Acceptance Criteria; AI Risk Classification &amp; Assessment Methodology; AI Responsible Use Policy; AI Governance Lifecycle SOP; DuckTalent Algorithmic Impact Assessment; DuckTalent EU Fundamental Rights Impact Assessment; and the public frameworks/legislation reference file.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Source</w:t>
            </w:r>
          </w:p>
        </w:tc>
        <w:tc>
          <w:tcPr>
            <w:tcW w:type="dxa" w:w="5688"/>
            <w:vAlign w:val="center"/>
            <w:tcMar>
              <w:top w:w="70" w:type="dxa"/>
              <w:start w:w="80" w:type="dxa"/>
              <w:bottom w:w="70" w:type="dxa"/>
              <w:end w:w="80" w:type="dxa"/>
            </w:tcMar>
            <w:shd w:fill="173B57"/>
          </w:tcPr>
          <w:p>
            <w:pPr>
              <w:spacing w:after="20" w:before="0" w:line="240" w:lineRule="auto"/>
            </w:pPr>
            <w:r>
              <w:rPr>
                <w:rFonts w:ascii="Aptos" w:hAnsi="Aptos"/>
                <w:b/>
                <w:color w:val="FFFFFF"/>
                <w:sz w:val="16"/>
              </w:rPr>
              <w:t>Use in this DPIA</w:t>
            </w:r>
          </w:p>
        </w:tc>
      </w:tr>
      <w:tr>
        <w:tc>
          <w:tcPr>
            <w:tcW w:type="dxa" w:w="3672"/>
            <w:vAlign w:val="center"/>
            <w:tcMar>
              <w:top w:w="70" w:type="dxa"/>
              <w:start w:w="80" w:type="dxa"/>
              <w:bottom w:w="70" w:type="dxa"/>
              <w:end w:w="80" w:type="dxa"/>
            </w:tcMar>
          </w:tcPr>
          <w:p>
            <w:pPr>
              <w:spacing w:after="20" w:before="0" w:line="240" w:lineRule="auto"/>
            </w:pPr>
            <w:r>
              <w:rPr>
                <w:rFonts w:ascii="Aptos" w:hAnsi="Aptos"/>
                <w:sz w:val="16"/>
              </w:rPr>
              <w:t>Regulation (EU) 2016/679 (GDPR) - EUR-Lex</w:t>
            </w:r>
          </w:p>
        </w:tc>
        <w:tc>
          <w:tcPr>
            <w:tcW w:type="dxa" w:w="5688"/>
            <w:vAlign w:val="center"/>
            <w:tcMar>
              <w:top w:w="70" w:type="dxa"/>
              <w:start w:w="80" w:type="dxa"/>
              <w:bottom w:w="70" w:type="dxa"/>
              <w:end w:w="80" w:type="dxa"/>
            </w:tcMar>
          </w:tcPr>
          <w:p>
            <w:pPr>
              <w:spacing w:after="20" w:before="0" w:line="240" w:lineRule="auto"/>
            </w:pPr>
            <w:r>
              <w:rPr>
                <w:rFonts w:ascii="Aptos" w:hAnsi="Aptos"/>
                <w:sz w:val="16"/>
              </w:rPr>
              <w:t>Binding legal basis for DPIA content, DPO advice, rights, privacy by design, prior consultation and employment-context screening.</w:t>
            </w:r>
          </w:p>
        </w:tc>
      </w:tr>
      <w:tr>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6"/>
              </w:rPr>
              <w:t>EDPB-endorsed WP29 Guidelines on DPIA / high-risk processing (WP248 rev.01)</w:t>
            </w:r>
          </w:p>
        </w:tc>
        <w:tc>
          <w:tcPr>
            <w:tcW w:type="dxa" w:w="5688"/>
            <w:vAlign w:val="center"/>
            <w:tcMar>
              <w:top w:w="70" w:type="dxa"/>
              <w:start w:w="80" w:type="dxa"/>
              <w:bottom w:w="70" w:type="dxa"/>
              <w:end w:w="80" w:type="dxa"/>
            </w:tcMar>
            <w:shd w:fill="F7F9FA"/>
          </w:tcPr>
          <w:p>
            <w:pPr>
              <w:spacing w:after="20" w:before="0" w:line="240" w:lineRule="auto"/>
            </w:pPr>
            <w:r>
              <w:rPr>
                <w:rFonts w:ascii="Aptos" w:hAnsi="Aptos"/>
                <w:sz w:val="16"/>
              </w:rPr>
              <w:t>Regulatory guidance supporting high-risk screening and DPIA methodology.</w:t>
            </w:r>
          </w:p>
        </w:tc>
      </w:tr>
      <w:tr>
        <w:tc>
          <w:tcPr>
            <w:tcW w:type="dxa" w:w="3672"/>
            <w:vAlign w:val="center"/>
            <w:tcMar>
              <w:top w:w="70" w:type="dxa"/>
              <w:start w:w="80" w:type="dxa"/>
              <w:bottom w:w="70" w:type="dxa"/>
              <w:end w:w="80" w:type="dxa"/>
            </w:tcMar>
          </w:tcPr>
          <w:p>
            <w:pPr>
              <w:spacing w:after="20" w:before="0" w:line="240" w:lineRule="auto"/>
            </w:pPr>
            <w:r>
              <w:rPr>
                <w:rFonts w:ascii="Aptos" w:hAnsi="Aptos"/>
                <w:sz w:val="16"/>
              </w:rPr>
              <w:t>EDPB-endorsed Guidelines on automated individual decision-making and profiling</w:t>
            </w:r>
          </w:p>
        </w:tc>
        <w:tc>
          <w:tcPr>
            <w:tcW w:type="dxa" w:w="5688"/>
            <w:vAlign w:val="center"/>
            <w:tcMar>
              <w:top w:w="70" w:type="dxa"/>
              <w:start w:w="80" w:type="dxa"/>
              <w:bottom w:w="70" w:type="dxa"/>
              <w:end w:w="80" w:type="dxa"/>
            </w:tcMar>
          </w:tcPr>
          <w:p>
            <w:pPr>
              <w:spacing w:after="20" w:before="0" w:line="240" w:lineRule="auto"/>
            </w:pPr>
            <w:r>
              <w:rPr>
                <w:rFonts w:ascii="Aptos" w:hAnsi="Aptos"/>
                <w:sz w:val="16"/>
              </w:rPr>
              <w:t>Regulatory guidance supporting interpretation of automated decision-making/profiling risks and safeguards.</w:t>
            </w:r>
          </w:p>
        </w:tc>
      </w:tr>
      <w:tr>
        <w:tc>
          <w:tcPr>
            <w:tcW w:type="dxa" w:w="3672"/>
            <w:vAlign w:val="center"/>
            <w:tcMar>
              <w:top w:w="70" w:type="dxa"/>
              <w:start w:w="80" w:type="dxa"/>
              <w:bottom w:w="70" w:type="dxa"/>
              <w:end w:w="80" w:type="dxa"/>
            </w:tcMar>
            <w:shd w:fill="F7F9FA"/>
          </w:tcPr>
          <w:p>
            <w:pPr>
              <w:spacing w:after="20" w:before="0" w:line="240" w:lineRule="auto"/>
            </w:pPr>
            <w:r>
              <w:rPr>
                <w:rFonts w:ascii="Aptos" w:hAnsi="Aptos"/>
                <w:sz w:val="16"/>
              </w:rPr>
              <w:t>Duckworks source set</w:t>
            </w:r>
          </w:p>
        </w:tc>
        <w:tc>
          <w:tcPr>
            <w:tcW w:type="dxa" w:w="5688"/>
            <w:vAlign w:val="center"/>
            <w:tcMar>
              <w:top w:w="70" w:type="dxa"/>
              <w:start w:w="80" w:type="dxa"/>
              <w:bottom w:w="70" w:type="dxa"/>
              <w:end w:w="80" w:type="dxa"/>
            </w:tcMar>
            <w:shd w:fill="F7F9FA"/>
          </w:tcPr>
          <w:p>
            <w:pPr>
              <w:spacing w:after="20" w:before="0" w:line="240" w:lineRule="auto"/>
            </w:pPr>
            <w:r>
              <w:rPr>
                <w:rFonts w:ascii="Aptos" w:hAnsi="Aptos"/>
                <w:sz w:val="16"/>
              </w:rPr>
              <w:t>Fictional processing purpose, roles, lifecycle position, risk assumptions, governance gates and evidence requirements.</w:t>
            </w:r>
          </w:p>
        </w:tc>
      </w:tr>
    </w:tbl>
    <w:p>
      <w:pPr>
        <w:widowControl/>
        <w:spacing w:after="0"/>
      </w:pPr>
    </w:p>
    <w:p>
      <w:pPr>
        <w:pStyle w:val="SmallNote"/>
        <w:widowControl/>
      </w:pPr>
      <w:r>
        <w:rPr>
          <w:rFonts w:ascii="Aptos" w:hAnsi="Aptos"/>
        </w:rPr>
        <w:t>Official public references: GDPR: https://eur-lex.europa.eu/eli/reg/2016/679/oj/eng | EDPB DPIA guidance: https://www.edpb.europa.eu/documents/guideline/data-protection-impact-assessments-high-risk-processing_en | EDPB automated decision-making/profiling guidance: https://www.edpb.europa.eu/documents/guideline/automated-decision-making-and-profiling_en</w:t>
      </w:r>
    </w:p>
    <w:p>
      <w:pPr>
        <w:pStyle w:val="Heading2"/>
        <w:widowControl/>
      </w:pPr>
      <w:r>
        <w:rPr>
          <w:rFonts w:ascii="Aptos" w:hAnsi="Aptos"/>
        </w:rPr>
        <w:t>Limitations</w:t>
      </w:r>
    </w:p>
    <w:p>
      <w:pPr>
        <w:pStyle w:val="ListBullet"/>
        <w:widowControl/>
        <w:spacing w:after="40"/>
        <w:ind w:left="317" w:hanging="202"/>
      </w:pPr>
      <w:r>
        <w:rPr>
          <w:rFonts w:ascii="Aptos" w:hAnsi="Aptos"/>
        </w:rPr>
        <w:t>The exact AI vendor/model, hosting, subprocessors, applicant volume, processing geography, data-flow architecture, retention schedule and lawful basis are not verified in the current project evidence.</w:t>
      </w:r>
    </w:p>
    <w:p>
      <w:pPr>
        <w:pStyle w:val="ListBullet"/>
        <w:widowControl/>
        <w:spacing w:after="40"/>
        <w:ind w:left="317" w:hanging="202"/>
      </w:pPr>
      <w:r>
        <w:rPr>
          <w:rFonts w:ascii="Aptos" w:hAnsi="Aptos"/>
        </w:rPr>
        <w:t>The DPIA does not substitute for jurisdiction-specific legal advice, national supervisory-authority DPIA lists, employment-law analysis, a processor contract review, or a real production privacy assessment.</w:t>
      </w:r>
    </w:p>
    <w:p>
      <w:pPr>
        <w:pStyle w:val="ListBullet"/>
        <w:widowControl/>
        <w:spacing w:after="40"/>
        <w:ind w:left="317" w:hanging="202"/>
      </w:pPr>
      <w:r>
        <w:rPr>
          <w:rFonts w:ascii="Aptos" w:hAnsi="Aptos"/>
        </w:rPr>
        <w:t>No real applicant or protected-class data is used in this portfolio. Fairness and privacy validation results must not be fabricated; production evidence would need to be generated lawfully.</w:t>
      </w:r>
    </w:p>
    <w:p>
      <w:pPr>
        <w:pStyle w:val="ListBullet"/>
        <w:widowControl/>
        <w:spacing w:after="40"/>
        <w:ind w:left="317" w:hanging="202"/>
      </w:pPr>
      <w:r>
        <w:rPr>
          <w:rFonts w:ascii="Aptos" w:hAnsi="Aptos"/>
        </w:rPr>
        <w:t>Target controls and target residual risks are planned states and do not represent implemented or effective controls until supported by evidence.</w:t>
      </w:r>
    </w:p>
    <w:tbl>
      <w:tblPr>
        <w:tblW w:type="auto" w:w="0"/>
        <w:jc w:val="center"/>
        <w:tblLayout w:type="fixed"/>
        <w:tblLook w:firstColumn="1" w:firstRow="1" w:lastColumn="0" w:lastRow="0" w:noHBand="0" w:noVBand="1" w:val="04A0"/>
      </w:tblPr>
      <w:tblGrid>
        <w:gridCol w:w="10166"/>
      </w:tblGrid>
      <w:tr>
        <w:tc>
          <w:tcPr>
            <w:tcW w:type="dxa" w:w="9648"/>
            <w:shd w:fill="EAF3F2"/>
            <w:tcMar>
              <w:top w:w="110" w:type="dxa"/>
              <w:start w:w="130" w:type="dxa"/>
              <w:bottom w:w="110" w:type="dxa"/>
              <w:end w:w="130" w:type="dxa"/>
            </w:tcMar>
          </w:tcPr>
          <w:p>
            <w:pPr>
              <w:spacing w:after="40"/>
            </w:pPr>
            <w:r>
              <w:rPr>
                <w:b/>
                <w:color w:val="173B57"/>
                <w:sz w:val="19"/>
              </w:rPr>
              <w:t>Final portfolio position</w:t>
            </w:r>
          </w:p>
          <w:p>
            <w:pPr>
              <w:spacing w:after="0" w:line="247" w:lineRule="auto"/>
            </w:pPr>
            <w:r>
              <w:rPr>
                <w:sz w:val="17"/>
              </w:rPr>
              <w:t>DuckTalent AI remains blocked from production. The DPIA should be re-issued as a validated production record only after the open facts are confirmed and the blocking actions have evidence. The document is designed to show the complete privacy-governance reasoning chain without overstating legal certainty or control effectiveness.</w:t>
            </w:r>
          </w:p>
        </w:tc>
      </w:tr>
    </w:tbl>
    <w:p>
      <w:pPr>
        <w:widowControl/>
        <w:spacing w:after="0"/>
      </w:pPr>
    </w:p>
    <w:sectPr w:rsidR="00FC693F" w:rsidRPr="0006063C" w:rsidSect="00034616">
      <w:headerReference w:type="default" r:id="rId9"/>
      <w:footerReference w:type="default" r:id="rId10"/>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16"/>
      <w:gridCol w:w="3216"/>
      <w:gridCol w:w="3216"/>
    </w:tblGrid>
    <w:tr>
      <w:tc>
        <w:tcPr>
          <w:tcW w:type="dxa" w:w="3216"/>
        </w:tcPr>
        <w:p>
          <w:pPr>
            <w:jc w:val="left"/>
          </w:pPr>
          <w:r>
            <w:rPr>
              <w:color w:val="5B6770"/>
              <w:sz w:val="14"/>
            </w:rPr>
            <w:t>DW-WING-PRIV-01</w:t>
          </w:r>
        </w:p>
      </w:tc>
      <w:tc>
        <w:tcPr>
          <w:tcW w:type="dxa" w:w="3216"/>
        </w:tcPr>
        <w:p>
          <w:pPr>
            <w:jc w:val="center"/>
          </w:pPr>
          <w:r>
            <w:rPr>
              <w:color w:val="5B6770"/>
              <w:sz w:val="14"/>
            </w:rPr>
            <w:t>Version 1.0  |  Fictional portfolio project</w:t>
          </w:r>
        </w:p>
      </w:tc>
      <w:tc>
        <w:tcPr>
          <w:tcW w:type="dxa" w:w="3216"/>
        </w:tcPr>
        <w:p>
          <w:pPr>
            <w:jc w:val="right"/>
          </w:pPr>
          <w:r>
            <w:rPr>
              <w:color w:val="5B6770"/>
              <w:sz w:val="14"/>
            </w:rPr>
            <w:t>9 August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B6F6D"/>
        <w:sz w:val="15"/>
      </w:rPr>
      <w:t>DUCKWORKS  |  PROJECT W.I.N.G.  |  PRIVACY &amp; AI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B57"/>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B6F6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B5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B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5B6770"/>
      <w:sz w:val="15"/>
    </w:rPr>
  </w:style>
  <w:style w:type="paragraph" w:customStyle="1" w:styleId="Callout">
    <w:name w:val="Callout"/>
    <w:pPr>
      <w:spacing w:before="80" w:after="80"/>
      <w:ind w:left="230" w:right="230"/>
    </w:pPr>
    <w:rPr>
      <w:rFonts w:ascii="Aptos" w:hAnsi="Aptos"/>
      <w:b/>
      <w:color w:val="20313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GDPR Data Protection Impact Assessment - DuckTalent AI</dc:title>
  <dc:subject>Project W.I.N.G. privacy and AI governance portfolio</dc:subject>
  <dc:creator>Duckworks (fictional portfolio)</dc:creator>
  <cp:keywords>DPIA, GDPR, AI governance, DuckTalent, recruitment, privacy, Project W.I.N.G.</cp:keywords>
  <dc:description>generated by python-docx</dc:description>
  <cp:lastModifiedBy/>
  <cp:revision>1</cp:revision>
  <dcterms:created xsi:type="dcterms:W3CDTF">2013-12-23T23:15:00Z</dcterms:created>
  <dcterms:modified xsi:type="dcterms:W3CDTF">2013-12-23T23:15:00Z</dcterms:modified>
  <cp:category/>
</cp:coreProperties>
</file>