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14112"/>
      </w:tblGrid>
      <w:tr>
        <w:tc>
          <w:tcPr>
            <w:tcW w:type="dxa" w:w="10440"/>
            <w:shd w:fill="18324A"/>
            <w:tcMar>
              <w:top w:w="220" w:type="dxa"/>
              <w:start w:w="180" w:type="dxa"/>
              <w:bottom w:w="220" w:type="dxa"/>
              <w:end w:w="180" w:type="dxa"/>
            </w:tcMar>
          </w:tcPr>
          <w:p>
            <w:pPr>
              <w:spacing w:after="80"/>
            </w:pPr>
            <w:r>
              <w:rPr>
                <w:b/>
                <w:color w:val="FFFFFF"/>
                <w:sz w:val="44"/>
              </w:rPr>
              <w:t>Duckworks Enterprise AI Governance Charter</w:t>
            </w:r>
          </w:p>
          <w:p>
            <w:pPr>
              <w:spacing w:after="0"/>
            </w:pPr>
            <w:r>
              <w:rPr>
                <w:color w:val="D8E6E5"/>
                <w:sz w:val="21"/>
              </w:rPr>
              <w:t>Authority, principles, accountability, decision rights, and minimum governance requirements for AI across Project W.I.N.G.</w:t>
            </w:r>
          </w:p>
        </w:tc>
      </w:tr>
    </w:tbl>
    <w:p>
      <w:pPr>
        <w:widowControl/>
        <w:spacing w:after="20"/>
      </w:pP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2088"/>
            <w:shd w:fill="18324A"/>
            <w:tcMar>
              <w:top w:w="80" w:type="dxa"/>
              <w:start w:w="100" w:type="dxa"/>
              <w:bottom w:w="80" w:type="dxa"/>
              <w:end w:w="100" w:type="dxa"/>
            </w:tcMar>
            <w:vAlign w:val="center"/>
          </w:tcPr>
          <w:p>
            <w:pPr>
              <w:spacing w:after="0"/>
              <w:jc w:val="left"/>
            </w:pPr>
            <w:r>
              <w:rPr>
                <w:b/>
                <w:color w:val="FFFFFF"/>
                <w:sz w:val="17"/>
              </w:rPr>
              <w:t>Document ID</w:t>
            </w:r>
          </w:p>
        </w:tc>
        <w:tc>
          <w:tcPr>
            <w:tcW w:type="dxa" w:w="1080"/>
            <w:shd w:fill="18324A"/>
            <w:tcMar>
              <w:top w:w="80" w:type="dxa"/>
              <w:start w:w="100" w:type="dxa"/>
              <w:bottom w:w="80" w:type="dxa"/>
              <w:end w:w="100" w:type="dxa"/>
            </w:tcMar>
            <w:vAlign w:val="center"/>
          </w:tcPr>
          <w:p>
            <w:pPr>
              <w:spacing w:after="0"/>
              <w:jc w:val="left"/>
            </w:pPr>
            <w:r>
              <w:rPr>
                <w:b/>
                <w:color w:val="FFFFFF"/>
                <w:sz w:val="17"/>
              </w:rPr>
              <w:t>Version</w:t>
            </w:r>
          </w:p>
        </w:tc>
        <w:tc>
          <w:tcPr>
            <w:tcW w:type="dxa" w:w="4752"/>
            <w:shd w:fill="18324A"/>
            <w:tcMar>
              <w:top w:w="80" w:type="dxa"/>
              <w:start w:w="100" w:type="dxa"/>
              <w:bottom w:w="80" w:type="dxa"/>
              <w:end w:w="100" w:type="dxa"/>
            </w:tcMar>
            <w:vAlign w:val="center"/>
          </w:tcPr>
          <w:p>
            <w:pPr>
              <w:spacing w:after="0"/>
              <w:jc w:val="left"/>
            </w:pPr>
            <w:r>
              <w:rPr>
                <w:b/>
                <w:color w:val="FFFFFF"/>
                <w:sz w:val="17"/>
              </w:rPr>
              <w:t>Status</w:t>
            </w:r>
          </w:p>
        </w:tc>
        <w:tc>
          <w:tcPr>
            <w:tcW w:type="dxa" w:w="2232"/>
            <w:shd w:fill="18324A"/>
            <w:tcMar>
              <w:top w:w="80" w:type="dxa"/>
              <w:start w:w="100" w:type="dxa"/>
              <w:bottom w:w="80" w:type="dxa"/>
              <w:end w:w="100" w:type="dxa"/>
            </w:tcMar>
            <w:vAlign w:val="center"/>
          </w:tcPr>
          <w:p>
            <w:pPr>
              <w:spacing w:after="0"/>
              <w:jc w:val="left"/>
            </w:pPr>
            <w:r>
              <w:rPr>
                <w:b/>
                <w:color w:val="FFFFFF"/>
                <w:sz w:val="17"/>
              </w:rPr>
              <w:t>Organization</w:t>
            </w:r>
          </w:p>
        </w:tc>
      </w:tr>
      <w:tr>
        <w:trPr>
          <w:cantSplit/>
        </w:trPr>
        <w:tc>
          <w:tcPr>
            <w:tcW w:type="dxa" w:w="2088"/>
            <w:tcMar>
              <w:top w:w="80" w:type="dxa"/>
              <w:start w:w="100" w:type="dxa"/>
              <w:bottom w:w="80" w:type="dxa"/>
              <w:end w:w="100" w:type="dxa"/>
            </w:tcMar>
            <w:vAlign w:val="top"/>
          </w:tcPr>
          <w:p>
            <w:pPr>
              <w:spacing w:after="0"/>
            </w:pPr>
            <w:r>
              <w:rPr>
                <w:sz w:val="17"/>
              </w:rPr>
              <w:t>DW-WING-CHTR-01</w:t>
            </w:r>
          </w:p>
        </w:tc>
        <w:tc>
          <w:tcPr>
            <w:tcW w:type="dxa" w:w="1080"/>
            <w:tcMar>
              <w:top w:w="80" w:type="dxa"/>
              <w:start w:w="100" w:type="dxa"/>
              <w:bottom w:w="80" w:type="dxa"/>
              <w:end w:w="100" w:type="dxa"/>
            </w:tcMar>
            <w:vAlign w:val="top"/>
          </w:tcPr>
          <w:p>
            <w:pPr>
              <w:spacing w:after="0"/>
            </w:pPr>
            <w:r>
              <w:rPr>
                <w:sz w:val="17"/>
              </w:rPr>
              <w:t>1.0</w:t>
            </w:r>
          </w:p>
        </w:tc>
        <w:tc>
          <w:tcPr>
            <w:tcW w:type="dxa" w:w="4752"/>
            <w:tcMar>
              <w:top w:w="80" w:type="dxa"/>
              <w:start w:w="100" w:type="dxa"/>
              <w:bottom w:w="80" w:type="dxa"/>
              <w:end w:w="100" w:type="dxa"/>
            </w:tcMar>
            <w:vAlign w:val="top"/>
          </w:tcPr>
          <w:p>
            <w:pPr>
              <w:spacing w:after="0"/>
            </w:pPr>
            <w:r>
              <w:rPr>
                <w:sz w:val="17"/>
              </w:rPr>
              <w:t>Portfolio Baseline - Proposed Governance Charter</w:t>
            </w:r>
          </w:p>
        </w:tc>
        <w:tc>
          <w:tcPr>
            <w:tcW w:type="dxa" w:w="2232"/>
            <w:tcMar>
              <w:top w:w="80" w:type="dxa"/>
              <w:start w:w="100" w:type="dxa"/>
              <w:bottom w:w="80" w:type="dxa"/>
              <w:end w:w="100" w:type="dxa"/>
            </w:tcMar>
            <w:vAlign w:val="top"/>
          </w:tcPr>
          <w:p>
            <w:pPr>
              <w:spacing w:after="0"/>
            </w:pPr>
            <w:r>
              <w:rPr>
                <w:sz w:val="17"/>
              </w:rPr>
              <w:t>Duckworks</w:t>
            </w:r>
          </w:p>
        </w:tc>
      </w:tr>
    </w:tbl>
    <w:p>
      <w:pPr>
        <w:widowControl/>
        <w:spacing w:after="20"/>
      </w:pP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2376"/>
            <w:shd w:fill="18324A"/>
            <w:tcMar>
              <w:top w:w="80" w:type="dxa"/>
              <w:start w:w="100" w:type="dxa"/>
              <w:bottom w:w="80" w:type="dxa"/>
              <w:end w:w="100" w:type="dxa"/>
            </w:tcMar>
            <w:vAlign w:val="center"/>
          </w:tcPr>
          <w:p>
            <w:pPr>
              <w:spacing w:after="0"/>
              <w:jc w:val="left"/>
            </w:pPr>
            <w:r>
              <w:rPr>
                <w:b/>
                <w:color w:val="FFFFFF"/>
                <w:sz w:val="16"/>
              </w:rPr>
              <w:t>Charter Owner</w:t>
            </w:r>
          </w:p>
        </w:tc>
        <w:tc>
          <w:tcPr>
            <w:tcW w:type="dxa" w:w="2808"/>
            <w:shd w:fill="18324A"/>
            <w:tcMar>
              <w:top w:w="80" w:type="dxa"/>
              <w:start w:w="100" w:type="dxa"/>
              <w:bottom w:w="80" w:type="dxa"/>
              <w:end w:w="100" w:type="dxa"/>
            </w:tcMar>
            <w:vAlign w:val="center"/>
          </w:tcPr>
          <w:p>
            <w:pPr>
              <w:spacing w:after="0"/>
              <w:jc w:val="left"/>
            </w:pPr>
            <w:r>
              <w:rPr>
                <w:b/>
                <w:color w:val="FFFFFF"/>
                <w:sz w:val="16"/>
              </w:rPr>
              <w:t>Governance Sponsor</w:t>
            </w:r>
          </w:p>
        </w:tc>
        <w:tc>
          <w:tcPr>
            <w:tcW w:type="dxa" w:w="2520"/>
            <w:shd w:fill="18324A"/>
            <w:tcMar>
              <w:top w:w="80" w:type="dxa"/>
              <w:start w:w="100" w:type="dxa"/>
              <w:bottom w:w="80" w:type="dxa"/>
              <w:end w:w="100" w:type="dxa"/>
            </w:tcMar>
            <w:vAlign w:val="center"/>
          </w:tcPr>
          <w:p>
            <w:pPr>
              <w:spacing w:after="0"/>
              <w:jc w:val="left"/>
            </w:pPr>
            <w:r>
              <w:rPr>
                <w:b/>
                <w:color w:val="FFFFFF"/>
                <w:sz w:val="16"/>
              </w:rPr>
              <w:t>Proposed Approver</w:t>
            </w:r>
          </w:p>
        </w:tc>
        <w:tc>
          <w:tcPr>
            <w:tcW w:type="dxa" w:w="2448"/>
            <w:shd w:fill="18324A"/>
            <w:tcMar>
              <w:top w:w="80" w:type="dxa"/>
              <w:start w:w="100" w:type="dxa"/>
              <w:bottom w:w="80" w:type="dxa"/>
              <w:end w:w="100" w:type="dxa"/>
            </w:tcMar>
            <w:vAlign w:val="center"/>
          </w:tcPr>
          <w:p>
            <w:pPr>
              <w:spacing w:after="0"/>
              <w:jc w:val="left"/>
            </w:pPr>
            <w:r>
              <w:rPr>
                <w:b/>
                <w:color w:val="FFFFFF"/>
                <w:sz w:val="16"/>
              </w:rPr>
              <w:t>Review Cycle</w:t>
            </w:r>
          </w:p>
        </w:tc>
      </w:tr>
      <w:tr>
        <w:trPr>
          <w:cantSplit/>
        </w:trPr>
        <w:tc>
          <w:tcPr>
            <w:tcW w:type="dxa" w:w="2376"/>
            <w:tcMar>
              <w:top w:w="80" w:type="dxa"/>
              <w:start w:w="100" w:type="dxa"/>
              <w:bottom w:w="80" w:type="dxa"/>
              <w:end w:w="100" w:type="dxa"/>
            </w:tcMar>
            <w:vAlign w:val="top"/>
          </w:tcPr>
          <w:p>
            <w:pPr>
              <w:spacing w:after="0"/>
            </w:pPr>
            <w:r>
              <w:rPr>
                <w:sz w:val="16"/>
              </w:rPr>
              <w:t>AI Governance Lead</w:t>
            </w:r>
          </w:p>
        </w:tc>
        <w:tc>
          <w:tcPr>
            <w:tcW w:type="dxa" w:w="2808"/>
            <w:tcMar>
              <w:top w:w="80" w:type="dxa"/>
              <w:start w:w="100" w:type="dxa"/>
              <w:bottom w:w="80" w:type="dxa"/>
              <w:end w:w="100" w:type="dxa"/>
            </w:tcMar>
            <w:vAlign w:val="top"/>
          </w:tcPr>
          <w:p>
            <w:pPr>
              <w:spacing w:after="0"/>
            </w:pPr>
            <w:r>
              <w:rPr>
                <w:sz w:val="16"/>
              </w:rPr>
              <w:t>Chief Risk &amp; Compliance Officer</w:t>
            </w:r>
          </w:p>
        </w:tc>
        <w:tc>
          <w:tcPr>
            <w:tcW w:type="dxa" w:w="2520"/>
            <w:tcMar>
              <w:top w:w="80" w:type="dxa"/>
              <w:start w:w="100" w:type="dxa"/>
              <w:bottom w:w="80" w:type="dxa"/>
              <w:end w:w="100" w:type="dxa"/>
            </w:tcMar>
            <w:vAlign w:val="top"/>
          </w:tcPr>
          <w:p>
            <w:pPr>
              <w:spacing w:after="0"/>
            </w:pPr>
            <w:r>
              <w:rPr>
                <w:sz w:val="16"/>
              </w:rPr>
              <w:t>CEO / Executive Steering</w:t>
            </w:r>
          </w:p>
        </w:tc>
        <w:tc>
          <w:tcPr>
            <w:tcW w:type="dxa" w:w="2448"/>
            <w:tcMar>
              <w:top w:w="80" w:type="dxa"/>
              <w:start w:w="100" w:type="dxa"/>
              <w:bottom w:w="80" w:type="dxa"/>
              <w:end w:w="100" w:type="dxa"/>
            </w:tcMar>
            <w:vAlign w:val="top"/>
          </w:tcPr>
          <w:p>
            <w:pPr>
              <w:spacing w:after="0"/>
            </w:pPr>
            <w:r>
              <w:rPr>
                <w:sz w:val="16"/>
              </w:rPr>
              <w:t>At least annually and on material change</w:t>
            </w:r>
          </w:p>
        </w:tc>
      </w:tr>
    </w:tbl>
    <w:p>
      <w:pPr>
        <w:widowControl/>
        <w:spacing w:after="20"/>
      </w:pPr>
    </w:p>
    <w:p>
      <w:pPr>
        <w:pStyle w:val="Callout"/>
        <w:widowControl/>
        <w:spacing w:after="140"/>
      </w:pPr>
      <w:r>
        <w:rPr>
          <w:b/>
          <w:i w:val="0"/>
          <w:color w:val="2F6F6D"/>
        </w:rPr>
        <w:t xml:space="preserve">Charter statement: </w:t>
      </w:r>
      <w:r>
        <w:rPr>
          <w:b w:val="0"/>
          <w:i w:val="0"/>
        </w:rPr>
        <w:t>Duckworks will enable controlled AI innovation by requiring every material AI use case to be known, owned, assessed, controlled, monitored, and evidenced in proportion to its potential impact.</w:t>
      </w:r>
    </w:p>
    <w:p>
      <w:pPr>
        <w:pStyle w:val="Heading1"/>
        <w:keepNext/>
        <w:widowControl/>
        <w:spacing w:before="160" w:after="80"/>
      </w:pPr>
      <w:r>
        <w:t>1. Purpose and Authority</w:t>
      </w:r>
    </w:p>
    <w:p>
      <w:pPr>
        <w:widowControl/>
      </w:pPr>
      <w:r>
        <w:rPr>
          <w:b/>
        </w:rPr>
        <w:t xml:space="preserve">Purpose. </w:t>
      </w:r>
      <w:r>
        <w:t>This Charter establishes the enterprise-level authority and minimum governance expectations for the acquisition, development, experimentation, deployment, operation, monitoring, significant change, suspension, and retirement of AI systems at Duckworks.</w:t>
      </w:r>
    </w:p>
    <w:p>
      <w:pPr>
        <w:widowControl/>
      </w:pPr>
      <w:r>
        <w:rPr>
          <w:b/>
        </w:rPr>
        <w:t xml:space="preserve">Authority. </w:t>
      </w:r>
      <w:r>
        <w:t>The Charter is intended to operate as a top-level internal governance instrument under Project W.I.N.G. Detailed procedures, controls, committee terms of reference, risk methods, acceptable-use rules, and technical standards are subordinate artifacts and must remain consistent with this Charter.</w:t>
      </w:r>
    </w:p>
    <w:p>
      <w:pPr>
        <w:widowControl/>
      </w:pPr>
      <w:r>
        <w:rPr>
          <w:b/>
        </w:rPr>
        <w:t xml:space="preserve">Portfolio status. </w:t>
      </w:r>
      <w:r>
        <w:t>This document is a fictional portfolio baseline. It demonstrates a proposed governance charter; it is not evidence of approval by a real board, executive committee, regulator, or certification body.</w:t>
      </w:r>
    </w:p>
    <w:p>
      <w:pPr>
        <w:pStyle w:val="Heading1"/>
        <w:keepNext/>
        <w:widowControl/>
        <w:spacing w:before="160" w:after="80"/>
      </w:pPr>
      <w:r>
        <w:t>2. Scope and Applicability</w:t>
      </w:r>
    </w:p>
    <w:p>
      <w:pPr>
        <w:widowControl/>
      </w:pPr>
      <w:r>
        <w:t>This Charter applies to material AI use across Duckworks, including:</w:t>
      </w:r>
    </w:p>
    <w:p>
      <w:pPr>
        <w:pStyle w:val="ListBullet"/>
        <w:widowControl/>
        <w:spacing w:after="40"/>
      </w:pPr>
      <w:r>
        <w:t>internally developed AI and machine-learning systems;</w:t>
      </w:r>
    </w:p>
    <w:p>
      <w:pPr>
        <w:pStyle w:val="ListBullet"/>
        <w:widowControl/>
        <w:spacing w:after="40"/>
      </w:pPr>
      <w:r>
        <w:t>third-party AI services, hosted models, APIs, and AI-enabled SaaS products;</w:t>
      </w:r>
    </w:p>
    <w:p>
      <w:pPr>
        <w:pStyle w:val="ListBullet"/>
        <w:widowControl/>
        <w:spacing w:after="40"/>
      </w:pPr>
      <w:r>
        <w:t>AI embedded in business processes, engineering workflows, products, or manufacturing activities;</w:t>
      </w:r>
    </w:p>
    <w:p>
      <w:pPr>
        <w:pStyle w:val="ListBullet"/>
        <w:widowControl/>
        <w:spacing w:after="40"/>
      </w:pPr>
      <w:r>
        <w:t>generative AI, predictive machine learning, computer vision, and future AI capabilities;</w:t>
      </w:r>
    </w:p>
    <w:p>
      <w:pPr>
        <w:pStyle w:val="ListBullet"/>
        <w:widowControl/>
        <w:spacing w:after="40"/>
      </w:pPr>
      <w:r>
        <w:t>pilots, experiments, proofs of concept, production systems, and material changes to existing systems;</w:t>
      </w:r>
    </w:p>
    <w:p>
      <w:pPr>
        <w:pStyle w:val="ListBullet"/>
        <w:widowControl/>
        <w:spacing w:after="40"/>
      </w:pPr>
      <w:r>
        <w:t>employee use of public or unregistered AI tools where organizational data, decisions, systems, or stakeholders may be affected.</w:t>
      </w:r>
    </w:p>
    <w:p>
      <w:pPr>
        <w:widowControl/>
      </w:pPr>
      <w:r>
        <w:t>The initial governance baseline covers AI-001 through AI-007: DuckDesign AI, QuackBot, FeatherForecast, WingInspect Vision, DuckTalent AI, PondGPT, and Unregistered GenAI Usage. Unregistered GenAI Usage is treated as an organizational condition that must be discovered and decomposed into individual use cases rather than as one homogeneous AI system.</w:t>
      </w:r>
    </w:p>
    <w:p>
      <w:pPr>
        <w:pStyle w:val="Heading1"/>
        <w:keepNext/>
        <w:widowControl/>
        <w:spacing w:before="160" w:after="80"/>
      </w:pPr>
      <w:r>
        <w:t>3. Governance Outcomes</w:t>
      </w:r>
    </w:p>
    <w:p>
      <w:pPr>
        <w:widowControl/>
      </w:pPr>
      <w:r>
        <w:t>For every material AI use case, Duckworks governance should be able to answer and evidence the following:</w:t>
      </w:r>
    </w:p>
    <w:p>
      <w:pPr>
        <w:pStyle w:val="ListNumber"/>
        <w:widowControl/>
        <w:spacing w:after="40"/>
      </w:pPr>
      <w:r>
        <w:t>What is the system and its intended purpose?</w:t>
      </w:r>
    </w:p>
    <w:p>
      <w:pPr>
        <w:pStyle w:val="ListNumber"/>
        <w:widowControl/>
        <w:spacing w:after="40"/>
      </w:pPr>
      <w:r>
        <w:t>Who is accountable for business use and who owns the technology?</w:t>
      </w:r>
    </w:p>
    <w:p>
      <w:pPr>
        <w:pStyle w:val="ListNumber"/>
        <w:widowControl/>
        <w:spacing w:after="40"/>
      </w:pPr>
      <w:r>
        <w:t>Who or what may be affected, and what data is processed?</w:t>
      </w:r>
    </w:p>
    <w:p>
      <w:pPr>
        <w:pStyle w:val="ListNumber"/>
        <w:widowControl/>
        <w:spacing w:after="40"/>
      </w:pPr>
      <w:r>
        <w:t>What can go wrong, what is the current risk, and what treatment is required?</w:t>
      </w:r>
    </w:p>
    <w:p>
      <w:pPr>
        <w:pStyle w:val="ListNumber"/>
        <w:widowControl/>
        <w:spacing w:after="40"/>
      </w:pPr>
      <w:r>
        <w:t>What legal, regulatory, contractual, policy, and framework considerations are relevant?</w:t>
      </w:r>
    </w:p>
    <w:p>
      <w:pPr>
        <w:pStyle w:val="ListNumber"/>
        <w:widowControl/>
        <w:spacing w:after="40"/>
      </w:pPr>
      <w:r>
        <w:t>What controls and human-oversight mechanisms are required and operating?</w:t>
      </w:r>
    </w:p>
    <w:p>
      <w:pPr>
        <w:pStyle w:val="ListNumber"/>
        <w:widowControl/>
        <w:spacing w:after="40"/>
      </w:pPr>
      <w:r>
        <w:t>Who approved the lifecycle decision and under what conditions?</w:t>
      </w:r>
    </w:p>
    <w:p>
      <w:pPr>
        <w:pStyle w:val="ListNumber"/>
        <w:widowControl/>
        <w:spacing w:after="40"/>
      </w:pPr>
      <w:r>
        <w:t>How will the system be monitored, reassessed, suspended, or retired?</w:t>
      </w:r>
    </w:p>
    <w:p>
      <w:pPr>
        <w:pStyle w:val="ListNumber"/>
        <w:widowControl/>
        <w:spacing w:after="40"/>
      </w:pPr>
      <w:r>
        <w:t>What evidence demonstrates that governance requirements are operating?</w:t>
      </w:r>
    </w:p>
    <w:p>
      <w:pPr>
        <w:pStyle w:val="Heading1"/>
        <w:keepNext/>
        <w:widowControl/>
        <w:spacing w:before="160" w:after="80"/>
      </w:pPr>
      <w:r>
        <w:t>4. Duckworks AI Governance Principles</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448"/>
            <w:shd w:fill="18324A"/>
            <w:tcMar>
              <w:top w:w="80" w:type="dxa"/>
              <w:start w:w="100" w:type="dxa"/>
              <w:bottom w:w="80" w:type="dxa"/>
              <w:end w:w="100" w:type="dxa"/>
            </w:tcMar>
            <w:vAlign w:val="center"/>
          </w:tcPr>
          <w:p>
            <w:pPr>
              <w:spacing w:after="0"/>
              <w:jc w:val="left"/>
            </w:pPr>
            <w:r>
              <w:rPr>
                <w:b/>
                <w:color w:val="FFFFFF"/>
                <w:sz w:val="17"/>
              </w:rPr>
              <w:t>Principle</w:t>
            </w:r>
          </w:p>
        </w:tc>
        <w:tc>
          <w:tcPr>
            <w:tcW w:type="dxa" w:w="7704"/>
            <w:shd w:fill="18324A"/>
            <w:tcMar>
              <w:top w:w="80" w:type="dxa"/>
              <w:start w:w="100" w:type="dxa"/>
              <w:bottom w:w="80" w:type="dxa"/>
              <w:end w:w="100" w:type="dxa"/>
            </w:tcMar>
            <w:vAlign w:val="center"/>
          </w:tcPr>
          <w:p>
            <w:pPr>
              <w:spacing w:after="0"/>
              <w:jc w:val="left"/>
            </w:pPr>
            <w:r>
              <w:rPr>
                <w:b/>
                <w:color w:val="FFFFFF"/>
                <w:sz w:val="17"/>
              </w:rPr>
              <w:t>Duckworks Rule</w:t>
            </w:r>
          </w:p>
        </w:tc>
      </w:tr>
      <w:tr>
        <w:trPr>
          <w:cantSplit/>
        </w:trPr>
        <w:tc>
          <w:tcPr>
            <w:tcW w:type="dxa" w:w="2448"/>
            <w:tcMar>
              <w:top w:w="80" w:type="dxa"/>
              <w:start w:w="100" w:type="dxa"/>
              <w:bottom w:w="80" w:type="dxa"/>
              <w:end w:w="100" w:type="dxa"/>
            </w:tcMar>
            <w:vAlign w:val="top"/>
            <w:shd w:fill="EAF0F5"/>
          </w:tcPr>
          <w:p>
            <w:pPr>
              <w:spacing w:after="0"/>
            </w:pPr>
            <w:r>
              <w:rPr>
                <w:sz w:val="17"/>
              </w:rPr>
              <w:t>Controlled innovation</w:t>
            </w:r>
          </w:p>
        </w:tc>
        <w:tc>
          <w:tcPr>
            <w:tcW w:type="dxa" w:w="7704"/>
            <w:tcMar>
              <w:top w:w="80" w:type="dxa"/>
              <w:start w:w="100" w:type="dxa"/>
              <w:bottom w:w="80" w:type="dxa"/>
              <w:end w:w="100" w:type="dxa"/>
            </w:tcMar>
            <w:vAlign w:val="top"/>
          </w:tcPr>
          <w:p>
            <w:pPr>
              <w:spacing w:after="0"/>
            </w:pPr>
            <w:r>
              <w:rPr>
                <w:sz w:val="17"/>
              </w:rPr>
              <w:t>Governance should enable useful experimentation while preventing unmanaged material risk.</w:t>
            </w:r>
          </w:p>
        </w:tc>
      </w:tr>
      <w:tr>
        <w:trPr>
          <w:cantSplit/>
        </w:trPr>
        <w:tc>
          <w:tcPr>
            <w:tcW w:type="dxa" w:w="2448"/>
            <w:tcMar>
              <w:top w:w="80" w:type="dxa"/>
              <w:start w:w="100" w:type="dxa"/>
              <w:bottom w:w="80" w:type="dxa"/>
              <w:end w:w="100" w:type="dxa"/>
            </w:tcMar>
            <w:vAlign w:val="top"/>
            <w:shd w:fill="EAF0F5"/>
          </w:tcPr>
          <w:p>
            <w:pPr>
              <w:spacing w:after="0"/>
            </w:pPr>
            <w:r>
              <w:rPr>
                <w:sz w:val="17"/>
              </w:rPr>
              <w:t>Intended purpose first</w:t>
            </w:r>
          </w:p>
        </w:tc>
        <w:tc>
          <w:tcPr>
            <w:tcW w:type="dxa" w:w="7704"/>
            <w:tcMar>
              <w:top w:w="80" w:type="dxa"/>
              <w:start w:w="100" w:type="dxa"/>
              <w:bottom w:w="80" w:type="dxa"/>
              <w:end w:w="100" w:type="dxa"/>
            </w:tcMar>
            <w:vAlign w:val="top"/>
            <w:shd w:fill="F7F8F9"/>
          </w:tcPr>
          <w:p>
            <w:pPr>
              <w:spacing w:after="0"/>
            </w:pPr>
            <w:r>
              <w:rPr>
                <w:sz w:val="17"/>
              </w:rPr>
              <w:t>Assessment is based on the actual intended use, affected parties, decision role, autonomy, data, and operating context - not merely the model type.</w:t>
            </w:r>
          </w:p>
        </w:tc>
      </w:tr>
      <w:tr>
        <w:trPr>
          <w:cantSplit/>
        </w:trPr>
        <w:tc>
          <w:tcPr>
            <w:tcW w:type="dxa" w:w="2448"/>
            <w:tcMar>
              <w:top w:w="80" w:type="dxa"/>
              <w:start w:w="100" w:type="dxa"/>
              <w:bottom w:w="80" w:type="dxa"/>
              <w:end w:w="100" w:type="dxa"/>
            </w:tcMar>
            <w:vAlign w:val="top"/>
            <w:shd w:fill="EAF0F5"/>
          </w:tcPr>
          <w:p>
            <w:pPr>
              <w:spacing w:after="0"/>
            </w:pPr>
            <w:r>
              <w:rPr>
                <w:sz w:val="17"/>
              </w:rPr>
              <w:t>Proportionality</w:t>
            </w:r>
          </w:p>
        </w:tc>
        <w:tc>
          <w:tcPr>
            <w:tcW w:type="dxa" w:w="7704"/>
            <w:tcMar>
              <w:top w:w="80" w:type="dxa"/>
              <w:start w:w="100" w:type="dxa"/>
              <w:bottom w:w="80" w:type="dxa"/>
              <w:end w:w="100" w:type="dxa"/>
            </w:tcMar>
            <w:vAlign w:val="top"/>
          </w:tcPr>
          <w:p>
            <w:pPr>
              <w:spacing w:after="0"/>
            </w:pPr>
            <w:r>
              <w:rPr>
                <w:sz w:val="17"/>
              </w:rPr>
              <w:t>Governance intensity increases with potential impact, uncertainty, criticality, and regulatory significance.</w:t>
            </w:r>
          </w:p>
        </w:tc>
      </w:tr>
      <w:tr>
        <w:trPr>
          <w:cantSplit/>
        </w:trPr>
        <w:tc>
          <w:tcPr>
            <w:tcW w:type="dxa" w:w="2448"/>
            <w:tcMar>
              <w:top w:w="80" w:type="dxa"/>
              <w:start w:w="100" w:type="dxa"/>
              <w:bottom w:w="80" w:type="dxa"/>
              <w:end w:w="100" w:type="dxa"/>
            </w:tcMar>
            <w:vAlign w:val="top"/>
            <w:shd w:fill="EAF0F5"/>
          </w:tcPr>
          <w:p>
            <w:pPr>
              <w:spacing w:after="0"/>
            </w:pPr>
            <w:r>
              <w:rPr>
                <w:sz w:val="17"/>
              </w:rPr>
              <w:t>Human accountability</w:t>
            </w:r>
          </w:p>
        </w:tc>
        <w:tc>
          <w:tcPr>
            <w:tcW w:type="dxa" w:w="7704"/>
            <w:tcMar>
              <w:top w:w="80" w:type="dxa"/>
              <w:start w:w="100" w:type="dxa"/>
              <w:bottom w:w="80" w:type="dxa"/>
              <w:end w:w="100" w:type="dxa"/>
            </w:tcMar>
            <w:vAlign w:val="top"/>
            <w:shd w:fill="F7F8F9"/>
          </w:tcPr>
          <w:p>
            <w:pPr>
              <w:spacing w:after="0"/>
            </w:pPr>
            <w:r>
              <w:rPr>
                <w:sz w:val="17"/>
              </w:rPr>
              <w:t>Consequential decisions remain assigned to accountable human roles unless a separately approved design lawfully and demonstrably changes that boundary.</w:t>
            </w:r>
          </w:p>
        </w:tc>
      </w:tr>
      <w:tr>
        <w:trPr>
          <w:cantSplit/>
        </w:trPr>
        <w:tc>
          <w:tcPr>
            <w:tcW w:type="dxa" w:w="2448"/>
            <w:tcMar>
              <w:top w:w="80" w:type="dxa"/>
              <w:start w:w="100" w:type="dxa"/>
              <w:bottom w:w="80" w:type="dxa"/>
              <w:end w:w="100" w:type="dxa"/>
            </w:tcMar>
            <w:vAlign w:val="top"/>
            <w:shd w:fill="EAF0F5"/>
          </w:tcPr>
          <w:p>
            <w:pPr>
              <w:spacing w:after="0"/>
            </w:pPr>
            <w:r>
              <w:rPr>
                <w:sz w:val="17"/>
              </w:rPr>
              <w:t>No averaging away severe harm</w:t>
            </w:r>
          </w:p>
        </w:tc>
        <w:tc>
          <w:tcPr>
            <w:tcW w:type="dxa" w:w="7704"/>
            <w:tcMar>
              <w:top w:w="80" w:type="dxa"/>
              <w:start w:w="100" w:type="dxa"/>
              <w:bottom w:w="80" w:type="dxa"/>
              <w:end w:w="100" w:type="dxa"/>
            </w:tcMar>
            <w:vAlign w:val="top"/>
          </w:tcPr>
          <w:p>
            <w:pPr>
              <w:spacing w:after="0"/>
            </w:pPr>
            <w:r>
              <w:rPr>
                <w:sz w:val="17"/>
              </w:rPr>
              <w:t>A severe rights, safety, security, privacy, or product-risk scenario is not diluted by averaging it with lower-impact scenarios.</w:t>
            </w:r>
          </w:p>
        </w:tc>
      </w:tr>
      <w:tr>
        <w:trPr>
          <w:cantSplit/>
        </w:trPr>
        <w:tc>
          <w:tcPr>
            <w:tcW w:type="dxa" w:w="2448"/>
            <w:tcMar>
              <w:top w:w="80" w:type="dxa"/>
              <w:start w:w="100" w:type="dxa"/>
              <w:bottom w:w="80" w:type="dxa"/>
              <w:end w:w="100" w:type="dxa"/>
            </w:tcMar>
            <w:vAlign w:val="top"/>
            <w:shd w:fill="EAF0F5"/>
          </w:tcPr>
          <w:p>
            <w:pPr>
              <w:spacing w:after="0"/>
            </w:pPr>
            <w:r>
              <w:rPr>
                <w:sz w:val="17"/>
              </w:rPr>
              <w:t>Controls require evidence</w:t>
            </w:r>
          </w:p>
        </w:tc>
        <w:tc>
          <w:tcPr>
            <w:tcW w:type="dxa" w:w="7704"/>
            <w:tcMar>
              <w:top w:w="80" w:type="dxa"/>
              <w:start w:w="100" w:type="dxa"/>
              <w:bottom w:w="80" w:type="dxa"/>
              <w:end w:w="100" w:type="dxa"/>
            </w:tcMar>
            <w:vAlign w:val="top"/>
            <w:shd w:fill="F7F8F9"/>
          </w:tcPr>
          <w:p>
            <w:pPr>
              <w:spacing w:after="0"/>
            </w:pPr>
            <w:r>
              <w:rPr>
                <w:sz w:val="17"/>
              </w:rPr>
              <w:t>Planned controls receive no implementation credit; control claims must be supported by traceable evidence.</w:t>
            </w:r>
          </w:p>
        </w:tc>
      </w:tr>
      <w:tr>
        <w:trPr>
          <w:cantSplit/>
        </w:trPr>
        <w:tc>
          <w:tcPr>
            <w:tcW w:type="dxa" w:w="2448"/>
            <w:tcMar>
              <w:top w:w="80" w:type="dxa"/>
              <w:start w:w="100" w:type="dxa"/>
              <w:bottom w:w="80" w:type="dxa"/>
              <w:end w:w="100" w:type="dxa"/>
            </w:tcMar>
            <w:vAlign w:val="top"/>
            <w:shd w:fill="EAF0F5"/>
          </w:tcPr>
          <w:p>
            <w:pPr>
              <w:spacing w:after="0"/>
            </w:pPr>
            <w:r>
              <w:rPr>
                <w:sz w:val="17"/>
              </w:rPr>
              <w:t>Lifecycle governance</w:t>
            </w:r>
          </w:p>
        </w:tc>
        <w:tc>
          <w:tcPr>
            <w:tcW w:type="dxa" w:w="7704"/>
            <w:tcMar>
              <w:top w:w="80" w:type="dxa"/>
              <w:start w:w="100" w:type="dxa"/>
              <w:bottom w:w="80" w:type="dxa"/>
              <w:end w:w="100" w:type="dxa"/>
            </w:tcMar>
            <w:vAlign w:val="top"/>
          </w:tcPr>
          <w:p>
            <w:pPr>
              <w:spacing w:after="0"/>
            </w:pPr>
            <w:r>
              <w:rPr>
                <w:sz w:val="17"/>
              </w:rPr>
              <w:t>Approval is not permanent. Material changes, incidents, drift, vendor changes, data changes, or new legal requirements may trigger reassessment.</w:t>
            </w:r>
          </w:p>
        </w:tc>
      </w:tr>
      <w:tr>
        <w:trPr>
          <w:cantSplit/>
        </w:trPr>
        <w:tc>
          <w:tcPr>
            <w:tcW w:type="dxa" w:w="2448"/>
            <w:tcMar>
              <w:top w:w="80" w:type="dxa"/>
              <w:start w:w="100" w:type="dxa"/>
              <w:bottom w:w="80" w:type="dxa"/>
              <w:end w:w="100" w:type="dxa"/>
            </w:tcMar>
            <w:vAlign w:val="top"/>
            <w:shd w:fill="EAF0F5"/>
          </w:tcPr>
          <w:p>
            <w:pPr>
              <w:spacing w:after="0"/>
            </w:pPr>
            <w:r>
              <w:rPr>
                <w:sz w:val="17"/>
              </w:rPr>
              <w:t>Independent challenge and assurance</w:t>
            </w:r>
          </w:p>
        </w:tc>
        <w:tc>
          <w:tcPr>
            <w:tcW w:type="dxa" w:w="7704"/>
            <w:tcMar>
              <w:top w:w="80" w:type="dxa"/>
              <w:start w:w="100" w:type="dxa"/>
              <w:bottom w:w="80" w:type="dxa"/>
              <w:end w:w="100" w:type="dxa"/>
            </w:tcMar>
            <w:vAlign w:val="top"/>
            <w:shd w:fill="F7F8F9"/>
          </w:tcPr>
          <w:p>
            <w:pPr>
              <w:spacing w:after="0"/>
            </w:pPr>
            <w:r>
              <w:rPr>
                <w:sz w:val="17"/>
              </w:rPr>
              <w:t>First-line ownership, second-line challenge, and third-line assurance remain distinct.</w:t>
            </w:r>
          </w:p>
        </w:tc>
      </w:tr>
      <w:tr>
        <w:trPr>
          <w:cantSplit/>
        </w:trPr>
        <w:tc>
          <w:tcPr>
            <w:tcW w:type="dxa" w:w="2448"/>
            <w:tcMar>
              <w:top w:w="80" w:type="dxa"/>
              <w:start w:w="100" w:type="dxa"/>
              <w:bottom w:w="80" w:type="dxa"/>
              <w:end w:w="100" w:type="dxa"/>
            </w:tcMar>
            <w:vAlign w:val="top"/>
            <w:shd w:fill="EAF0F5"/>
          </w:tcPr>
          <w:p>
            <w:pPr>
              <w:spacing w:after="0"/>
            </w:pPr>
            <w:r>
              <w:rPr>
                <w:sz w:val="17"/>
              </w:rPr>
              <w:t>Risk rating is not legal classification</w:t>
            </w:r>
          </w:p>
        </w:tc>
        <w:tc>
          <w:tcPr>
            <w:tcW w:type="dxa" w:w="7704"/>
            <w:tcMar>
              <w:top w:w="80" w:type="dxa"/>
              <w:start w:w="100" w:type="dxa"/>
              <w:bottom w:w="80" w:type="dxa"/>
              <w:end w:w="100" w:type="dxa"/>
            </w:tcMar>
            <w:vAlign w:val="top"/>
          </w:tcPr>
          <w:p>
            <w:pPr>
              <w:spacing w:after="0"/>
            </w:pPr>
            <w:r>
              <w:rPr>
                <w:sz w:val="17"/>
              </w:rPr>
              <w:t>Duckworks internal Low/Moderate/High/Critical ratings are enterprise risk decisions and must not be presented as statutory AI classifications.</w:t>
            </w:r>
          </w:p>
        </w:tc>
      </w:tr>
    </w:tbl>
    <w:p>
      <w:pPr>
        <w:widowControl/>
        <w:spacing w:after="20"/>
      </w:pPr>
    </w:p>
    <w:p>
      <w:pPr>
        <w:pStyle w:val="Heading1"/>
        <w:keepNext/>
        <w:widowControl/>
        <w:spacing w:before="160" w:after="80"/>
      </w:pPr>
      <w:r>
        <w:t>5. Governance Model and Accountability</w:t>
      </w:r>
    </w:p>
    <w:p>
      <w:pPr>
        <w:widowControl/>
      </w:pPr>
      <w:r>
        <w:t>Duckworks applies a three-lines governance model with executive sponsorship and affected-stakeholder input.</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312"/>
            <w:shd w:fill="18324A"/>
            <w:tcMar>
              <w:top w:w="80" w:type="dxa"/>
              <w:start w:w="100" w:type="dxa"/>
              <w:bottom w:w="80" w:type="dxa"/>
              <w:end w:w="100" w:type="dxa"/>
            </w:tcMar>
            <w:vAlign w:val="center"/>
          </w:tcPr>
          <w:p>
            <w:pPr>
              <w:spacing w:after="0"/>
              <w:jc w:val="left"/>
            </w:pPr>
            <w:r>
              <w:rPr>
                <w:b/>
                <w:color w:val="FFFFFF"/>
                <w:sz w:val="17"/>
              </w:rPr>
              <w:t>Role / Body</w:t>
            </w:r>
          </w:p>
        </w:tc>
        <w:tc>
          <w:tcPr>
            <w:tcW w:type="dxa" w:w="6840"/>
            <w:shd w:fill="18324A"/>
            <w:tcMar>
              <w:top w:w="80" w:type="dxa"/>
              <w:start w:w="100" w:type="dxa"/>
              <w:bottom w:w="80" w:type="dxa"/>
              <w:end w:w="100" w:type="dxa"/>
            </w:tcMar>
            <w:vAlign w:val="center"/>
          </w:tcPr>
          <w:p>
            <w:pPr>
              <w:spacing w:after="0"/>
              <w:jc w:val="left"/>
            </w:pPr>
            <w:r>
              <w:rPr>
                <w:b/>
                <w:color w:val="FFFFFF"/>
                <w:sz w:val="17"/>
              </w:rPr>
              <w:t>Primary Governance Accountability</w:t>
            </w:r>
          </w:p>
        </w:tc>
      </w:tr>
      <w:tr>
        <w:trPr>
          <w:cantSplit/>
        </w:trPr>
        <w:tc>
          <w:tcPr>
            <w:tcW w:type="dxa" w:w="3312"/>
            <w:tcMar>
              <w:top w:w="80" w:type="dxa"/>
              <w:start w:w="100" w:type="dxa"/>
              <w:bottom w:w="80" w:type="dxa"/>
              <w:end w:w="100" w:type="dxa"/>
            </w:tcMar>
            <w:vAlign w:val="top"/>
            <w:shd w:fill="EAF0F5"/>
          </w:tcPr>
          <w:p>
            <w:pPr>
              <w:spacing w:after="0"/>
            </w:pPr>
            <w:r>
              <w:rPr>
                <w:sz w:val="17"/>
              </w:rPr>
              <w:t>Executive Sponsor - CEO</w:t>
            </w:r>
          </w:p>
        </w:tc>
        <w:tc>
          <w:tcPr>
            <w:tcW w:type="dxa" w:w="6840"/>
            <w:tcMar>
              <w:top w:w="80" w:type="dxa"/>
              <w:start w:w="100" w:type="dxa"/>
              <w:bottom w:w="80" w:type="dxa"/>
              <w:end w:w="100" w:type="dxa"/>
            </w:tcMar>
            <w:vAlign w:val="top"/>
          </w:tcPr>
          <w:p>
            <w:pPr>
              <w:spacing w:after="0"/>
            </w:pPr>
            <w:r>
              <w:rPr>
                <w:sz w:val="17"/>
              </w:rPr>
              <w:t>Sets enterprise ambition, resolves major conflicts, and receives escalation of material risk outside delegated authority.</w:t>
            </w:r>
          </w:p>
        </w:tc>
      </w:tr>
      <w:tr>
        <w:trPr>
          <w:cantSplit/>
        </w:trPr>
        <w:tc>
          <w:tcPr>
            <w:tcW w:type="dxa" w:w="3312"/>
            <w:tcMar>
              <w:top w:w="80" w:type="dxa"/>
              <w:start w:w="100" w:type="dxa"/>
              <w:bottom w:w="80" w:type="dxa"/>
              <w:end w:w="100" w:type="dxa"/>
            </w:tcMar>
            <w:vAlign w:val="top"/>
            <w:shd w:fill="EAF0F5"/>
          </w:tcPr>
          <w:p>
            <w:pPr>
              <w:spacing w:after="0"/>
            </w:pPr>
            <w:r>
              <w:rPr>
                <w:sz w:val="17"/>
              </w:rPr>
              <w:t>Chief Risk &amp; Compliance Officer</w:t>
            </w:r>
          </w:p>
        </w:tc>
        <w:tc>
          <w:tcPr>
            <w:tcW w:type="dxa" w:w="6840"/>
            <w:tcMar>
              <w:top w:w="80" w:type="dxa"/>
              <w:start w:w="100" w:type="dxa"/>
              <w:bottom w:w="80" w:type="dxa"/>
              <w:end w:w="100" w:type="dxa"/>
            </w:tcMar>
            <w:vAlign w:val="top"/>
            <w:shd w:fill="F7F8F9"/>
          </w:tcPr>
          <w:p>
            <w:pPr>
              <w:spacing w:after="0"/>
            </w:pPr>
            <w:r>
              <w:rPr>
                <w:sz w:val="17"/>
              </w:rPr>
              <w:t>Governance sponsor; chairs the AI Governance Committee and owns policy, risk methodology, and escalation model.</w:t>
            </w:r>
          </w:p>
        </w:tc>
      </w:tr>
      <w:tr>
        <w:trPr>
          <w:cantSplit/>
        </w:trPr>
        <w:tc>
          <w:tcPr>
            <w:tcW w:type="dxa" w:w="3312"/>
            <w:tcMar>
              <w:top w:w="80" w:type="dxa"/>
              <w:start w:w="100" w:type="dxa"/>
              <w:bottom w:w="80" w:type="dxa"/>
              <w:end w:w="100" w:type="dxa"/>
            </w:tcMar>
            <w:vAlign w:val="top"/>
            <w:shd w:fill="EAF0F5"/>
          </w:tcPr>
          <w:p>
            <w:pPr>
              <w:spacing w:after="0"/>
            </w:pPr>
            <w:r>
              <w:rPr>
                <w:sz w:val="17"/>
              </w:rPr>
              <w:t>AI Governance Lead</w:t>
            </w:r>
          </w:p>
        </w:tc>
        <w:tc>
          <w:tcPr>
            <w:tcW w:type="dxa" w:w="6840"/>
            <w:tcMar>
              <w:top w:w="80" w:type="dxa"/>
              <w:start w:w="100" w:type="dxa"/>
              <w:bottom w:w="80" w:type="dxa"/>
              <w:end w:w="100" w:type="dxa"/>
            </w:tcMar>
            <w:vAlign w:val="top"/>
          </w:tcPr>
          <w:p>
            <w:pPr>
              <w:spacing w:after="0"/>
            </w:pPr>
            <w:r>
              <w:rPr>
                <w:sz w:val="17"/>
              </w:rPr>
              <w:t>Maintains the AI inventory, coordinates assessments, committee packs, evidence, reporting, and charter maintenance.</w:t>
            </w:r>
          </w:p>
        </w:tc>
      </w:tr>
      <w:tr>
        <w:trPr>
          <w:cantSplit/>
        </w:trPr>
        <w:tc>
          <w:tcPr>
            <w:tcW w:type="dxa" w:w="3312"/>
            <w:tcMar>
              <w:top w:w="80" w:type="dxa"/>
              <w:start w:w="100" w:type="dxa"/>
              <w:bottom w:w="80" w:type="dxa"/>
              <w:end w:w="100" w:type="dxa"/>
            </w:tcMar>
            <w:vAlign w:val="top"/>
            <w:shd w:fill="EAF0F5"/>
          </w:tcPr>
          <w:p>
            <w:pPr>
              <w:spacing w:after="0"/>
            </w:pPr>
            <w:r>
              <w:rPr>
                <w:sz w:val="17"/>
              </w:rPr>
              <w:t>Business / AI System Owner</w:t>
            </w:r>
          </w:p>
        </w:tc>
        <w:tc>
          <w:tcPr>
            <w:tcW w:type="dxa" w:w="6840"/>
            <w:tcMar>
              <w:top w:w="80" w:type="dxa"/>
              <w:start w:w="100" w:type="dxa"/>
              <w:bottom w:w="80" w:type="dxa"/>
              <w:end w:w="100" w:type="dxa"/>
            </w:tcMar>
            <w:vAlign w:val="top"/>
            <w:shd w:fill="F7F8F9"/>
          </w:tcPr>
          <w:p>
            <w:pPr>
              <w:spacing w:after="0"/>
            </w:pPr>
            <w:r>
              <w:rPr>
                <w:sz w:val="17"/>
              </w:rPr>
              <w:t>Owns intended purpose, business outcomes, operating controls, treatment plan, and risk acceptance request.</w:t>
            </w:r>
          </w:p>
        </w:tc>
      </w:tr>
      <w:tr>
        <w:trPr>
          <w:cantSplit/>
        </w:trPr>
        <w:tc>
          <w:tcPr>
            <w:tcW w:type="dxa" w:w="3312"/>
            <w:tcMar>
              <w:top w:w="80" w:type="dxa"/>
              <w:start w:w="100" w:type="dxa"/>
              <w:bottom w:w="80" w:type="dxa"/>
              <w:end w:w="100" w:type="dxa"/>
            </w:tcMar>
            <w:vAlign w:val="top"/>
            <w:shd w:fill="EAF0F5"/>
          </w:tcPr>
          <w:p>
            <w:pPr>
              <w:spacing w:after="0"/>
            </w:pPr>
            <w:r>
              <w:rPr>
                <w:sz w:val="17"/>
              </w:rPr>
              <w:t>Technical Owner / Data &amp; AI</w:t>
            </w:r>
          </w:p>
        </w:tc>
        <w:tc>
          <w:tcPr>
            <w:tcW w:type="dxa" w:w="6840"/>
            <w:tcMar>
              <w:top w:w="80" w:type="dxa"/>
              <w:start w:w="100" w:type="dxa"/>
              <w:bottom w:w="80" w:type="dxa"/>
              <w:end w:w="100" w:type="dxa"/>
            </w:tcMar>
            <w:vAlign w:val="top"/>
          </w:tcPr>
          <w:p>
            <w:pPr>
              <w:spacing w:after="0"/>
            </w:pPr>
            <w:r>
              <w:rPr>
                <w:sz w:val="17"/>
              </w:rPr>
              <w:t>Owns architecture, model/service implementation, testing, technical evidence, monitoring design, and change evidence.</w:t>
            </w:r>
          </w:p>
        </w:tc>
      </w:tr>
      <w:tr>
        <w:trPr>
          <w:cantSplit/>
        </w:trPr>
        <w:tc>
          <w:tcPr>
            <w:tcW w:type="dxa" w:w="3312"/>
            <w:tcMar>
              <w:top w:w="80" w:type="dxa"/>
              <w:start w:w="100" w:type="dxa"/>
              <w:bottom w:w="80" w:type="dxa"/>
              <w:end w:w="100" w:type="dxa"/>
            </w:tcMar>
            <w:vAlign w:val="top"/>
            <w:shd w:fill="EAF0F5"/>
          </w:tcPr>
          <w:p>
            <w:pPr>
              <w:spacing w:after="0"/>
            </w:pPr>
            <w:r>
              <w:rPr>
                <w:sz w:val="17"/>
              </w:rPr>
              <w:t>CISO / Information Security</w:t>
            </w:r>
          </w:p>
        </w:tc>
        <w:tc>
          <w:tcPr>
            <w:tcW w:type="dxa" w:w="6840"/>
            <w:tcMar>
              <w:top w:w="80" w:type="dxa"/>
              <w:start w:w="100" w:type="dxa"/>
              <w:bottom w:w="80" w:type="dxa"/>
              <w:end w:w="100" w:type="dxa"/>
            </w:tcMar>
            <w:vAlign w:val="top"/>
            <w:shd w:fill="F7F8F9"/>
          </w:tcPr>
          <w:p>
            <w:pPr>
              <w:spacing w:after="0"/>
            </w:pPr>
            <w:r>
              <w:rPr>
                <w:sz w:val="17"/>
              </w:rPr>
              <w:t>Provides independent security challenge covering AI threats, data leakage, integrations, access, supply chain, and security acceptance criteria.</w:t>
            </w:r>
          </w:p>
        </w:tc>
      </w:tr>
      <w:tr>
        <w:trPr>
          <w:cantSplit/>
        </w:trPr>
        <w:tc>
          <w:tcPr>
            <w:tcW w:type="dxa" w:w="3312"/>
            <w:tcMar>
              <w:top w:w="80" w:type="dxa"/>
              <w:start w:w="100" w:type="dxa"/>
              <w:bottom w:w="80" w:type="dxa"/>
              <w:end w:w="100" w:type="dxa"/>
            </w:tcMar>
            <w:vAlign w:val="top"/>
            <w:shd w:fill="EAF0F5"/>
          </w:tcPr>
          <w:p>
            <w:pPr>
              <w:spacing w:after="0"/>
            </w:pPr>
            <w:r>
              <w:rPr>
                <w:sz w:val="17"/>
              </w:rPr>
              <w:t>Legal / Privacy / HR / Product Safety SMEs</w:t>
            </w:r>
          </w:p>
        </w:tc>
        <w:tc>
          <w:tcPr>
            <w:tcW w:type="dxa" w:w="6840"/>
            <w:tcMar>
              <w:top w:w="80" w:type="dxa"/>
              <w:start w:w="100" w:type="dxa"/>
              <w:bottom w:w="80" w:type="dxa"/>
              <w:end w:w="100" w:type="dxa"/>
            </w:tcMar>
            <w:vAlign w:val="top"/>
          </w:tcPr>
          <w:p>
            <w:pPr>
              <w:spacing w:after="0"/>
            </w:pPr>
            <w:r>
              <w:rPr>
                <w:sz w:val="17"/>
              </w:rPr>
              <w:t>Provide specialist review when legal, personal-data, employment, rights, consumer, product, quality, or safety impacts are relevant.</w:t>
            </w:r>
          </w:p>
        </w:tc>
      </w:tr>
      <w:tr>
        <w:trPr>
          <w:cantSplit/>
        </w:trPr>
        <w:tc>
          <w:tcPr>
            <w:tcW w:type="dxa" w:w="3312"/>
            <w:tcMar>
              <w:top w:w="80" w:type="dxa"/>
              <w:start w:w="100" w:type="dxa"/>
              <w:bottom w:w="80" w:type="dxa"/>
              <w:end w:w="100" w:type="dxa"/>
            </w:tcMar>
            <w:vAlign w:val="top"/>
            <w:shd w:fill="EAF0F5"/>
          </w:tcPr>
          <w:p>
            <w:pPr>
              <w:spacing w:after="0"/>
            </w:pPr>
            <w:r>
              <w:rPr>
                <w:sz w:val="17"/>
              </w:rPr>
              <w:t>AI Governance Committee</w:t>
            </w:r>
          </w:p>
        </w:tc>
        <w:tc>
          <w:tcPr>
            <w:tcW w:type="dxa" w:w="6840"/>
            <w:tcMar>
              <w:top w:w="80" w:type="dxa"/>
              <w:start w:w="100" w:type="dxa"/>
              <w:bottom w:w="80" w:type="dxa"/>
              <w:end w:w="100" w:type="dxa"/>
            </w:tcMar>
            <w:vAlign w:val="top"/>
            <w:shd w:fill="F7F8F9"/>
          </w:tcPr>
          <w:p>
            <w:pPr>
              <w:spacing w:after="0"/>
            </w:pPr>
            <w:r>
              <w:rPr>
                <w:sz w:val="17"/>
              </w:rPr>
              <w:t>Cross-functional decision body for material approvals, High risk treatment, exceptions, incidents, and reassessments within delegated authority.</w:t>
            </w:r>
          </w:p>
        </w:tc>
      </w:tr>
      <w:tr>
        <w:trPr>
          <w:cantSplit/>
        </w:trPr>
        <w:tc>
          <w:tcPr>
            <w:tcW w:type="dxa" w:w="3312"/>
            <w:tcMar>
              <w:top w:w="80" w:type="dxa"/>
              <w:start w:w="100" w:type="dxa"/>
              <w:bottom w:w="80" w:type="dxa"/>
              <w:end w:w="100" w:type="dxa"/>
            </w:tcMar>
            <w:vAlign w:val="top"/>
            <w:shd w:fill="EAF0F5"/>
          </w:tcPr>
          <w:p>
            <w:pPr>
              <w:spacing w:after="0"/>
            </w:pPr>
            <w:r>
              <w:rPr>
                <w:sz w:val="17"/>
              </w:rPr>
              <w:t>Internal Audit</w:t>
            </w:r>
          </w:p>
        </w:tc>
        <w:tc>
          <w:tcPr>
            <w:tcW w:type="dxa" w:w="6840"/>
            <w:tcMar>
              <w:top w:w="80" w:type="dxa"/>
              <w:start w:w="100" w:type="dxa"/>
              <w:bottom w:w="80" w:type="dxa"/>
              <w:end w:w="100" w:type="dxa"/>
            </w:tcMar>
            <w:vAlign w:val="top"/>
          </w:tcPr>
          <w:p>
            <w:pPr>
              <w:spacing w:after="0"/>
            </w:pPr>
            <w:r>
              <w:rPr>
                <w:sz w:val="17"/>
              </w:rPr>
              <w:t>Provides independent assurance over governance and controls; does not own or operate first- or second-line controls.</w:t>
            </w:r>
          </w:p>
        </w:tc>
      </w:tr>
    </w:tbl>
    <w:p>
      <w:pPr>
        <w:widowControl/>
        <w:spacing w:after="20"/>
      </w:pPr>
    </w:p>
    <w:p>
      <w:pPr>
        <w:pStyle w:val="Callout"/>
        <w:widowControl/>
        <w:spacing w:after="140"/>
      </w:pPr>
      <w:r>
        <w:rPr>
          <w:b/>
          <w:i w:val="0"/>
          <w:color w:val="2F6F6D"/>
        </w:rPr>
        <w:t xml:space="preserve">Independence rule: </w:t>
      </w:r>
      <w:r>
        <w:rPr>
          <w:b w:val="0"/>
          <w:i w:val="0"/>
        </w:rPr>
        <w:t>A business or technical owner may propose treatment and risk acceptance, but should not unilaterally self-approve High or Critical residual risk. Internal Audit remains an observer/assurance function rather than a control owner.</w:t>
      </w:r>
    </w:p>
    <w:p>
      <w:pPr>
        <w:pStyle w:val="Heading1"/>
        <w:keepNext/>
        <w:widowControl/>
        <w:spacing w:before="160" w:after="80"/>
      </w:pPr>
      <w:r>
        <w:t>6. Risk-Based Decision Rights and Lifecycle Gates</w:t>
      </w:r>
    </w:p>
    <w:p>
      <w:pPr>
        <w:widowControl/>
      </w:pPr>
      <w:r>
        <w:t>AI use is governed through lifecycle gates. The exact workflow is defined in the Pond-to-Production intake and operating-model artifacts; this Charter sets the minimum decision logic.</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520"/>
            <w:shd w:fill="18324A"/>
            <w:tcMar>
              <w:top w:w="80" w:type="dxa"/>
              <w:start w:w="100" w:type="dxa"/>
              <w:bottom w:w="80" w:type="dxa"/>
              <w:end w:w="100" w:type="dxa"/>
            </w:tcMar>
            <w:vAlign w:val="center"/>
          </w:tcPr>
          <w:p>
            <w:pPr>
              <w:spacing w:after="0"/>
              <w:jc w:val="left"/>
            </w:pPr>
            <w:r>
              <w:rPr>
                <w:b/>
                <w:color w:val="FFFFFF"/>
                <w:sz w:val="17"/>
              </w:rPr>
              <w:t>Lifecycle Gate</w:t>
            </w:r>
          </w:p>
        </w:tc>
        <w:tc>
          <w:tcPr>
            <w:tcW w:type="dxa" w:w="7632"/>
            <w:shd w:fill="18324A"/>
            <w:tcMar>
              <w:top w:w="80" w:type="dxa"/>
              <w:start w:w="100" w:type="dxa"/>
              <w:bottom w:w="80" w:type="dxa"/>
              <w:end w:w="100" w:type="dxa"/>
            </w:tcMar>
            <w:vAlign w:val="center"/>
          </w:tcPr>
          <w:p>
            <w:pPr>
              <w:spacing w:after="0"/>
              <w:jc w:val="left"/>
            </w:pPr>
            <w:r>
              <w:rPr>
                <w:b/>
                <w:color w:val="FFFFFF"/>
                <w:sz w:val="17"/>
              </w:rPr>
              <w:t>Minimum Governance Requirement</w:t>
            </w:r>
          </w:p>
        </w:tc>
      </w:tr>
      <w:tr>
        <w:trPr>
          <w:cantSplit/>
        </w:trPr>
        <w:tc>
          <w:tcPr>
            <w:tcW w:type="dxa" w:w="2520"/>
            <w:tcMar>
              <w:top w:w="80" w:type="dxa"/>
              <w:start w:w="100" w:type="dxa"/>
              <w:bottom w:w="80" w:type="dxa"/>
              <w:end w:w="100" w:type="dxa"/>
            </w:tcMar>
            <w:vAlign w:val="top"/>
            <w:shd w:fill="EAF0F5"/>
          </w:tcPr>
          <w:p>
            <w:pPr>
              <w:spacing w:after="0"/>
            </w:pPr>
            <w:r>
              <w:rPr>
                <w:sz w:val="17"/>
              </w:rPr>
              <w:t>1. Discover / Intake</w:t>
            </w:r>
          </w:p>
        </w:tc>
        <w:tc>
          <w:tcPr>
            <w:tcW w:type="dxa" w:w="7632"/>
            <w:tcMar>
              <w:top w:w="80" w:type="dxa"/>
              <w:start w:w="100" w:type="dxa"/>
              <w:bottom w:w="80" w:type="dxa"/>
              <w:end w:w="100" w:type="dxa"/>
            </w:tcMar>
            <w:vAlign w:val="top"/>
          </w:tcPr>
          <w:p>
            <w:pPr>
              <w:spacing w:after="0"/>
            </w:pPr>
            <w:r>
              <w:rPr>
                <w:sz w:val="17"/>
              </w:rPr>
              <w:t>Register the use case; document intended purpose, owner, users, affected parties, data, provider/model, integrations, geography, lifecycle state, and decision role.</w:t>
            </w:r>
          </w:p>
        </w:tc>
      </w:tr>
      <w:tr>
        <w:trPr>
          <w:cantSplit/>
        </w:trPr>
        <w:tc>
          <w:tcPr>
            <w:tcW w:type="dxa" w:w="2520"/>
            <w:tcMar>
              <w:top w:w="80" w:type="dxa"/>
              <w:start w:w="100" w:type="dxa"/>
              <w:bottom w:w="80" w:type="dxa"/>
              <w:end w:w="100" w:type="dxa"/>
            </w:tcMar>
            <w:vAlign w:val="top"/>
            <w:shd w:fill="EAF0F5"/>
          </w:tcPr>
          <w:p>
            <w:pPr>
              <w:spacing w:after="0"/>
            </w:pPr>
            <w:r>
              <w:rPr>
                <w:sz w:val="17"/>
              </w:rPr>
              <w:t>2. Triage</w:t>
            </w:r>
          </w:p>
        </w:tc>
        <w:tc>
          <w:tcPr>
            <w:tcW w:type="dxa" w:w="7632"/>
            <w:tcMar>
              <w:top w:w="80" w:type="dxa"/>
              <w:start w:w="100" w:type="dxa"/>
              <w:bottom w:w="80" w:type="dxa"/>
              <w:end w:w="100" w:type="dxa"/>
            </w:tcMar>
            <w:vAlign w:val="top"/>
            <w:shd w:fill="F7F8F9"/>
          </w:tcPr>
          <w:p>
            <w:pPr>
              <w:spacing w:after="0"/>
            </w:pPr>
            <w:r>
              <w:rPr>
                <w:sz w:val="17"/>
              </w:rPr>
              <w:t>Determine whether specialist legal, privacy, security, HR, product-safety, or third-party review is required. Perform legal/regulatory screening separately from internal risk scoring.</w:t>
            </w:r>
          </w:p>
        </w:tc>
      </w:tr>
      <w:tr>
        <w:trPr>
          <w:cantSplit/>
        </w:trPr>
        <w:tc>
          <w:tcPr>
            <w:tcW w:type="dxa" w:w="2520"/>
            <w:tcMar>
              <w:top w:w="80" w:type="dxa"/>
              <w:start w:w="100" w:type="dxa"/>
              <w:bottom w:w="80" w:type="dxa"/>
              <w:end w:w="100" w:type="dxa"/>
            </w:tcMar>
            <w:vAlign w:val="top"/>
            <w:shd w:fill="EAF0F5"/>
          </w:tcPr>
          <w:p>
            <w:pPr>
              <w:spacing w:after="0"/>
            </w:pPr>
            <w:r>
              <w:rPr>
                <w:sz w:val="17"/>
              </w:rPr>
              <w:t>3. Assess</w:t>
            </w:r>
          </w:p>
        </w:tc>
        <w:tc>
          <w:tcPr>
            <w:tcW w:type="dxa" w:w="7632"/>
            <w:tcMar>
              <w:top w:w="80" w:type="dxa"/>
              <w:start w:w="100" w:type="dxa"/>
              <w:bottom w:w="80" w:type="dxa"/>
              <w:end w:w="100" w:type="dxa"/>
            </w:tcMar>
            <w:vAlign w:val="top"/>
          </w:tcPr>
          <w:p>
            <w:pPr>
              <w:spacing w:after="0"/>
            </w:pPr>
            <w:r>
              <w:rPr>
                <w:sz w:val="17"/>
              </w:rPr>
              <w:t>Complete proportionate impact and risk assessment; identify scenarios, implemented controls, evidence confidence, residual risk, target risk, and treatment.</w:t>
            </w:r>
          </w:p>
        </w:tc>
      </w:tr>
      <w:tr>
        <w:trPr>
          <w:cantSplit/>
        </w:trPr>
        <w:tc>
          <w:tcPr>
            <w:tcW w:type="dxa" w:w="2520"/>
            <w:tcMar>
              <w:top w:w="80" w:type="dxa"/>
              <w:start w:w="100" w:type="dxa"/>
              <w:bottom w:w="80" w:type="dxa"/>
              <w:end w:w="100" w:type="dxa"/>
            </w:tcMar>
            <w:vAlign w:val="top"/>
            <w:shd w:fill="EAF0F5"/>
          </w:tcPr>
          <w:p>
            <w:pPr>
              <w:spacing w:after="0"/>
            </w:pPr>
            <w:r>
              <w:rPr>
                <w:sz w:val="17"/>
              </w:rPr>
              <w:t>4. Approve / Restrict / Reject</w:t>
            </w:r>
          </w:p>
        </w:tc>
        <w:tc>
          <w:tcPr>
            <w:tcW w:type="dxa" w:w="7632"/>
            <w:tcMar>
              <w:top w:w="80" w:type="dxa"/>
              <w:start w:w="100" w:type="dxa"/>
              <w:bottom w:w="80" w:type="dxa"/>
              <w:end w:w="100" w:type="dxa"/>
            </w:tcMar>
            <w:vAlign w:val="top"/>
            <w:shd w:fill="F7F8F9"/>
          </w:tcPr>
          <w:p>
            <w:pPr>
              <w:spacing w:after="0"/>
            </w:pPr>
            <w:r>
              <w:rPr>
                <w:sz w:val="17"/>
              </w:rPr>
              <w:t>Record a formal lifecycle decision. Higher-impact uses may require enhanced testing, specialist review, conditions, or production blocking.</w:t>
            </w:r>
          </w:p>
        </w:tc>
      </w:tr>
      <w:tr>
        <w:trPr>
          <w:cantSplit/>
        </w:trPr>
        <w:tc>
          <w:tcPr>
            <w:tcW w:type="dxa" w:w="2520"/>
            <w:tcMar>
              <w:top w:w="80" w:type="dxa"/>
              <w:start w:w="100" w:type="dxa"/>
              <w:bottom w:w="80" w:type="dxa"/>
              <w:end w:w="100" w:type="dxa"/>
            </w:tcMar>
            <w:vAlign w:val="top"/>
            <w:shd w:fill="EAF0F5"/>
          </w:tcPr>
          <w:p>
            <w:pPr>
              <w:spacing w:after="0"/>
            </w:pPr>
            <w:r>
              <w:rPr>
                <w:sz w:val="17"/>
              </w:rPr>
              <w:t>5. Operate / Monitor</w:t>
            </w:r>
          </w:p>
        </w:tc>
        <w:tc>
          <w:tcPr>
            <w:tcW w:type="dxa" w:w="7632"/>
            <w:tcMar>
              <w:top w:w="80" w:type="dxa"/>
              <w:start w:w="100" w:type="dxa"/>
              <w:bottom w:w="80" w:type="dxa"/>
              <w:end w:w="100" w:type="dxa"/>
            </w:tcMar>
            <w:vAlign w:val="top"/>
          </w:tcPr>
          <w:p>
            <w:pPr>
              <w:spacing w:after="0"/>
            </w:pPr>
            <w:r>
              <w:rPr>
                <w:sz w:val="17"/>
              </w:rPr>
              <w:t>Monitor performance, harmful outcomes, security events, complaints, overrides, drift, vendor changes, control status, and evidence.</w:t>
            </w:r>
          </w:p>
        </w:tc>
      </w:tr>
      <w:tr>
        <w:trPr>
          <w:cantSplit/>
        </w:trPr>
        <w:tc>
          <w:tcPr>
            <w:tcW w:type="dxa" w:w="2520"/>
            <w:tcMar>
              <w:top w:w="80" w:type="dxa"/>
              <w:start w:w="100" w:type="dxa"/>
              <w:bottom w:w="80" w:type="dxa"/>
              <w:end w:w="100" w:type="dxa"/>
            </w:tcMar>
            <w:vAlign w:val="top"/>
            <w:shd w:fill="EAF0F5"/>
          </w:tcPr>
          <w:p>
            <w:pPr>
              <w:spacing w:after="0"/>
            </w:pPr>
            <w:r>
              <w:rPr>
                <w:sz w:val="17"/>
              </w:rPr>
              <w:t>6. Reassess / Suspend / Retire</w:t>
            </w:r>
          </w:p>
        </w:tc>
        <w:tc>
          <w:tcPr>
            <w:tcW w:type="dxa" w:w="7632"/>
            <w:tcMar>
              <w:top w:w="80" w:type="dxa"/>
              <w:start w:w="100" w:type="dxa"/>
              <w:bottom w:w="80" w:type="dxa"/>
              <w:end w:w="100" w:type="dxa"/>
            </w:tcMar>
            <w:vAlign w:val="top"/>
            <w:shd w:fill="F7F8F9"/>
          </w:tcPr>
          <w:p>
            <w:pPr>
              <w:spacing w:after="0"/>
            </w:pPr>
            <w:r>
              <w:rPr>
                <w:sz w:val="17"/>
              </w:rPr>
              <w:t>Reassess on material triggers. Suspend or retire systems when risk is outside tolerance, controls fail, assumptions become invalid, or business value no longer justifies exposure.</w:t>
            </w:r>
          </w:p>
        </w:tc>
      </w:tr>
    </w:tbl>
    <w:p>
      <w:pPr>
        <w:widowControl/>
        <w:spacing w:after="20"/>
      </w:pPr>
    </w:p>
    <w:p>
      <w:pPr>
        <w:pStyle w:val="Heading1"/>
        <w:keepNext/>
        <w:widowControl/>
        <w:spacing w:before="160" w:after="80"/>
      </w:pPr>
      <w:r>
        <w:t>7. Minimum Requirements for Material AI</w:t>
      </w:r>
    </w:p>
    <w:p>
      <w:pPr>
        <w:widowControl/>
      </w:pPr>
      <w:r>
        <w:t>Unless a documented proportionality decision permits a simplified route, each material AI system must have the following minimum governance record:</w:t>
      </w:r>
    </w:p>
    <w:p>
      <w:pPr>
        <w:pStyle w:val="ListBullet"/>
        <w:widowControl/>
        <w:spacing w:after="40"/>
      </w:pPr>
      <w:r>
        <w:t>documented intended purpose and decision/support boundary;</w:t>
      </w:r>
    </w:p>
    <w:p>
      <w:pPr>
        <w:pStyle w:val="ListBullet"/>
        <w:widowControl/>
        <w:spacing w:after="40"/>
      </w:pPr>
      <w:r>
        <w:t>named business owner and technical owner;</w:t>
      </w:r>
    </w:p>
    <w:p>
      <w:pPr>
        <w:pStyle w:val="ListBullet"/>
        <w:widowControl/>
        <w:spacing w:after="40"/>
      </w:pPr>
      <w:r>
        <w:t>current AI inventory entry and lifecycle status;</w:t>
      </w:r>
    </w:p>
    <w:p>
      <w:pPr>
        <w:pStyle w:val="ListBullet"/>
        <w:widowControl/>
        <w:spacing w:after="40"/>
      </w:pPr>
      <w:r>
        <w:t>identified users, affected persons/groups, data categories, third parties, and integrations;</w:t>
      </w:r>
    </w:p>
    <w:p>
      <w:pPr>
        <w:pStyle w:val="ListBullet"/>
        <w:widowControl/>
        <w:spacing w:after="40"/>
      </w:pPr>
      <w:r>
        <w:t>internal risk classification and risk assessment as required by the methodology;</w:t>
      </w:r>
    </w:p>
    <w:p>
      <w:pPr>
        <w:pStyle w:val="ListBullet"/>
        <w:widowControl/>
        <w:spacing w:after="40"/>
      </w:pPr>
      <w:r>
        <w:t>AI impact assessment where required by impact and governance criteria;</w:t>
      </w:r>
    </w:p>
    <w:p>
      <w:pPr>
        <w:pStyle w:val="ListBullet"/>
        <w:widowControl/>
        <w:spacing w:after="40"/>
      </w:pPr>
      <w:r>
        <w:t>separate legal/regulatory triage and identified specialist reviews;</w:t>
      </w:r>
    </w:p>
    <w:p>
      <w:pPr>
        <w:pStyle w:val="ListBullet"/>
        <w:widowControl/>
        <w:spacing w:after="40"/>
      </w:pPr>
      <w:r>
        <w:t>defined human-oversight arrangements for consequential decisions;</w:t>
      </w:r>
    </w:p>
    <w:p>
      <w:pPr>
        <w:pStyle w:val="ListBullet"/>
        <w:widowControl/>
        <w:spacing w:after="40"/>
      </w:pPr>
      <w:r>
        <w:t>required controls, owners, implementation status, and evidence expectations;</w:t>
      </w:r>
    </w:p>
    <w:p>
      <w:pPr>
        <w:pStyle w:val="ListBullet"/>
        <w:widowControl/>
        <w:spacing w:after="40"/>
      </w:pPr>
      <w:r>
        <w:t>documented approval, restriction, rejection, suspension, or retirement decision;</w:t>
      </w:r>
    </w:p>
    <w:p>
      <w:pPr>
        <w:pStyle w:val="ListBullet"/>
        <w:widowControl/>
        <w:spacing w:after="40"/>
      </w:pPr>
      <w:r>
        <w:t>monitoring requirements, reassessment triggers, and next review date;</w:t>
      </w:r>
    </w:p>
    <w:p>
      <w:pPr>
        <w:pStyle w:val="ListBullet"/>
        <w:widowControl/>
        <w:spacing w:after="40"/>
      </w:pPr>
      <w:r>
        <w:t>traceable evidence supporting material governance conclusions.</w:t>
      </w:r>
    </w:p>
    <w:p>
      <w:pPr>
        <w:pStyle w:val="Heading1"/>
        <w:keepNext/>
        <w:widowControl/>
        <w:spacing w:before="160" w:after="80"/>
      </w:pPr>
      <w:r>
        <w:t>8. Enhanced Governance Triggers</w:t>
      </w:r>
    </w:p>
    <w:p>
      <w:pPr>
        <w:widowControl/>
      </w:pPr>
      <w:r>
        <w:t>Enhanced review is required when one or more of the following conditions are present:</w:t>
      </w:r>
    </w:p>
    <w:p>
      <w:pPr>
        <w:pStyle w:val="ListBullet"/>
        <w:widowControl/>
        <w:spacing w:after="40"/>
      </w:pPr>
      <w:r>
        <w:t>material impact on employment, access to opportunity, fundamental rights, or vulnerable individuals;</w:t>
      </w:r>
    </w:p>
    <w:p>
      <w:pPr>
        <w:pStyle w:val="ListBullet"/>
        <w:widowControl/>
        <w:spacing w:after="40"/>
      </w:pPr>
      <w:r>
        <w:t>potential product-safety, quality, physical-harm, or safety-function consequences;</w:t>
      </w:r>
    </w:p>
    <w:p>
      <w:pPr>
        <w:pStyle w:val="ListBullet"/>
        <w:widowControl/>
        <w:spacing w:after="40"/>
      </w:pPr>
      <w:r>
        <w:t>High or Critical current residual risk under the Duckworks risk methodology;</w:t>
      </w:r>
    </w:p>
    <w:p>
      <w:pPr>
        <w:pStyle w:val="ListBullet"/>
        <w:widowControl/>
        <w:spacing w:after="40"/>
      </w:pPr>
      <w:r>
        <w:t>personal, sensitive, confidential, intellectual-property, or restricted-data exposure;</w:t>
      </w:r>
    </w:p>
    <w:p>
      <w:pPr>
        <w:pStyle w:val="ListBullet"/>
        <w:widowControl/>
        <w:spacing w:after="40"/>
      </w:pPr>
      <w:r>
        <w:t>customer-facing generative AI capable of providing consequential technical or warranty guidance;</w:t>
      </w:r>
    </w:p>
    <w:p>
      <w:pPr>
        <w:pStyle w:val="ListBullet"/>
        <w:widowControl/>
        <w:spacing w:after="40"/>
      </w:pPr>
      <w:r>
        <w:t>high autonomy, weak or unvalidated human oversight, or material automation-bias risk;</w:t>
      </w:r>
    </w:p>
    <w:p>
      <w:pPr>
        <w:pStyle w:val="ListBullet"/>
        <w:widowControl/>
        <w:spacing w:after="40"/>
      </w:pPr>
      <w:r>
        <w:t>significant third-party/model dependency, opaque data use, or weak contractual protections;</w:t>
      </w:r>
    </w:p>
    <w:p>
      <w:pPr>
        <w:pStyle w:val="ListBullet"/>
        <w:widowControl/>
        <w:spacing w:after="40"/>
      </w:pPr>
      <w:r>
        <w:t>material security exposure, including prompt injection, retrieval poisoning, unsafe generated code, excessive permissions, insecure integrations, or model supply-chain risk;</w:t>
      </w:r>
    </w:p>
    <w:p>
      <w:pPr>
        <w:pStyle w:val="ListBullet"/>
        <w:widowControl/>
        <w:spacing w:after="40"/>
      </w:pPr>
      <w:r>
        <w:t>potential prohibited or high-risk legal classification or other material regulatory uncertainty.</w:t>
      </w:r>
    </w:p>
    <w:p>
      <w:pPr>
        <w:pStyle w:val="Heading1"/>
        <w:keepNext/>
        <w:widowControl/>
        <w:spacing w:before="160" w:after="80"/>
      </w:pPr>
      <w:r>
        <w:t>9. Human Oversight and Decision Integrity</w:t>
      </w:r>
    </w:p>
    <w:p>
      <w:pPr>
        <w:widowControl/>
      </w:pPr>
      <w:r>
        <w:t>Human oversight must be meaningful rather than nominal. Where AI supports consequential decisions, the operating design must identify:</w:t>
      </w:r>
    </w:p>
    <w:p>
      <w:pPr>
        <w:pStyle w:val="ListBullet"/>
        <w:widowControl/>
        <w:spacing w:after="40"/>
      </w:pPr>
      <w:r>
        <w:t>the competent role authorized to review the AI output;</w:t>
      </w:r>
    </w:p>
    <w:p>
      <w:pPr>
        <w:pStyle w:val="ListBullet"/>
        <w:widowControl/>
        <w:spacing w:after="40"/>
      </w:pPr>
      <w:r>
        <w:t>the reviewer's authority to override, reject, pause, or escalate the output;</w:t>
      </w:r>
    </w:p>
    <w:p>
      <w:pPr>
        <w:pStyle w:val="ListBullet"/>
        <w:widowControl/>
        <w:spacing w:after="40"/>
      </w:pPr>
      <w:r>
        <w:t>the information and explanation required for informed review;</w:t>
      </w:r>
    </w:p>
    <w:p>
      <w:pPr>
        <w:pStyle w:val="ListBullet"/>
        <w:widowControl/>
        <w:spacing w:after="40"/>
      </w:pPr>
      <w:r>
        <w:t>controls against automation bias and inappropriate deference to AI;</w:t>
      </w:r>
    </w:p>
    <w:p>
      <w:pPr>
        <w:pStyle w:val="ListBullet"/>
        <w:widowControl/>
        <w:spacing w:after="40"/>
      </w:pPr>
      <w:r>
        <w:t>the method for recording material overrides, escalations, and exceptional decisions;</w:t>
      </w:r>
    </w:p>
    <w:p>
      <w:pPr>
        <w:pStyle w:val="ListBullet"/>
        <w:widowControl/>
        <w:spacing w:after="40"/>
      </w:pPr>
      <w:r>
        <w:t>fallback procedures when the AI system is unavailable, unreliable, or outside validated operating conditions;</w:t>
      </w:r>
    </w:p>
    <w:p>
      <w:pPr>
        <w:pStyle w:val="ListBullet"/>
        <w:widowControl/>
        <w:spacing w:after="40"/>
      </w:pPr>
      <w:r>
        <w:t>contestability or complaint routes where individuals may be materially affected.</w:t>
      </w:r>
    </w:p>
    <w:p>
      <w:pPr>
        <w:pStyle w:val="Callout"/>
        <w:widowControl/>
        <w:spacing w:after="140"/>
      </w:pPr>
      <w:r>
        <w:rPr>
          <w:b/>
          <w:i w:val="0"/>
          <w:color w:val="2F6F6D"/>
        </w:rPr>
        <w:t xml:space="preserve">Critical assumption: </w:t>
      </w:r>
      <w:r>
        <w:rPr>
          <w:b w:val="0"/>
          <w:i w:val="0"/>
        </w:rPr>
        <w:t>The project assumption that humans retain formal accountability for employment, product release, quality, procurement, and material customer decisions remains system-specific and must be validated. A change in decision authority is a reassessment trigger.</w:t>
      </w:r>
    </w:p>
    <w:p>
      <w:pPr>
        <w:pStyle w:val="Heading1"/>
        <w:keepNext/>
        <w:widowControl/>
        <w:spacing w:before="160" w:after="80"/>
      </w:pPr>
      <w:r>
        <w:t>10. Security, Privacy, Data and Third-Party Governance</w:t>
      </w:r>
    </w:p>
    <w:p>
      <w:pPr>
        <w:widowControl/>
      </w:pPr>
      <w:r>
        <w:t>AI governance must integrate with existing enterprise security, privacy, procurement, vendor-management, product-engineering, change-management, incident-management, business-continuity, and internal-audit processes rather than duplicating them.</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520"/>
            <w:shd w:fill="18324A"/>
            <w:tcMar>
              <w:top w:w="80" w:type="dxa"/>
              <w:start w:w="100" w:type="dxa"/>
              <w:bottom w:w="80" w:type="dxa"/>
              <w:end w:w="100" w:type="dxa"/>
            </w:tcMar>
            <w:vAlign w:val="center"/>
          </w:tcPr>
          <w:p>
            <w:pPr>
              <w:spacing w:after="0"/>
              <w:jc w:val="left"/>
            </w:pPr>
            <w:r>
              <w:rPr>
                <w:b/>
                <w:color w:val="FFFFFF"/>
                <w:sz w:val="17"/>
              </w:rPr>
              <w:t>Domain</w:t>
            </w:r>
          </w:p>
        </w:tc>
        <w:tc>
          <w:tcPr>
            <w:tcW w:type="dxa" w:w="7632"/>
            <w:shd w:fill="18324A"/>
            <w:tcMar>
              <w:top w:w="80" w:type="dxa"/>
              <w:start w:w="100" w:type="dxa"/>
              <w:bottom w:w="80" w:type="dxa"/>
              <w:end w:w="100" w:type="dxa"/>
            </w:tcMar>
            <w:vAlign w:val="center"/>
          </w:tcPr>
          <w:p>
            <w:pPr>
              <w:spacing w:after="0"/>
              <w:jc w:val="left"/>
            </w:pPr>
            <w:r>
              <w:rPr>
                <w:b/>
                <w:color w:val="FFFFFF"/>
                <w:sz w:val="17"/>
              </w:rPr>
              <w:t>Charter Requirement</w:t>
            </w:r>
          </w:p>
        </w:tc>
      </w:tr>
      <w:tr>
        <w:trPr>
          <w:cantSplit/>
        </w:trPr>
        <w:tc>
          <w:tcPr>
            <w:tcW w:type="dxa" w:w="2520"/>
            <w:tcMar>
              <w:top w:w="80" w:type="dxa"/>
              <w:start w:w="100" w:type="dxa"/>
              <w:bottom w:w="80" w:type="dxa"/>
              <w:end w:w="100" w:type="dxa"/>
            </w:tcMar>
            <w:vAlign w:val="top"/>
            <w:shd w:fill="EAF0F5"/>
          </w:tcPr>
          <w:p>
            <w:pPr>
              <w:spacing w:after="0"/>
            </w:pPr>
            <w:r>
              <w:rPr>
                <w:sz w:val="17"/>
              </w:rPr>
              <w:t>Security</w:t>
            </w:r>
          </w:p>
        </w:tc>
        <w:tc>
          <w:tcPr>
            <w:tcW w:type="dxa" w:w="7632"/>
            <w:tcMar>
              <w:top w:w="80" w:type="dxa"/>
              <w:start w:w="100" w:type="dxa"/>
              <w:bottom w:w="80" w:type="dxa"/>
              <w:end w:w="100" w:type="dxa"/>
            </w:tcMar>
            <w:vAlign w:val="top"/>
          </w:tcPr>
          <w:p>
            <w:pPr>
              <w:spacing w:after="0"/>
            </w:pPr>
            <w:r>
              <w:rPr>
                <w:sz w:val="17"/>
              </w:rPr>
              <w:t>Threat modelling, least privilege, secure integrations, access control, logging, prompt/RAG protections where relevant, security testing, incident readiness, and model/supply-chain risk.</w:t>
            </w:r>
          </w:p>
        </w:tc>
      </w:tr>
      <w:tr>
        <w:trPr>
          <w:cantSplit/>
        </w:trPr>
        <w:tc>
          <w:tcPr>
            <w:tcW w:type="dxa" w:w="2520"/>
            <w:tcMar>
              <w:top w:w="80" w:type="dxa"/>
              <w:start w:w="100" w:type="dxa"/>
              <w:bottom w:w="80" w:type="dxa"/>
              <w:end w:w="100" w:type="dxa"/>
            </w:tcMar>
            <w:vAlign w:val="top"/>
            <w:shd w:fill="EAF0F5"/>
          </w:tcPr>
          <w:p>
            <w:pPr>
              <w:spacing w:after="0"/>
            </w:pPr>
            <w:r>
              <w:rPr>
                <w:sz w:val="17"/>
              </w:rPr>
              <w:t>Privacy and data governance</w:t>
            </w:r>
          </w:p>
        </w:tc>
        <w:tc>
          <w:tcPr>
            <w:tcW w:type="dxa" w:w="7632"/>
            <w:tcMar>
              <w:top w:w="80" w:type="dxa"/>
              <w:start w:w="100" w:type="dxa"/>
              <w:bottom w:w="80" w:type="dxa"/>
              <w:end w:w="100" w:type="dxa"/>
            </w:tcMar>
            <w:vAlign w:val="top"/>
            <w:shd w:fill="F7F8F9"/>
          </w:tcPr>
          <w:p>
            <w:pPr>
              <w:spacing w:after="0"/>
            </w:pPr>
            <w:r>
              <w:rPr>
                <w:sz w:val="17"/>
              </w:rPr>
              <w:t>Lawful and authorized data use, minimization, confidentiality, provenance, quality, retention, access boundaries, and appropriate privacy review for personal-data processing.</w:t>
            </w:r>
          </w:p>
        </w:tc>
      </w:tr>
      <w:tr>
        <w:trPr>
          <w:cantSplit/>
        </w:trPr>
        <w:tc>
          <w:tcPr>
            <w:tcW w:type="dxa" w:w="2520"/>
            <w:tcMar>
              <w:top w:w="80" w:type="dxa"/>
              <w:start w:w="100" w:type="dxa"/>
              <w:bottom w:w="80" w:type="dxa"/>
              <w:end w:w="100" w:type="dxa"/>
            </w:tcMar>
            <w:vAlign w:val="top"/>
            <w:shd w:fill="EAF0F5"/>
          </w:tcPr>
          <w:p>
            <w:pPr>
              <w:spacing w:after="0"/>
            </w:pPr>
            <w:r>
              <w:rPr>
                <w:sz w:val="17"/>
              </w:rPr>
              <w:t>Third-party AI</w:t>
            </w:r>
          </w:p>
        </w:tc>
        <w:tc>
          <w:tcPr>
            <w:tcW w:type="dxa" w:w="7632"/>
            <w:tcMar>
              <w:top w:w="80" w:type="dxa"/>
              <w:start w:w="100" w:type="dxa"/>
              <w:bottom w:w="80" w:type="dxa"/>
              <w:end w:w="100" w:type="dxa"/>
            </w:tcMar>
            <w:vAlign w:val="top"/>
          </w:tcPr>
          <w:p>
            <w:pPr>
              <w:spacing w:after="0"/>
            </w:pPr>
            <w:r>
              <w:rPr>
                <w:sz w:val="17"/>
              </w:rPr>
              <w:t>Supplier due diligence covering security, privacy, data use, model training practices, sub-processors, service continuity, change notification, incident notification, IP, contractual protections, and exit arrangements.</w:t>
            </w:r>
          </w:p>
        </w:tc>
      </w:tr>
      <w:tr>
        <w:trPr>
          <w:cantSplit/>
        </w:trPr>
        <w:tc>
          <w:tcPr>
            <w:tcW w:type="dxa" w:w="2520"/>
            <w:tcMar>
              <w:top w:w="80" w:type="dxa"/>
              <w:start w:w="100" w:type="dxa"/>
              <w:bottom w:w="80" w:type="dxa"/>
              <w:end w:w="100" w:type="dxa"/>
            </w:tcMar>
            <w:vAlign w:val="top"/>
            <w:shd w:fill="EAF0F5"/>
          </w:tcPr>
          <w:p>
            <w:pPr>
              <w:spacing w:after="0"/>
            </w:pPr>
            <w:r>
              <w:rPr>
                <w:sz w:val="17"/>
              </w:rPr>
              <w:t>Engineering and product safety</w:t>
            </w:r>
          </w:p>
        </w:tc>
        <w:tc>
          <w:tcPr>
            <w:tcW w:type="dxa" w:w="7632"/>
            <w:tcMar>
              <w:top w:w="80" w:type="dxa"/>
              <w:start w:w="100" w:type="dxa"/>
              <w:bottom w:w="80" w:type="dxa"/>
              <w:end w:w="100" w:type="dxa"/>
            </w:tcMar>
            <w:vAlign w:val="top"/>
            <w:shd w:fill="F7F8F9"/>
          </w:tcPr>
          <w:p>
            <w:pPr>
              <w:spacing w:after="0"/>
            </w:pPr>
            <w:r>
              <w:rPr>
                <w:sz w:val="17"/>
              </w:rPr>
              <w:t>Competent validation, traceability, change control, performance testing, safe fallback, and product-safety review where AI can influence design, inspection, or product behavior.</w:t>
            </w:r>
          </w:p>
        </w:tc>
      </w:tr>
      <w:tr>
        <w:trPr>
          <w:cantSplit/>
        </w:trPr>
        <w:tc>
          <w:tcPr>
            <w:tcW w:type="dxa" w:w="2520"/>
            <w:tcMar>
              <w:top w:w="80" w:type="dxa"/>
              <w:start w:w="100" w:type="dxa"/>
              <w:bottom w:w="80" w:type="dxa"/>
              <w:end w:w="100" w:type="dxa"/>
            </w:tcMar>
            <w:vAlign w:val="top"/>
            <w:shd w:fill="EAF0F5"/>
          </w:tcPr>
          <w:p>
            <w:pPr>
              <w:spacing w:after="0"/>
            </w:pPr>
            <w:r>
              <w:rPr>
                <w:sz w:val="17"/>
              </w:rPr>
              <w:t>Reliability and performance</w:t>
            </w:r>
          </w:p>
        </w:tc>
        <w:tc>
          <w:tcPr>
            <w:tcW w:type="dxa" w:w="7632"/>
            <w:tcMar>
              <w:top w:w="80" w:type="dxa"/>
              <w:start w:w="100" w:type="dxa"/>
              <w:bottom w:w="80" w:type="dxa"/>
              <w:end w:w="100" w:type="dxa"/>
            </w:tcMar>
            <w:vAlign w:val="top"/>
          </w:tcPr>
          <w:p>
            <w:pPr>
              <w:spacing w:after="0"/>
            </w:pPr>
            <w:r>
              <w:rPr>
                <w:sz w:val="17"/>
              </w:rPr>
              <w:t>Validated performance criteria, error analysis, drift monitoring, known limitations, and action thresholds proportionate to the use case.</w:t>
            </w:r>
          </w:p>
        </w:tc>
      </w:tr>
    </w:tbl>
    <w:p>
      <w:pPr>
        <w:widowControl/>
        <w:spacing w:after="20"/>
      </w:pPr>
    </w:p>
    <w:p>
      <w:pPr>
        <w:pStyle w:val="Heading1"/>
        <w:keepNext/>
        <w:widowControl/>
        <w:spacing w:before="160" w:after="80"/>
      </w:pPr>
      <w:r>
        <w:t>11. Generative AI, Experimentation and Shadow AI</w:t>
      </w:r>
    </w:p>
    <w:p>
      <w:pPr>
        <w:widowControl/>
      </w:pPr>
      <w:r>
        <w:t>Duckworks permits reasonable AI experimentation within defined organizational boundaries. Experimentation does not exempt a use case from governance when company data, personal data, production systems, customer interactions, employment decisions, product safety, or other material impacts are involved.</w:t>
      </w:r>
    </w:p>
    <w:p>
      <w:pPr>
        <w:widowControl/>
      </w:pPr>
      <w:r>
        <w:t>Unregistered public generative-AI use must be treated as a discovery and containment problem. The target state is a controlled enterprise alternative, supported by approved-tool rules, data-handling restrictions, employee guidance, discovery mechanisms, and remediation procedures.</w:t>
      </w:r>
    </w:p>
    <w:p>
      <w:pPr>
        <w:pStyle w:val="ListBullet"/>
        <w:widowControl/>
        <w:spacing w:after="40"/>
      </w:pPr>
      <w:r>
        <w:t>Employees must not assume that a publicly accessible AI service is approved for confidential or personal data.</w:t>
      </w:r>
    </w:p>
    <w:p>
      <w:pPr>
        <w:pStyle w:val="ListBullet"/>
        <w:widowControl/>
        <w:spacing w:after="40"/>
      </w:pPr>
      <w:r>
        <w:t>Material AI use discovered outside the intake process must be registered or stopped pending review.</w:t>
      </w:r>
    </w:p>
    <w:p>
      <w:pPr>
        <w:pStyle w:val="ListBullet"/>
        <w:widowControl/>
        <w:spacing w:after="40"/>
      </w:pPr>
      <w:r>
        <w:t>Browser extensions, coding assistants, external chatbots, and embedded AI features are in scope when they create material data, security, legal, or decision impact.</w:t>
      </w:r>
    </w:p>
    <w:p>
      <w:pPr>
        <w:pStyle w:val="ListBullet"/>
        <w:widowControl/>
        <w:spacing w:after="40"/>
      </w:pPr>
      <w:r>
        <w:t>Discovery of shadow AI must result in decomposition into specific tools/use cases so ownership, data, risk, and treatment can be assessed.</w:t>
      </w:r>
    </w:p>
    <w:p>
      <w:pPr>
        <w:pStyle w:val="Heading1"/>
        <w:keepNext/>
        <w:widowControl/>
        <w:spacing w:before="160" w:after="80"/>
      </w:pPr>
      <w:r>
        <w:t>12. Monitoring, Reassessment and Incident Governance</w:t>
      </w:r>
    </w:p>
    <w:p>
      <w:pPr>
        <w:widowControl/>
      </w:pPr>
      <w:r>
        <w:t>Post-deployment governance must be proportionate to the system and risk profile. Monitoring may include performance, drift, harmful or incorrect outputs, fairness indicators, override rates, complaints, security events, privacy events, control failures, vendor changes, model-version changes, and service continuity.</w:t>
      </w:r>
    </w:p>
    <w:p>
      <w:pPr>
        <w:widowControl/>
      </w:pPr>
      <w:r>
        <w:t>Formal reassessment is required when a material change occurs, including changes in intended purpose, autonomy, model/provider/version, data scope, affected populations, integrations, geographic deployment, operating environment, or applicable legal/regulatory requirements.</w:t>
      </w:r>
    </w:p>
    <w:p>
      <w:pPr>
        <w:widowControl/>
      </w:pPr>
      <w:r>
        <w:t>Material AI incidents must follow a defined route for triage, containment, evidence preservation, specialist/legal handoff, decision escalation, remediation, and lessons learned. Critical incidents, loss of human oversight, discriminatory outcomes, confidential-data leakage, or safety concerns require immediate escalation.</w:t>
      </w:r>
    </w:p>
    <w:p>
      <w:pPr>
        <w:pStyle w:val="Heading1"/>
        <w:keepNext/>
        <w:widowControl/>
        <w:spacing w:before="160" w:after="80"/>
      </w:pPr>
      <w:r>
        <w:t>13. Evidence, Auditability and Assurance</w:t>
      </w:r>
    </w:p>
    <w:p>
      <w:pPr>
        <w:widowControl/>
      </w:pPr>
      <w:r>
        <w:t>Duckworks adopts the evidence principle: a control is not considered demonstrably operating merely because it is described in a policy or assessment. Material governance decisions must be traceable to evidence sufficient for later review or control testing.</w:t>
      </w:r>
    </w:p>
    <w:p>
      <w:pPr>
        <w:pStyle w:val="ListBullet"/>
        <w:widowControl/>
        <w:spacing w:after="40"/>
      </w:pPr>
      <w:r>
        <w:t>inventory records and ownership records;</w:t>
      </w:r>
    </w:p>
    <w:p>
      <w:pPr>
        <w:pStyle w:val="ListBullet"/>
        <w:widowControl/>
        <w:spacing w:after="40"/>
      </w:pPr>
      <w:r>
        <w:t>risk and impact assessments;</w:t>
      </w:r>
    </w:p>
    <w:p>
      <w:pPr>
        <w:pStyle w:val="ListBullet"/>
        <w:widowControl/>
        <w:spacing w:after="40"/>
      </w:pPr>
      <w:r>
        <w:t>approval and committee decision records;</w:t>
      </w:r>
    </w:p>
    <w:p>
      <w:pPr>
        <w:pStyle w:val="ListBullet"/>
        <w:widowControl/>
        <w:spacing w:after="40"/>
      </w:pPr>
      <w:r>
        <w:t>testing, validation, security, privacy, legal, and vendor-review evidence;</w:t>
      </w:r>
    </w:p>
    <w:p>
      <w:pPr>
        <w:pStyle w:val="ListBullet"/>
        <w:widowControl/>
        <w:spacing w:after="40"/>
      </w:pPr>
      <w:r>
        <w:t>human-oversight procedures and material override records;</w:t>
      </w:r>
    </w:p>
    <w:p>
      <w:pPr>
        <w:pStyle w:val="ListBullet"/>
        <w:widowControl/>
        <w:spacing w:after="40"/>
      </w:pPr>
      <w:r>
        <w:t>monitoring data, incident records, complaints, and remediation evidence;</w:t>
      </w:r>
    </w:p>
    <w:p>
      <w:pPr>
        <w:pStyle w:val="ListBullet"/>
        <w:widowControl/>
        <w:spacing w:after="40"/>
      </w:pPr>
      <w:r>
        <w:t>exceptions and risk-acceptance decisions with expiry/review conditions.</w:t>
      </w:r>
    </w:p>
    <w:p>
      <w:pPr>
        <w:pStyle w:val="Callout"/>
        <w:widowControl/>
        <w:spacing w:after="140"/>
      </w:pPr>
      <w:r>
        <w:rPr>
          <w:b/>
          <w:i w:val="0"/>
          <w:color w:val="2F6F6D"/>
        </w:rPr>
        <w:t xml:space="preserve">Assurance rule: </w:t>
      </w:r>
      <w:r>
        <w:rPr>
          <w:b w:val="0"/>
          <w:i w:val="0"/>
        </w:rPr>
        <w:t>Internal Audit may assess design and operating effectiveness but must not design, own, or operate the first- or second-line controls it may later assure.</w:t>
      </w:r>
    </w:p>
    <w:p>
      <w:pPr>
        <w:pStyle w:val="Heading1"/>
        <w:keepNext/>
        <w:widowControl/>
        <w:spacing w:before="160" w:after="80"/>
      </w:pPr>
      <w:r>
        <w:t>14. Risk Appetite, Exceptions and Escalation</w:t>
      </w:r>
    </w:p>
    <w:p>
      <w:pPr>
        <w:widowControl/>
      </w:pPr>
      <w:r>
        <w:t>Duckworks applies the risk appetite and approval rules defined in the AI Risk Classification &amp; Assessment Methodology. The Charter adopts the following high-level rules:</w:t>
      </w:r>
    </w:p>
    <w:p>
      <w:pPr>
        <w:pStyle w:val="ListBullet"/>
        <w:widowControl/>
        <w:spacing w:after="40"/>
      </w:pPr>
      <w:r>
        <w:t>No appetite for prohibited or otherwise unlawful AI practices, intentional discrimination, or knowingly bypassing required human authority.</w:t>
      </w:r>
    </w:p>
    <w:p>
      <w:pPr>
        <w:pStyle w:val="ListBullet"/>
        <w:widowControl/>
        <w:spacing w:after="40"/>
      </w:pPr>
      <w:r>
        <w:t>Very low tolerance for unmanaged safety risk, systemic fundamental-rights impact, and uncontrolled restricted-data exposure.</w:t>
      </w:r>
    </w:p>
    <w:p>
      <w:pPr>
        <w:pStyle w:val="ListBullet"/>
        <w:widowControl/>
        <w:spacing w:after="40"/>
      </w:pPr>
      <w:r>
        <w:t>High residual risk requires AI Governance Committee approval, a dated treatment plan, and enhanced monitoring.</w:t>
      </w:r>
    </w:p>
    <w:p>
      <w:pPr>
        <w:pStyle w:val="ListBullet"/>
        <w:widowControl/>
        <w:spacing w:after="40"/>
      </w:pPr>
      <w:r>
        <w:t>Critical residual risk normally blocks production deployment or continued use pending treatment, unless exceptional executive risk acceptance is explicitly documented with Legal, Risk, and Security challenge.</w:t>
      </w:r>
    </w:p>
    <w:p>
      <w:pPr>
        <w:pStyle w:val="ListBullet"/>
        <w:widowControl/>
        <w:spacing w:after="40"/>
      </w:pPr>
      <w:r>
        <w:t>Risk acceptance expires or must be reconsidered when material assumptions, intended purpose, model/provider, data scope, or controls change.</w:t>
      </w:r>
    </w:p>
    <w:p>
      <w:pPr>
        <w:pStyle w:val="Heading1"/>
        <w:keepNext/>
        <w:widowControl/>
        <w:spacing w:before="160" w:after="80"/>
      </w:pPr>
      <w:r>
        <w:t>15. Requirement Hierarchy and Source Discipline</w:t>
      </w:r>
    </w:p>
    <w:p>
      <w:pPr>
        <w:widowControl/>
      </w:pPr>
      <w:r>
        <w:t>Duckworks must distinguish the source and authority of each governance requirement. This Charter does not convert voluntary frameworks into legal obligations and does not make legal applicability determinations by itself.</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2088"/>
            <w:shd w:fill="18324A"/>
            <w:tcMar>
              <w:top w:w="80" w:type="dxa"/>
              <w:start w:w="100" w:type="dxa"/>
              <w:bottom w:w="80" w:type="dxa"/>
              <w:end w:w="100" w:type="dxa"/>
            </w:tcMar>
            <w:vAlign w:val="center"/>
          </w:tcPr>
          <w:p>
            <w:pPr>
              <w:spacing w:after="0"/>
              <w:jc w:val="left"/>
            </w:pPr>
            <w:r>
              <w:rPr>
                <w:b/>
                <w:color w:val="FFFFFF"/>
                <w:sz w:val="16"/>
              </w:rPr>
              <w:t>Requirement Layer</w:t>
            </w:r>
          </w:p>
        </w:tc>
        <w:tc>
          <w:tcPr>
            <w:tcW w:type="dxa" w:w="3168"/>
            <w:shd w:fill="18324A"/>
            <w:tcMar>
              <w:top w:w="80" w:type="dxa"/>
              <w:start w:w="100" w:type="dxa"/>
              <w:bottom w:w="80" w:type="dxa"/>
              <w:end w:w="100" w:type="dxa"/>
            </w:tcMar>
            <w:vAlign w:val="center"/>
          </w:tcPr>
          <w:p>
            <w:pPr>
              <w:spacing w:after="0"/>
              <w:jc w:val="left"/>
            </w:pPr>
            <w:r>
              <w:rPr>
                <w:b/>
                <w:color w:val="FFFFFF"/>
                <w:sz w:val="16"/>
              </w:rPr>
              <w:t>Status / Effect</w:t>
            </w:r>
          </w:p>
        </w:tc>
        <w:tc>
          <w:tcPr>
            <w:tcW w:type="dxa" w:w="4896"/>
            <w:shd w:fill="18324A"/>
            <w:tcMar>
              <w:top w:w="80" w:type="dxa"/>
              <w:start w:w="100" w:type="dxa"/>
              <w:bottom w:w="80" w:type="dxa"/>
              <w:end w:w="100" w:type="dxa"/>
            </w:tcMar>
            <w:vAlign w:val="center"/>
          </w:tcPr>
          <w:p>
            <w:pPr>
              <w:spacing w:after="0"/>
              <w:jc w:val="left"/>
            </w:pPr>
            <w:r>
              <w:rPr>
                <w:b/>
                <w:color w:val="FFFFFF"/>
                <w:sz w:val="16"/>
              </w:rPr>
              <w:t>Duckworks Treatment</w:t>
            </w:r>
          </w:p>
        </w:tc>
      </w:tr>
      <w:tr>
        <w:trPr>
          <w:cantSplit/>
        </w:trPr>
        <w:tc>
          <w:tcPr>
            <w:tcW w:type="dxa" w:w="2088"/>
            <w:tcMar>
              <w:top w:w="80" w:type="dxa"/>
              <w:start w:w="100" w:type="dxa"/>
              <w:bottom w:w="80" w:type="dxa"/>
              <w:end w:w="100" w:type="dxa"/>
            </w:tcMar>
            <w:vAlign w:val="top"/>
            <w:shd w:fill="EAF0F5"/>
          </w:tcPr>
          <w:p>
            <w:pPr>
              <w:spacing w:after="0"/>
            </w:pPr>
            <w:r>
              <w:rPr>
                <w:sz w:val="16"/>
              </w:rPr>
              <w:t>1. Binding law</w:t>
            </w:r>
          </w:p>
        </w:tc>
        <w:tc>
          <w:tcPr>
            <w:tcW w:type="dxa" w:w="3168"/>
            <w:tcMar>
              <w:top w:w="80" w:type="dxa"/>
              <w:start w:w="100" w:type="dxa"/>
              <w:bottom w:w="80" w:type="dxa"/>
              <w:end w:w="100" w:type="dxa"/>
            </w:tcMar>
            <w:vAlign w:val="top"/>
          </w:tcPr>
          <w:p>
            <w:pPr>
              <w:spacing w:after="0"/>
            </w:pPr>
            <w:r>
              <w:rPr>
                <w:sz w:val="16"/>
              </w:rPr>
              <w:t>Mandatory where the law applies to the specific facts, jurisdiction, system, and Duckworks legal role.</w:t>
            </w:r>
          </w:p>
        </w:tc>
        <w:tc>
          <w:tcPr>
            <w:tcW w:type="dxa" w:w="4896"/>
            <w:tcMar>
              <w:top w:w="80" w:type="dxa"/>
              <w:start w:w="100" w:type="dxa"/>
              <w:bottom w:w="80" w:type="dxa"/>
              <w:end w:w="100" w:type="dxa"/>
            </w:tcMar>
            <w:vAlign w:val="top"/>
          </w:tcPr>
          <w:p>
            <w:pPr>
              <w:spacing w:after="0"/>
            </w:pPr>
            <w:r>
              <w:rPr>
                <w:sz w:val="16"/>
              </w:rPr>
              <w:t>Examples screened by the project include the EU AI Act, GDPR, employment/equality law, product-safety rules, cybersecurity law, and related national implementing law.</w:t>
            </w:r>
          </w:p>
        </w:tc>
      </w:tr>
      <w:tr>
        <w:trPr>
          <w:cantSplit/>
        </w:trPr>
        <w:tc>
          <w:tcPr>
            <w:tcW w:type="dxa" w:w="2088"/>
            <w:tcMar>
              <w:top w:w="80" w:type="dxa"/>
              <w:start w:w="100" w:type="dxa"/>
              <w:bottom w:w="80" w:type="dxa"/>
              <w:end w:w="100" w:type="dxa"/>
            </w:tcMar>
            <w:vAlign w:val="top"/>
            <w:shd w:fill="EAF0F5"/>
          </w:tcPr>
          <w:p>
            <w:pPr>
              <w:spacing w:after="0"/>
            </w:pPr>
            <w:r>
              <w:rPr>
                <w:sz w:val="16"/>
              </w:rPr>
              <w:t>2. Regulator / authority guidance</w:t>
            </w:r>
          </w:p>
        </w:tc>
        <w:tc>
          <w:tcPr>
            <w:tcW w:type="dxa" w:w="3168"/>
            <w:tcMar>
              <w:top w:w="80" w:type="dxa"/>
              <w:start w:w="100" w:type="dxa"/>
              <w:bottom w:w="80" w:type="dxa"/>
              <w:end w:w="100" w:type="dxa"/>
            </w:tcMar>
            <w:vAlign w:val="top"/>
            <w:shd w:fill="F7F8F9"/>
          </w:tcPr>
          <w:p>
            <w:pPr>
              <w:spacing w:after="0"/>
            </w:pPr>
            <w:r>
              <w:rPr>
                <w:sz w:val="16"/>
              </w:rPr>
              <w:t>Authoritative interpretative or good-practice guidance; legal effect depends on the source and context.</w:t>
            </w:r>
          </w:p>
        </w:tc>
        <w:tc>
          <w:tcPr>
            <w:tcW w:type="dxa" w:w="4896"/>
            <w:tcMar>
              <w:top w:w="80" w:type="dxa"/>
              <w:start w:w="100" w:type="dxa"/>
              <w:bottom w:w="80" w:type="dxa"/>
              <w:end w:w="100" w:type="dxa"/>
            </w:tcMar>
            <w:vAlign w:val="top"/>
            <w:shd w:fill="F7F8F9"/>
          </w:tcPr>
          <w:p>
            <w:pPr>
              <w:spacing w:after="0"/>
            </w:pPr>
            <w:r>
              <w:rPr>
                <w:sz w:val="16"/>
              </w:rPr>
              <w:t>Examples include EDPB and ENISA guidance.</w:t>
            </w:r>
          </w:p>
        </w:tc>
      </w:tr>
      <w:tr>
        <w:trPr>
          <w:cantSplit/>
        </w:trPr>
        <w:tc>
          <w:tcPr>
            <w:tcW w:type="dxa" w:w="2088"/>
            <w:tcMar>
              <w:top w:w="80" w:type="dxa"/>
              <w:start w:w="100" w:type="dxa"/>
              <w:bottom w:w="80" w:type="dxa"/>
              <w:end w:w="100" w:type="dxa"/>
            </w:tcMar>
            <w:vAlign w:val="top"/>
            <w:shd w:fill="EAF0F5"/>
          </w:tcPr>
          <w:p>
            <w:pPr>
              <w:spacing w:after="0"/>
            </w:pPr>
            <w:r>
              <w:rPr>
                <w:sz w:val="16"/>
              </w:rPr>
              <w:t>3. Standards / frameworks</w:t>
            </w:r>
          </w:p>
        </w:tc>
        <w:tc>
          <w:tcPr>
            <w:tcW w:type="dxa" w:w="3168"/>
            <w:tcMar>
              <w:top w:w="80" w:type="dxa"/>
              <w:start w:w="100" w:type="dxa"/>
              <w:bottom w:w="80" w:type="dxa"/>
              <w:end w:w="100" w:type="dxa"/>
            </w:tcMar>
            <w:vAlign w:val="top"/>
          </w:tcPr>
          <w:p>
            <w:pPr>
              <w:spacing w:after="0"/>
            </w:pPr>
            <w:r>
              <w:rPr>
                <w:sz w:val="16"/>
              </w:rPr>
              <w:t>Voluntary unless adopted contractually, organizationally, or through another binding mechanism.</w:t>
            </w:r>
          </w:p>
        </w:tc>
        <w:tc>
          <w:tcPr>
            <w:tcW w:type="dxa" w:w="4896"/>
            <w:tcMar>
              <w:top w:w="80" w:type="dxa"/>
              <w:start w:w="100" w:type="dxa"/>
              <w:bottom w:w="80" w:type="dxa"/>
              <w:end w:w="100" w:type="dxa"/>
            </w:tcMar>
            <w:vAlign w:val="top"/>
          </w:tcPr>
          <w:p>
            <w:pPr>
              <w:spacing w:after="0"/>
            </w:pPr>
            <w:r>
              <w:rPr>
                <w:sz w:val="16"/>
              </w:rPr>
              <w:t>ISO/IEC 42001, ISO/IEC 23894, ISO/IEC 42005, ISO/IEC 27001/27005, NIST AI RMF, OECD principles, MITRE ATLAS, OWASP guidance.</w:t>
            </w:r>
          </w:p>
        </w:tc>
      </w:tr>
      <w:tr>
        <w:trPr>
          <w:cantSplit/>
        </w:trPr>
        <w:tc>
          <w:tcPr>
            <w:tcW w:type="dxa" w:w="2088"/>
            <w:tcMar>
              <w:top w:w="80" w:type="dxa"/>
              <w:start w:w="100" w:type="dxa"/>
              <w:bottom w:w="80" w:type="dxa"/>
              <w:end w:w="100" w:type="dxa"/>
            </w:tcMar>
            <w:vAlign w:val="top"/>
            <w:shd w:fill="EAF0F5"/>
          </w:tcPr>
          <w:p>
            <w:pPr>
              <w:spacing w:after="0"/>
            </w:pPr>
            <w:r>
              <w:rPr>
                <w:sz w:val="16"/>
              </w:rPr>
              <w:t>4. Duckworks internal requirements</w:t>
            </w:r>
          </w:p>
        </w:tc>
        <w:tc>
          <w:tcPr>
            <w:tcW w:type="dxa" w:w="3168"/>
            <w:tcMar>
              <w:top w:w="80" w:type="dxa"/>
              <w:start w:w="100" w:type="dxa"/>
              <w:bottom w:w="80" w:type="dxa"/>
              <w:end w:w="100" w:type="dxa"/>
            </w:tcMar>
            <w:vAlign w:val="top"/>
            <w:shd w:fill="F7F8F9"/>
          </w:tcPr>
          <w:p>
            <w:pPr>
              <w:spacing w:after="0"/>
            </w:pPr>
            <w:r>
              <w:rPr>
                <w:sz w:val="16"/>
              </w:rPr>
              <w:t>Mandatory internally once approved under Duckworks governance.</w:t>
            </w:r>
          </w:p>
        </w:tc>
        <w:tc>
          <w:tcPr>
            <w:tcW w:type="dxa" w:w="4896"/>
            <w:tcMar>
              <w:top w:w="80" w:type="dxa"/>
              <w:start w:w="100" w:type="dxa"/>
              <w:bottom w:w="80" w:type="dxa"/>
              <w:end w:w="100" w:type="dxa"/>
            </w:tcMar>
            <w:vAlign w:val="top"/>
            <w:shd w:fill="F7F8F9"/>
          </w:tcPr>
          <w:p>
            <w:pPr>
              <w:spacing w:after="0"/>
            </w:pPr>
            <w:r>
              <w:rPr>
                <w:sz w:val="16"/>
              </w:rPr>
              <w:t>This Charter, risk methodology, control library, acceptable-use standard, human-oversight standard, monitoring standard, and approved procedures.</w:t>
            </w:r>
          </w:p>
        </w:tc>
      </w:tr>
      <w:tr>
        <w:trPr>
          <w:cantSplit/>
        </w:trPr>
        <w:tc>
          <w:tcPr>
            <w:tcW w:type="dxa" w:w="2088"/>
            <w:tcMar>
              <w:top w:w="80" w:type="dxa"/>
              <w:start w:w="100" w:type="dxa"/>
              <w:bottom w:w="80" w:type="dxa"/>
              <w:end w:w="100" w:type="dxa"/>
            </w:tcMar>
            <w:vAlign w:val="top"/>
            <w:shd w:fill="EAF0F5"/>
          </w:tcPr>
          <w:p>
            <w:pPr>
              <w:spacing w:after="0"/>
            </w:pPr>
            <w:r>
              <w:rPr>
                <w:sz w:val="16"/>
              </w:rPr>
              <w:t>5. Project assumptions</w:t>
            </w:r>
          </w:p>
        </w:tc>
        <w:tc>
          <w:tcPr>
            <w:tcW w:type="dxa" w:w="3168"/>
            <w:tcMar>
              <w:top w:w="80" w:type="dxa"/>
              <w:start w:w="100" w:type="dxa"/>
              <w:bottom w:w="80" w:type="dxa"/>
              <w:end w:w="100" w:type="dxa"/>
            </w:tcMar>
            <w:vAlign w:val="top"/>
          </w:tcPr>
          <w:p>
            <w:pPr>
              <w:spacing w:after="0"/>
            </w:pPr>
            <w:r>
              <w:rPr>
                <w:sz w:val="16"/>
              </w:rPr>
              <w:t>Planning inputs, not facts; must be validated or retained as explicit limitations.</w:t>
            </w:r>
          </w:p>
        </w:tc>
        <w:tc>
          <w:tcPr>
            <w:tcW w:type="dxa" w:w="4896"/>
            <w:tcMar>
              <w:top w:w="80" w:type="dxa"/>
              <w:start w:w="100" w:type="dxa"/>
              <w:bottom w:w="80" w:type="dxa"/>
              <w:end w:w="100" w:type="dxa"/>
            </w:tcMar>
            <w:vAlign w:val="top"/>
          </w:tcPr>
          <w:p>
            <w:pPr>
              <w:spacing w:after="0"/>
            </w:pPr>
            <w:r>
              <w:rPr>
                <w:sz w:val="16"/>
              </w:rPr>
              <w:t>The controlled Assumptions Register governs material scenario assumptions and change triggers.</w:t>
            </w:r>
          </w:p>
        </w:tc>
      </w:tr>
    </w:tbl>
    <w:p>
      <w:pPr>
        <w:widowControl/>
        <w:spacing w:after="20"/>
      </w:pPr>
    </w:p>
    <w:p>
      <w:pPr>
        <w:pStyle w:val="Heading1"/>
        <w:keepNext/>
        <w:widowControl/>
        <w:spacing w:before="160" w:after="80"/>
      </w:pPr>
      <w:r>
        <w:t>16. Initial Portfolio Governance Posture</w:t>
      </w:r>
    </w:p>
    <w:p>
      <w:pPr>
        <w:widowControl/>
      </w:pPr>
      <w:r>
        <w:t>The following current portfolio posture is adopted from the project acceptance criteria and is included to demonstrate how this Charter translates into proportionate decisions. These are fictional governance decisions, not legal classifications.</w:t>
      </w:r>
    </w:p>
    <w:tbl>
      <w:tblPr>
        <w:tblStyle w:val="TableGrid"/>
        <w:tblW w:type="auto" w:w="0"/>
        <w:jc w:val="center"/>
        <w:tblLayout w:type="fixed"/>
        <w:tblLook w:firstColumn="1" w:firstRow="1" w:lastColumn="0" w:lastRow="0" w:noHBand="0" w:noVBand="1" w:val="04A0"/>
      </w:tblPr>
      <w:tblGrid>
        <w:gridCol w:w="2822"/>
        <w:gridCol w:w="2822"/>
        <w:gridCol w:w="2822"/>
        <w:gridCol w:w="2822"/>
        <w:gridCol w:w="2822"/>
      </w:tblGrid>
      <w:tr>
        <w:trPr>
          <w:tblHeader w:val="true"/>
        </w:trPr>
        <w:tc>
          <w:tcPr>
            <w:tcW w:type="dxa" w:w="792"/>
            <w:shd w:fill="18324A"/>
            <w:tcMar>
              <w:top w:w="80" w:type="dxa"/>
              <w:start w:w="100" w:type="dxa"/>
              <w:bottom w:w="80" w:type="dxa"/>
              <w:end w:w="100" w:type="dxa"/>
            </w:tcMar>
            <w:vAlign w:val="center"/>
          </w:tcPr>
          <w:p>
            <w:pPr>
              <w:spacing w:after="0"/>
              <w:jc w:val="left"/>
            </w:pPr>
            <w:r>
              <w:rPr>
                <w:b/>
                <w:color w:val="FFFFFF"/>
                <w:sz w:val="15"/>
              </w:rPr>
              <w:t>ID</w:t>
            </w:r>
          </w:p>
        </w:tc>
        <w:tc>
          <w:tcPr>
            <w:tcW w:type="dxa" w:w="1656"/>
            <w:shd w:fill="18324A"/>
            <w:tcMar>
              <w:top w:w="80" w:type="dxa"/>
              <w:start w:w="100" w:type="dxa"/>
              <w:bottom w:w="80" w:type="dxa"/>
              <w:end w:w="100" w:type="dxa"/>
            </w:tcMar>
            <w:vAlign w:val="center"/>
          </w:tcPr>
          <w:p>
            <w:pPr>
              <w:spacing w:after="0"/>
              <w:jc w:val="left"/>
            </w:pPr>
            <w:r>
              <w:rPr>
                <w:b/>
                <w:color w:val="FFFFFF"/>
                <w:sz w:val="15"/>
              </w:rPr>
              <w:t>System</w:t>
            </w:r>
          </w:p>
        </w:tc>
        <w:tc>
          <w:tcPr>
            <w:tcW w:type="dxa" w:w="2232"/>
            <w:shd w:fill="18324A"/>
            <w:tcMar>
              <w:top w:w="80" w:type="dxa"/>
              <w:start w:w="100" w:type="dxa"/>
              <w:bottom w:w="80" w:type="dxa"/>
              <w:end w:w="100" w:type="dxa"/>
            </w:tcMar>
            <w:vAlign w:val="center"/>
          </w:tcPr>
          <w:p>
            <w:pPr>
              <w:spacing w:after="0"/>
              <w:jc w:val="left"/>
            </w:pPr>
            <w:r>
              <w:rPr>
                <w:b/>
                <w:color w:val="FFFFFF"/>
                <w:sz w:val="15"/>
              </w:rPr>
              <w:t>Current Gate</w:t>
            </w:r>
          </w:p>
        </w:tc>
        <w:tc>
          <w:tcPr>
            <w:tcW w:type="dxa" w:w="1152"/>
            <w:shd w:fill="18324A"/>
            <w:tcMar>
              <w:top w:w="80" w:type="dxa"/>
              <w:start w:w="100" w:type="dxa"/>
              <w:bottom w:w="80" w:type="dxa"/>
              <w:end w:w="100" w:type="dxa"/>
            </w:tcMar>
            <w:vAlign w:val="center"/>
          </w:tcPr>
          <w:p>
            <w:pPr>
              <w:spacing w:after="0"/>
              <w:jc w:val="left"/>
            </w:pPr>
            <w:r>
              <w:rPr>
                <w:b/>
                <w:color w:val="FFFFFF"/>
                <w:sz w:val="15"/>
              </w:rPr>
              <w:t>Internal Risk</w:t>
            </w:r>
          </w:p>
        </w:tc>
        <w:tc>
          <w:tcPr>
            <w:tcW w:type="dxa" w:w="4320"/>
            <w:shd w:fill="18324A"/>
            <w:tcMar>
              <w:top w:w="80" w:type="dxa"/>
              <w:start w:w="100" w:type="dxa"/>
              <w:bottom w:w="80" w:type="dxa"/>
              <w:end w:w="100" w:type="dxa"/>
            </w:tcMar>
            <w:vAlign w:val="center"/>
          </w:tcPr>
          <w:p>
            <w:pPr>
              <w:spacing w:after="0"/>
              <w:jc w:val="left"/>
            </w:pPr>
            <w:r>
              <w:rPr>
                <w:b/>
                <w:color w:val="FFFFFF"/>
                <w:sz w:val="15"/>
              </w:rPr>
              <w:t>Minimum Conditions / Action</w:t>
            </w:r>
          </w:p>
        </w:tc>
      </w:tr>
      <w:tr>
        <w:trPr>
          <w:cantSplit/>
        </w:trPr>
        <w:tc>
          <w:tcPr>
            <w:tcW w:type="dxa" w:w="792"/>
            <w:tcMar>
              <w:top w:w="80" w:type="dxa"/>
              <w:start w:w="100" w:type="dxa"/>
              <w:bottom w:w="80" w:type="dxa"/>
              <w:end w:w="100" w:type="dxa"/>
            </w:tcMar>
            <w:vAlign w:val="top"/>
          </w:tcPr>
          <w:p>
            <w:pPr>
              <w:spacing w:after="0"/>
            </w:pPr>
            <w:r>
              <w:rPr>
                <w:sz w:val="15"/>
              </w:rPr>
              <w:t>AI-001</w:t>
            </w:r>
          </w:p>
        </w:tc>
        <w:tc>
          <w:tcPr>
            <w:tcW w:type="dxa" w:w="1656"/>
            <w:tcMar>
              <w:top w:w="80" w:type="dxa"/>
              <w:start w:w="100" w:type="dxa"/>
              <w:bottom w:w="80" w:type="dxa"/>
              <w:end w:w="100" w:type="dxa"/>
            </w:tcMar>
            <w:vAlign w:val="top"/>
          </w:tcPr>
          <w:p>
            <w:pPr>
              <w:spacing w:after="0"/>
            </w:pPr>
            <w:r>
              <w:rPr>
                <w:sz w:val="15"/>
              </w:rPr>
              <w:t>DuckDesign AI</w:t>
            </w:r>
          </w:p>
        </w:tc>
        <w:tc>
          <w:tcPr>
            <w:tcW w:type="dxa" w:w="2232"/>
            <w:tcMar>
              <w:top w:w="80" w:type="dxa"/>
              <w:start w:w="100" w:type="dxa"/>
              <w:bottom w:w="80" w:type="dxa"/>
              <w:end w:w="100" w:type="dxa"/>
            </w:tcMar>
            <w:vAlign w:val="top"/>
          </w:tcPr>
          <w:p>
            <w:pPr>
              <w:spacing w:after="0"/>
            </w:pPr>
            <w:r>
              <w:rPr>
                <w:sz w:val="15"/>
              </w:rPr>
              <w:t>Restricted pilot only</w:t>
            </w:r>
          </w:p>
        </w:tc>
        <w:tc>
          <w:tcPr>
            <w:tcW w:type="dxa" w:w="1152"/>
            <w:tcMar>
              <w:top w:w="80" w:type="dxa"/>
              <w:start w:w="100" w:type="dxa"/>
              <w:bottom w:w="80" w:type="dxa"/>
              <w:end w:w="100" w:type="dxa"/>
            </w:tcMar>
            <w:vAlign w:val="top"/>
          </w:tcPr>
          <w:p>
            <w:pPr>
              <w:spacing w:after="0"/>
            </w:pPr>
            <w:r>
              <w:rPr>
                <w:sz w:val="15"/>
              </w:rPr>
              <w:t>High</w:t>
            </w:r>
          </w:p>
        </w:tc>
        <w:tc>
          <w:tcPr>
            <w:tcW w:type="dxa" w:w="4320"/>
            <w:tcMar>
              <w:top w:w="80" w:type="dxa"/>
              <w:start w:w="100" w:type="dxa"/>
              <w:bottom w:w="80" w:type="dxa"/>
              <w:end w:w="100" w:type="dxa"/>
            </w:tcMar>
            <w:vAlign w:val="top"/>
          </w:tcPr>
          <w:p>
            <w:pPr>
              <w:spacing w:after="0"/>
            </w:pPr>
            <w:r>
              <w:rPr>
                <w:sz w:val="15"/>
              </w:rPr>
              <w:t>Competent engineer review; design validation; IP/data controls; no autonomous release to production design.</w:t>
            </w:r>
          </w:p>
        </w:tc>
      </w:tr>
      <w:tr>
        <w:trPr>
          <w:cantSplit/>
        </w:trPr>
        <w:tc>
          <w:tcPr>
            <w:tcW w:type="dxa" w:w="792"/>
            <w:tcMar>
              <w:top w:w="80" w:type="dxa"/>
              <w:start w:w="100" w:type="dxa"/>
              <w:bottom w:w="80" w:type="dxa"/>
              <w:end w:w="100" w:type="dxa"/>
            </w:tcMar>
            <w:vAlign w:val="top"/>
            <w:shd w:fill="F7F8F9"/>
          </w:tcPr>
          <w:p>
            <w:pPr>
              <w:spacing w:after="0"/>
            </w:pPr>
            <w:r>
              <w:rPr>
                <w:sz w:val="15"/>
              </w:rPr>
              <w:t>AI-002</w:t>
            </w:r>
          </w:p>
        </w:tc>
        <w:tc>
          <w:tcPr>
            <w:tcW w:type="dxa" w:w="1656"/>
            <w:tcMar>
              <w:top w:w="80" w:type="dxa"/>
              <w:start w:w="100" w:type="dxa"/>
              <w:bottom w:w="80" w:type="dxa"/>
              <w:end w:w="100" w:type="dxa"/>
            </w:tcMar>
            <w:vAlign w:val="top"/>
            <w:shd w:fill="F7F8F9"/>
          </w:tcPr>
          <w:p>
            <w:pPr>
              <w:spacing w:after="0"/>
            </w:pPr>
            <w:r>
              <w:rPr>
                <w:sz w:val="15"/>
              </w:rPr>
              <w:t>QuackBot</w:t>
            </w:r>
          </w:p>
        </w:tc>
        <w:tc>
          <w:tcPr>
            <w:tcW w:type="dxa" w:w="2232"/>
            <w:tcMar>
              <w:top w:w="80" w:type="dxa"/>
              <w:start w:w="100" w:type="dxa"/>
              <w:bottom w:w="80" w:type="dxa"/>
              <w:end w:w="100" w:type="dxa"/>
            </w:tcMar>
            <w:vAlign w:val="top"/>
            <w:shd w:fill="F7F8F9"/>
          </w:tcPr>
          <w:p>
            <w:pPr>
              <w:spacing w:after="0"/>
            </w:pPr>
            <w:r>
              <w:rPr>
                <w:sz w:val="15"/>
              </w:rPr>
              <w:t>Production blocked pending gates</w:t>
            </w:r>
          </w:p>
        </w:tc>
        <w:tc>
          <w:tcPr>
            <w:tcW w:type="dxa" w:w="1152"/>
            <w:tcMar>
              <w:top w:w="80" w:type="dxa"/>
              <w:start w:w="100" w:type="dxa"/>
              <w:bottom w:w="80" w:type="dxa"/>
              <w:end w:w="100" w:type="dxa"/>
            </w:tcMar>
            <w:vAlign w:val="top"/>
            <w:shd w:fill="F7F8F9"/>
          </w:tcPr>
          <w:p>
            <w:pPr>
              <w:spacing w:after="0"/>
            </w:pPr>
            <w:r>
              <w:rPr>
                <w:sz w:val="15"/>
              </w:rPr>
              <w:t>High</w:t>
            </w:r>
          </w:p>
        </w:tc>
        <w:tc>
          <w:tcPr>
            <w:tcW w:type="dxa" w:w="4320"/>
            <w:tcMar>
              <w:top w:w="80" w:type="dxa"/>
              <w:start w:w="100" w:type="dxa"/>
              <w:bottom w:w="80" w:type="dxa"/>
              <w:end w:w="100" w:type="dxa"/>
            </w:tcMar>
            <w:vAlign w:val="top"/>
            <w:shd w:fill="F7F8F9"/>
          </w:tcPr>
          <w:p>
            <w:pPr>
              <w:spacing w:after="0"/>
            </w:pPr>
            <w:r>
              <w:rPr>
                <w:sz w:val="15"/>
              </w:rPr>
              <w:t>Prompt/RAG security testing; safe escalation; content boundaries; monitoring; customer-impact safeguards.</w:t>
            </w:r>
          </w:p>
        </w:tc>
      </w:tr>
      <w:tr>
        <w:trPr>
          <w:cantSplit/>
        </w:trPr>
        <w:tc>
          <w:tcPr>
            <w:tcW w:type="dxa" w:w="792"/>
            <w:tcMar>
              <w:top w:w="80" w:type="dxa"/>
              <w:start w:w="100" w:type="dxa"/>
              <w:bottom w:w="80" w:type="dxa"/>
              <w:end w:w="100" w:type="dxa"/>
            </w:tcMar>
            <w:vAlign w:val="top"/>
          </w:tcPr>
          <w:p>
            <w:pPr>
              <w:spacing w:after="0"/>
            </w:pPr>
            <w:r>
              <w:rPr>
                <w:sz w:val="15"/>
              </w:rPr>
              <w:t>AI-003</w:t>
            </w:r>
          </w:p>
        </w:tc>
        <w:tc>
          <w:tcPr>
            <w:tcW w:type="dxa" w:w="1656"/>
            <w:tcMar>
              <w:top w:w="80" w:type="dxa"/>
              <w:start w:w="100" w:type="dxa"/>
              <w:bottom w:w="80" w:type="dxa"/>
              <w:end w:w="100" w:type="dxa"/>
            </w:tcMar>
            <w:vAlign w:val="top"/>
          </w:tcPr>
          <w:p>
            <w:pPr>
              <w:spacing w:after="0"/>
            </w:pPr>
            <w:r>
              <w:rPr>
                <w:sz w:val="15"/>
              </w:rPr>
              <w:t>FeatherForecast</w:t>
            </w:r>
          </w:p>
        </w:tc>
        <w:tc>
          <w:tcPr>
            <w:tcW w:type="dxa" w:w="2232"/>
            <w:tcMar>
              <w:top w:w="80" w:type="dxa"/>
              <w:start w:w="100" w:type="dxa"/>
              <w:bottom w:w="80" w:type="dxa"/>
              <w:end w:w="100" w:type="dxa"/>
            </w:tcMar>
            <w:vAlign w:val="top"/>
          </w:tcPr>
          <w:p>
            <w:pPr>
              <w:spacing w:after="0"/>
            </w:pPr>
            <w:r>
              <w:rPr>
                <w:sz w:val="15"/>
              </w:rPr>
              <w:t>Continue with monitoring</w:t>
            </w:r>
          </w:p>
        </w:tc>
        <w:tc>
          <w:tcPr>
            <w:tcW w:type="dxa" w:w="1152"/>
            <w:tcMar>
              <w:top w:w="80" w:type="dxa"/>
              <w:start w:w="100" w:type="dxa"/>
              <w:bottom w:w="80" w:type="dxa"/>
              <w:end w:w="100" w:type="dxa"/>
            </w:tcMar>
            <w:vAlign w:val="top"/>
          </w:tcPr>
          <w:p>
            <w:pPr>
              <w:spacing w:after="0"/>
            </w:pPr>
            <w:r>
              <w:rPr>
                <w:sz w:val="15"/>
              </w:rPr>
              <w:t>Moderate</w:t>
            </w:r>
          </w:p>
        </w:tc>
        <w:tc>
          <w:tcPr>
            <w:tcW w:type="dxa" w:w="4320"/>
            <w:tcMar>
              <w:top w:w="80" w:type="dxa"/>
              <w:start w:w="100" w:type="dxa"/>
              <w:bottom w:w="80" w:type="dxa"/>
              <w:end w:w="100" w:type="dxa"/>
            </w:tcMar>
            <w:vAlign w:val="top"/>
          </w:tcPr>
          <w:p>
            <w:pPr>
              <w:spacing w:after="0"/>
            </w:pPr>
            <w:r>
              <w:rPr>
                <w:sz w:val="15"/>
              </w:rPr>
              <w:t>Manager approval for material commitments; drift/performance monitoring; data-quality controls.</w:t>
            </w:r>
          </w:p>
        </w:tc>
      </w:tr>
      <w:tr>
        <w:trPr>
          <w:cantSplit/>
        </w:trPr>
        <w:tc>
          <w:tcPr>
            <w:tcW w:type="dxa" w:w="792"/>
            <w:tcMar>
              <w:top w:w="80" w:type="dxa"/>
              <w:start w:w="100" w:type="dxa"/>
              <w:bottom w:w="80" w:type="dxa"/>
              <w:end w:w="100" w:type="dxa"/>
            </w:tcMar>
            <w:vAlign w:val="top"/>
            <w:shd w:fill="F7F8F9"/>
          </w:tcPr>
          <w:p>
            <w:pPr>
              <w:spacing w:after="0"/>
            </w:pPr>
            <w:r>
              <w:rPr>
                <w:sz w:val="15"/>
              </w:rPr>
              <w:t>AI-004</w:t>
            </w:r>
          </w:p>
        </w:tc>
        <w:tc>
          <w:tcPr>
            <w:tcW w:type="dxa" w:w="1656"/>
            <w:tcMar>
              <w:top w:w="80" w:type="dxa"/>
              <w:start w:w="100" w:type="dxa"/>
              <w:bottom w:w="80" w:type="dxa"/>
              <w:end w:w="100" w:type="dxa"/>
            </w:tcMar>
            <w:vAlign w:val="top"/>
            <w:shd w:fill="F7F8F9"/>
          </w:tcPr>
          <w:p>
            <w:pPr>
              <w:spacing w:after="0"/>
            </w:pPr>
            <w:r>
              <w:rPr>
                <w:sz w:val="15"/>
              </w:rPr>
              <w:t>WingInspect Vision</w:t>
            </w:r>
          </w:p>
        </w:tc>
        <w:tc>
          <w:tcPr>
            <w:tcW w:type="dxa" w:w="2232"/>
            <w:tcMar>
              <w:top w:w="80" w:type="dxa"/>
              <w:start w:w="100" w:type="dxa"/>
              <w:bottom w:w="80" w:type="dxa"/>
              <w:end w:w="100" w:type="dxa"/>
            </w:tcMar>
            <w:vAlign w:val="top"/>
            <w:shd w:fill="F7F8F9"/>
          </w:tcPr>
          <w:p>
            <w:pPr>
              <w:spacing w:after="0"/>
            </w:pPr>
            <w:r>
              <w:rPr>
                <w:sz w:val="15"/>
              </w:rPr>
              <w:t>Restricted pilot only</w:t>
            </w:r>
          </w:p>
        </w:tc>
        <w:tc>
          <w:tcPr>
            <w:tcW w:type="dxa" w:w="1152"/>
            <w:tcMar>
              <w:top w:w="80" w:type="dxa"/>
              <w:start w:w="100" w:type="dxa"/>
              <w:bottom w:w="80" w:type="dxa"/>
              <w:end w:w="100" w:type="dxa"/>
            </w:tcMar>
            <w:vAlign w:val="top"/>
            <w:shd w:fill="F7F8F9"/>
          </w:tcPr>
          <w:p>
            <w:pPr>
              <w:spacing w:after="0"/>
            </w:pPr>
            <w:r>
              <w:rPr>
                <w:sz w:val="15"/>
              </w:rPr>
              <w:t>High</w:t>
            </w:r>
          </w:p>
        </w:tc>
        <w:tc>
          <w:tcPr>
            <w:tcW w:type="dxa" w:w="4320"/>
            <w:tcMar>
              <w:top w:w="80" w:type="dxa"/>
              <w:start w:w="100" w:type="dxa"/>
              <w:bottom w:w="80" w:type="dxa"/>
              <w:end w:w="100" w:type="dxa"/>
            </w:tcMar>
            <w:vAlign w:val="top"/>
            <w:shd w:fill="F7F8F9"/>
          </w:tcPr>
          <w:p>
            <w:pPr>
              <w:spacing w:after="0"/>
            </w:pPr>
            <w:r>
              <w:rPr>
                <w:sz w:val="15"/>
              </w:rPr>
              <w:t>Human inspector remains final authority; false-negative testing; no unvalidated safety-critical reliance.</w:t>
            </w:r>
          </w:p>
        </w:tc>
      </w:tr>
      <w:tr>
        <w:trPr>
          <w:cantSplit/>
        </w:trPr>
        <w:tc>
          <w:tcPr>
            <w:tcW w:type="dxa" w:w="792"/>
            <w:tcMar>
              <w:top w:w="80" w:type="dxa"/>
              <w:start w:w="100" w:type="dxa"/>
              <w:bottom w:w="80" w:type="dxa"/>
              <w:end w:w="100" w:type="dxa"/>
            </w:tcMar>
            <w:vAlign w:val="top"/>
          </w:tcPr>
          <w:p>
            <w:pPr>
              <w:spacing w:after="0"/>
            </w:pPr>
            <w:r>
              <w:rPr>
                <w:sz w:val="15"/>
              </w:rPr>
              <w:t>AI-005</w:t>
            </w:r>
          </w:p>
        </w:tc>
        <w:tc>
          <w:tcPr>
            <w:tcW w:type="dxa" w:w="1656"/>
            <w:tcMar>
              <w:top w:w="80" w:type="dxa"/>
              <w:start w:w="100" w:type="dxa"/>
              <w:bottom w:w="80" w:type="dxa"/>
              <w:end w:w="100" w:type="dxa"/>
            </w:tcMar>
            <w:vAlign w:val="top"/>
          </w:tcPr>
          <w:p>
            <w:pPr>
              <w:spacing w:after="0"/>
            </w:pPr>
            <w:r>
              <w:rPr>
                <w:sz w:val="15"/>
              </w:rPr>
              <w:t>DuckTalent AI</w:t>
            </w:r>
          </w:p>
        </w:tc>
        <w:tc>
          <w:tcPr>
            <w:tcW w:type="dxa" w:w="2232"/>
            <w:tcMar>
              <w:top w:w="80" w:type="dxa"/>
              <w:start w:w="100" w:type="dxa"/>
              <w:bottom w:w="80" w:type="dxa"/>
              <w:end w:w="100" w:type="dxa"/>
            </w:tcMar>
            <w:vAlign w:val="top"/>
          </w:tcPr>
          <w:p>
            <w:pPr>
              <w:spacing w:after="0"/>
            </w:pPr>
            <w:r>
              <w:rPr>
                <w:sz w:val="15"/>
              </w:rPr>
              <w:t>Do not deploy in current state</w:t>
            </w:r>
          </w:p>
        </w:tc>
        <w:tc>
          <w:tcPr>
            <w:tcW w:type="dxa" w:w="1152"/>
            <w:tcMar>
              <w:top w:w="80" w:type="dxa"/>
              <w:start w:w="100" w:type="dxa"/>
              <w:bottom w:w="80" w:type="dxa"/>
              <w:end w:w="100" w:type="dxa"/>
            </w:tcMar>
            <w:vAlign w:val="top"/>
          </w:tcPr>
          <w:p>
            <w:pPr>
              <w:spacing w:after="0"/>
            </w:pPr>
            <w:r>
              <w:rPr>
                <w:sz w:val="15"/>
              </w:rPr>
              <w:t>Critical</w:t>
            </w:r>
          </w:p>
        </w:tc>
        <w:tc>
          <w:tcPr>
            <w:tcW w:type="dxa" w:w="4320"/>
            <w:tcMar>
              <w:top w:w="80" w:type="dxa"/>
              <w:start w:w="100" w:type="dxa"/>
              <w:bottom w:w="80" w:type="dxa"/>
              <w:end w:w="100" w:type="dxa"/>
            </w:tcMar>
            <w:vAlign w:val="top"/>
          </w:tcPr>
          <w:p>
            <w:pPr>
              <w:spacing w:after="0"/>
            </w:pPr>
            <w:r>
              <w:rPr>
                <w:sz w:val="15"/>
              </w:rPr>
              <w:t>Enhanced legal/privacy/fairness analysis; meaningful human review; bias testing; transparency/contestability; critical risk reduced.</w:t>
            </w:r>
          </w:p>
        </w:tc>
      </w:tr>
      <w:tr>
        <w:trPr>
          <w:cantSplit/>
        </w:trPr>
        <w:tc>
          <w:tcPr>
            <w:tcW w:type="dxa" w:w="792"/>
            <w:tcMar>
              <w:top w:w="80" w:type="dxa"/>
              <w:start w:w="100" w:type="dxa"/>
              <w:bottom w:w="80" w:type="dxa"/>
              <w:end w:w="100" w:type="dxa"/>
            </w:tcMar>
            <w:vAlign w:val="top"/>
            <w:shd w:fill="F7F8F9"/>
          </w:tcPr>
          <w:p>
            <w:pPr>
              <w:spacing w:after="0"/>
            </w:pPr>
            <w:r>
              <w:rPr>
                <w:sz w:val="15"/>
              </w:rPr>
              <w:t>AI-006</w:t>
            </w:r>
          </w:p>
        </w:tc>
        <w:tc>
          <w:tcPr>
            <w:tcW w:type="dxa" w:w="1656"/>
            <w:tcMar>
              <w:top w:w="80" w:type="dxa"/>
              <w:start w:w="100" w:type="dxa"/>
              <w:bottom w:w="80" w:type="dxa"/>
              <w:end w:w="100" w:type="dxa"/>
            </w:tcMar>
            <w:vAlign w:val="top"/>
            <w:shd w:fill="F7F8F9"/>
          </w:tcPr>
          <w:p>
            <w:pPr>
              <w:spacing w:after="0"/>
            </w:pPr>
            <w:r>
              <w:rPr>
                <w:sz w:val="15"/>
              </w:rPr>
              <w:t>PondGPT</w:t>
            </w:r>
          </w:p>
        </w:tc>
        <w:tc>
          <w:tcPr>
            <w:tcW w:type="dxa" w:w="2232"/>
            <w:tcMar>
              <w:top w:w="80" w:type="dxa"/>
              <w:start w:w="100" w:type="dxa"/>
              <w:bottom w:w="80" w:type="dxa"/>
              <w:end w:w="100" w:type="dxa"/>
            </w:tcMar>
            <w:vAlign w:val="top"/>
            <w:shd w:fill="F7F8F9"/>
          </w:tcPr>
          <w:p>
            <w:pPr>
              <w:spacing w:after="0"/>
            </w:pPr>
            <w:r>
              <w:rPr>
                <w:sz w:val="15"/>
              </w:rPr>
              <w:t>Restricted pilot only</w:t>
            </w:r>
          </w:p>
        </w:tc>
        <w:tc>
          <w:tcPr>
            <w:tcW w:type="dxa" w:w="1152"/>
            <w:tcMar>
              <w:top w:w="80" w:type="dxa"/>
              <w:start w:w="100" w:type="dxa"/>
              <w:bottom w:w="80" w:type="dxa"/>
              <w:end w:w="100" w:type="dxa"/>
            </w:tcMar>
            <w:vAlign w:val="top"/>
            <w:shd w:fill="F7F8F9"/>
          </w:tcPr>
          <w:p>
            <w:pPr>
              <w:spacing w:after="0"/>
            </w:pPr>
            <w:r>
              <w:rPr>
                <w:sz w:val="15"/>
              </w:rPr>
              <w:t>High</w:t>
            </w:r>
          </w:p>
        </w:tc>
        <w:tc>
          <w:tcPr>
            <w:tcW w:type="dxa" w:w="4320"/>
            <w:tcMar>
              <w:top w:w="80" w:type="dxa"/>
              <w:start w:w="100" w:type="dxa"/>
              <w:bottom w:w="80" w:type="dxa"/>
              <w:end w:w="100" w:type="dxa"/>
            </w:tcMar>
            <w:vAlign w:val="top"/>
            <w:shd w:fill="F7F8F9"/>
          </w:tcPr>
          <w:p>
            <w:pPr>
              <w:spacing w:after="0"/>
            </w:pPr>
            <w:r>
              <w:rPr>
                <w:sz w:val="15"/>
              </w:rPr>
              <w:t>Enterprise access enforcement; sensitive repository exclusions; prompt/RAG security; logging; acceptable-use controls.</w:t>
            </w:r>
          </w:p>
        </w:tc>
      </w:tr>
      <w:tr>
        <w:trPr>
          <w:cantSplit/>
        </w:trPr>
        <w:tc>
          <w:tcPr>
            <w:tcW w:type="dxa" w:w="792"/>
            <w:tcMar>
              <w:top w:w="80" w:type="dxa"/>
              <w:start w:w="100" w:type="dxa"/>
              <w:bottom w:w="80" w:type="dxa"/>
              <w:end w:w="100" w:type="dxa"/>
            </w:tcMar>
            <w:vAlign w:val="top"/>
          </w:tcPr>
          <w:p>
            <w:pPr>
              <w:spacing w:after="0"/>
            </w:pPr>
            <w:r>
              <w:rPr>
                <w:sz w:val="15"/>
              </w:rPr>
              <w:t>AI-007</w:t>
            </w:r>
          </w:p>
        </w:tc>
        <w:tc>
          <w:tcPr>
            <w:tcW w:type="dxa" w:w="1656"/>
            <w:tcMar>
              <w:top w:w="80" w:type="dxa"/>
              <w:start w:w="100" w:type="dxa"/>
              <w:bottom w:w="80" w:type="dxa"/>
              <w:end w:w="100" w:type="dxa"/>
            </w:tcMar>
            <w:vAlign w:val="top"/>
          </w:tcPr>
          <w:p>
            <w:pPr>
              <w:spacing w:after="0"/>
            </w:pPr>
            <w:r>
              <w:rPr>
                <w:sz w:val="15"/>
              </w:rPr>
              <w:t>Unregistered GenAI Usage</w:t>
            </w:r>
          </w:p>
        </w:tc>
        <w:tc>
          <w:tcPr>
            <w:tcW w:type="dxa" w:w="2232"/>
            <w:tcMar>
              <w:top w:w="80" w:type="dxa"/>
              <w:start w:w="100" w:type="dxa"/>
              <w:bottom w:w="80" w:type="dxa"/>
              <w:end w:w="100" w:type="dxa"/>
            </w:tcMar>
            <w:vAlign w:val="top"/>
          </w:tcPr>
          <w:p>
            <w:pPr>
              <w:spacing w:after="0"/>
            </w:pPr>
            <w:r>
              <w:rPr>
                <w:sz w:val="15"/>
              </w:rPr>
              <w:t>Immediate containment</w:t>
            </w:r>
          </w:p>
        </w:tc>
        <w:tc>
          <w:tcPr>
            <w:tcW w:type="dxa" w:w="1152"/>
            <w:tcMar>
              <w:top w:w="80" w:type="dxa"/>
              <w:start w:w="100" w:type="dxa"/>
              <w:bottom w:w="80" w:type="dxa"/>
              <w:end w:w="100" w:type="dxa"/>
            </w:tcMar>
            <w:vAlign w:val="top"/>
          </w:tcPr>
          <w:p>
            <w:pPr>
              <w:spacing w:after="0"/>
            </w:pPr>
            <w:r>
              <w:rPr>
                <w:sz w:val="15"/>
              </w:rPr>
              <w:t>Critical</w:t>
            </w:r>
          </w:p>
        </w:tc>
        <w:tc>
          <w:tcPr>
            <w:tcW w:type="dxa" w:w="4320"/>
            <w:tcMar>
              <w:top w:w="80" w:type="dxa"/>
              <w:start w:w="100" w:type="dxa"/>
              <w:bottom w:w="80" w:type="dxa"/>
              <w:end w:w="100" w:type="dxa"/>
            </w:tcMar>
            <w:vAlign w:val="top"/>
          </w:tcPr>
          <w:p>
            <w:pPr>
              <w:spacing w:after="0"/>
            </w:pPr>
            <w:r>
              <w:rPr>
                <w:sz w:val="15"/>
              </w:rPr>
              <w:t>Discover use cases; prevent sensitive uploads; approve tools; register material uses; investigate exposure.</w:t>
            </w:r>
          </w:p>
        </w:tc>
      </w:tr>
    </w:tbl>
    <w:p>
      <w:pPr>
        <w:widowControl/>
        <w:spacing w:after="20"/>
      </w:pPr>
    </w:p>
    <w:p>
      <w:pPr>
        <w:pStyle w:val="Heading1"/>
        <w:keepNext/>
        <w:widowControl/>
        <w:spacing w:before="160" w:after="80"/>
      </w:pPr>
      <w:r>
        <w:t>17. Management Reporting</w:t>
      </w:r>
    </w:p>
    <w:p>
      <w:pPr>
        <w:widowControl/>
      </w:pPr>
      <w:r>
        <w:t>Management reporting should provide a prioritized portfolio view rather than a collection of technical metrics. The governance dashboard should enable leadership to identify at least: portfolio size and lifecycle state, risk distribution, High/Critical residual risks, blocked systems, unassessed systems, overdue remediation, third-party exposure, significant incidents, upcoming reassessments, exceptions, and control implementation status.</w:t>
      </w:r>
    </w:p>
    <w:p>
      <w:pPr>
        <w:pStyle w:val="Heading1"/>
        <w:keepNext/>
        <w:widowControl/>
        <w:spacing w:before="160" w:after="80"/>
      </w:pPr>
      <w:r>
        <w:t>18. Review and Maintenance</w:t>
      </w:r>
    </w:p>
    <w:p>
      <w:pPr>
        <w:widowControl/>
      </w:pPr>
      <w:r>
        <w:t>The AI Governance Lead maintains this Charter under the sponsorship of the Chief Risk &amp; Compliance Officer. It should be reviewed at least annually and sooner when material regulatory, organizational, technology, risk-appetite, or operating-model changes occur. Material changes require governance review and a new version.</w:t>
      </w:r>
    </w:p>
    <w:p>
      <w:pPr>
        <w:widowControl/>
      </w:pPr>
      <w:r>
        <w:t>This Charter does not replace the detailed AI Governance Committee charter, RACI, AI risk methodology, control library, acceptable-use standard, third-party due-diligence process, incident playbook, human-oversight standard, monitoring/reassessment standard, or independent assurance program. Those artifacts operationalize this Charter and must remain traceable to it.</w:t>
      </w:r>
    </w:p>
    <w:p>
      <w:pPr>
        <w:pStyle w:val="Heading1"/>
        <w:keepNext/>
        <w:widowControl/>
        <w:spacing w:before="160" w:after="80"/>
      </w:pPr>
      <w:r>
        <w:t>19. Proposed Approval and Acknowledgement</w:t>
      </w:r>
    </w:p>
    <w:p>
      <w:pPr>
        <w:widowControl/>
      </w:pPr>
      <w:r>
        <w:t>Because this is a fictional portfolio artifact, the table below records proposed governance roles rather than real signatures or approvals.</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2232"/>
            <w:shd w:fill="18324A"/>
            <w:tcMar>
              <w:top w:w="80" w:type="dxa"/>
              <w:start w:w="100" w:type="dxa"/>
              <w:bottom w:w="80" w:type="dxa"/>
              <w:end w:w="100" w:type="dxa"/>
            </w:tcMar>
            <w:vAlign w:val="center"/>
          </w:tcPr>
          <w:p>
            <w:pPr>
              <w:spacing w:after="0"/>
              <w:jc w:val="left"/>
            </w:pPr>
            <w:r>
              <w:rPr>
                <w:b/>
                <w:color w:val="FFFFFF"/>
                <w:sz w:val="16"/>
              </w:rPr>
              <w:t>Role</w:t>
            </w:r>
          </w:p>
        </w:tc>
        <w:tc>
          <w:tcPr>
            <w:tcW w:type="dxa" w:w="4896"/>
            <w:shd w:fill="18324A"/>
            <w:tcMar>
              <w:top w:w="80" w:type="dxa"/>
              <w:start w:w="100" w:type="dxa"/>
              <w:bottom w:w="80" w:type="dxa"/>
              <w:end w:w="100" w:type="dxa"/>
            </w:tcMar>
            <w:vAlign w:val="center"/>
          </w:tcPr>
          <w:p>
            <w:pPr>
              <w:spacing w:after="0"/>
              <w:jc w:val="left"/>
            </w:pPr>
            <w:r>
              <w:rPr>
                <w:b/>
                <w:color w:val="FFFFFF"/>
                <w:sz w:val="16"/>
              </w:rPr>
              <w:t>Named Stakeholder</w:t>
            </w:r>
          </w:p>
        </w:tc>
        <w:tc>
          <w:tcPr>
            <w:tcW w:type="dxa" w:w="3024"/>
            <w:shd w:fill="18324A"/>
            <w:tcMar>
              <w:top w:w="80" w:type="dxa"/>
              <w:start w:w="100" w:type="dxa"/>
              <w:bottom w:w="80" w:type="dxa"/>
              <w:end w:w="100" w:type="dxa"/>
            </w:tcMar>
            <w:vAlign w:val="center"/>
          </w:tcPr>
          <w:p>
            <w:pPr>
              <w:spacing w:after="0"/>
              <w:jc w:val="left"/>
            </w:pPr>
            <w:r>
              <w:rPr>
                <w:b/>
                <w:color w:val="FFFFFF"/>
                <w:sz w:val="16"/>
              </w:rPr>
              <w:t>Portfolio Status</w:t>
            </w:r>
          </w:p>
        </w:tc>
      </w:tr>
      <w:tr>
        <w:trPr>
          <w:cantSplit/>
        </w:trPr>
        <w:tc>
          <w:tcPr>
            <w:tcW w:type="dxa" w:w="2232"/>
            <w:tcMar>
              <w:top w:w="80" w:type="dxa"/>
              <w:start w:w="100" w:type="dxa"/>
              <w:bottom w:w="80" w:type="dxa"/>
              <w:end w:w="100" w:type="dxa"/>
            </w:tcMar>
            <w:vAlign w:val="top"/>
          </w:tcPr>
          <w:p>
            <w:pPr>
              <w:spacing w:after="0"/>
            </w:pPr>
            <w:r>
              <w:rPr>
                <w:sz w:val="16"/>
              </w:rPr>
              <w:t>Project Sponsor</w:t>
            </w:r>
          </w:p>
        </w:tc>
        <w:tc>
          <w:tcPr>
            <w:tcW w:type="dxa" w:w="4896"/>
            <w:tcMar>
              <w:top w:w="80" w:type="dxa"/>
              <w:start w:w="100" w:type="dxa"/>
              <w:bottom w:w="80" w:type="dxa"/>
              <w:end w:w="100" w:type="dxa"/>
            </w:tcMar>
            <w:vAlign w:val="top"/>
          </w:tcPr>
          <w:p>
            <w:pPr>
              <w:spacing w:after="0"/>
            </w:pPr>
            <w:r>
              <w:rPr>
                <w:sz w:val="16"/>
              </w:rPr>
              <w:t>Dr. Mallory Duckworth - Chief Executive Officer</w:t>
            </w:r>
          </w:p>
        </w:tc>
        <w:tc>
          <w:tcPr>
            <w:tcW w:type="dxa" w:w="3024"/>
            <w:tcMar>
              <w:top w:w="80" w:type="dxa"/>
              <w:start w:w="100" w:type="dxa"/>
              <w:bottom w:w="80" w:type="dxa"/>
              <w:end w:w="100" w:type="dxa"/>
            </w:tcMar>
            <w:vAlign w:val="top"/>
          </w:tcPr>
          <w:p>
            <w:pPr>
              <w:spacing w:after="0"/>
            </w:pPr>
            <w:r>
              <w:rPr>
                <w:sz w:val="16"/>
              </w:rPr>
              <w:t>Proposed approval</w:t>
            </w:r>
          </w:p>
        </w:tc>
      </w:tr>
      <w:tr>
        <w:trPr>
          <w:cantSplit/>
        </w:trPr>
        <w:tc>
          <w:tcPr>
            <w:tcW w:type="dxa" w:w="2232"/>
            <w:tcMar>
              <w:top w:w="80" w:type="dxa"/>
              <w:start w:w="100" w:type="dxa"/>
              <w:bottom w:w="80" w:type="dxa"/>
              <w:end w:w="100" w:type="dxa"/>
            </w:tcMar>
            <w:vAlign w:val="top"/>
            <w:shd w:fill="F7F8F9"/>
          </w:tcPr>
          <w:p>
            <w:pPr>
              <w:spacing w:after="0"/>
            </w:pPr>
            <w:r>
              <w:rPr>
                <w:sz w:val="16"/>
              </w:rPr>
              <w:t>Governance Sponsor</w:t>
            </w:r>
          </w:p>
        </w:tc>
        <w:tc>
          <w:tcPr>
            <w:tcW w:type="dxa" w:w="4896"/>
            <w:tcMar>
              <w:top w:w="80" w:type="dxa"/>
              <w:start w:w="100" w:type="dxa"/>
              <w:bottom w:w="80" w:type="dxa"/>
              <w:end w:w="100" w:type="dxa"/>
            </w:tcMar>
            <w:vAlign w:val="top"/>
            <w:shd w:fill="F7F8F9"/>
          </w:tcPr>
          <w:p>
            <w:pPr>
              <w:spacing w:after="0"/>
            </w:pPr>
            <w:r>
              <w:rPr>
                <w:sz w:val="16"/>
              </w:rPr>
              <w:t>Reginald Duckman - Chief Risk &amp; Compliance Officer</w:t>
            </w:r>
          </w:p>
        </w:tc>
        <w:tc>
          <w:tcPr>
            <w:tcW w:type="dxa" w:w="3024"/>
            <w:tcMar>
              <w:top w:w="80" w:type="dxa"/>
              <w:start w:w="100" w:type="dxa"/>
              <w:bottom w:w="80" w:type="dxa"/>
              <w:end w:w="100" w:type="dxa"/>
            </w:tcMar>
            <w:vAlign w:val="top"/>
            <w:shd w:fill="F7F8F9"/>
          </w:tcPr>
          <w:p>
            <w:pPr>
              <w:spacing w:after="0"/>
            </w:pPr>
            <w:r>
              <w:rPr>
                <w:sz w:val="16"/>
              </w:rPr>
              <w:t>Proposed endorsement / charter owner</w:t>
            </w:r>
          </w:p>
        </w:tc>
      </w:tr>
      <w:tr>
        <w:trPr>
          <w:cantSplit/>
        </w:trPr>
        <w:tc>
          <w:tcPr>
            <w:tcW w:type="dxa" w:w="2232"/>
            <w:tcMar>
              <w:top w:w="80" w:type="dxa"/>
              <w:start w:w="100" w:type="dxa"/>
              <w:bottom w:w="80" w:type="dxa"/>
              <w:end w:w="100" w:type="dxa"/>
            </w:tcMar>
            <w:vAlign w:val="top"/>
          </w:tcPr>
          <w:p>
            <w:pPr>
              <w:spacing w:after="0"/>
            </w:pPr>
            <w:r>
              <w:rPr>
                <w:sz w:val="16"/>
              </w:rPr>
              <w:t>Technology Executive</w:t>
            </w:r>
          </w:p>
        </w:tc>
        <w:tc>
          <w:tcPr>
            <w:tcW w:type="dxa" w:w="4896"/>
            <w:tcMar>
              <w:top w:w="80" w:type="dxa"/>
              <w:start w:w="100" w:type="dxa"/>
              <w:bottom w:w="80" w:type="dxa"/>
              <w:end w:w="100" w:type="dxa"/>
            </w:tcMar>
            <w:vAlign w:val="top"/>
          </w:tcPr>
          <w:p>
            <w:pPr>
              <w:spacing w:after="0"/>
            </w:pPr>
            <w:r>
              <w:rPr>
                <w:sz w:val="16"/>
              </w:rPr>
              <w:t>Prof. Archibald McDuck - Chief Technology Officer</w:t>
            </w:r>
          </w:p>
        </w:tc>
        <w:tc>
          <w:tcPr>
            <w:tcW w:type="dxa" w:w="3024"/>
            <w:tcMar>
              <w:top w:w="80" w:type="dxa"/>
              <w:start w:w="100" w:type="dxa"/>
              <w:bottom w:w="80" w:type="dxa"/>
              <w:end w:w="100" w:type="dxa"/>
            </w:tcMar>
            <w:vAlign w:val="top"/>
          </w:tcPr>
          <w:p>
            <w:pPr>
              <w:spacing w:after="0"/>
            </w:pPr>
            <w:r>
              <w:rPr>
                <w:sz w:val="16"/>
              </w:rPr>
              <w:t>Proposed acknowledgement</w:t>
            </w:r>
          </w:p>
        </w:tc>
      </w:tr>
      <w:tr>
        <w:trPr>
          <w:cantSplit/>
        </w:trPr>
        <w:tc>
          <w:tcPr>
            <w:tcW w:type="dxa" w:w="2232"/>
            <w:tcMar>
              <w:top w:w="80" w:type="dxa"/>
              <w:start w:w="100" w:type="dxa"/>
              <w:bottom w:w="80" w:type="dxa"/>
              <w:end w:w="100" w:type="dxa"/>
            </w:tcMar>
            <w:vAlign w:val="top"/>
            <w:shd w:fill="F7F8F9"/>
          </w:tcPr>
          <w:p>
            <w:pPr>
              <w:spacing w:after="0"/>
            </w:pPr>
            <w:r>
              <w:rPr>
                <w:sz w:val="16"/>
              </w:rPr>
              <w:t>Security Challenger</w:t>
            </w:r>
          </w:p>
        </w:tc>
        <w:tc>
          <w:tcPr>
            <w:tcW w:type="dxa" w:w="4896"/>
            <w:tcMar>
              <w:top w:w="80" w:type="dxa"/>
              <w:start w:w="100" w:type="dxa"/>
              <w:bottom w:w="80" w:type="dxa"/>
              <w:end w:w="100" w:type="dxa"/>
            </w:tcMar>
            <w:vAlign w:val="top"/>
            <w:shd w:fill="F7F8F9"/>
          </w:tcPr>
          <w:p>
            <w:pPr>
              <w:spacing w:after="0"/>
            </w:pPr>
            <w:r>
              <w:rPr>
                <w:sz w:val="16"/>
              </w:rPr>
              <w:t>Cassandra Duckley - Chief Information Security Officer</w:t>
            </w:r>
          </w:p>
        </w:tc>
        <w:tc>
          <w:tcPr>
            <w:tcW w:type="dxa" w:w="3024"/>
            <w:tcMar>
              <w:top w:w="80" w:type="dxa"/>
              <w:start w:w="100" w:type="dxa"/>
              <w:bottom w:w="80" w:type="dxa"/>
              <w:end w:w="100" w:type="dxa"/>
            </w:tcMar>
            <w:vAlign w:val="top"/>
            <w:shd w:fill="F7F8F9"/>
          </w:tcPr>
          <w:p>
            <w:pPr>
              <w:spacing w:after="0"/>
            </w:pPr>
            <w:r>
              <w:rPr>
                <w:sz w:val="16"/>
              </w:rPr>
              <w:t>Proposed acknowledgement</w:t>
            </w:r>
          </w:p>
        </w:tc>
      </w:tr>
      <w:tr>
        <w:trPr>
          <w:cantSplit/>
        </w:trPr>
        <w:tc>
          <w:tcPr>
            <w:tcW w:type="dxa" w:w="2232"/>
            <w:tcMar>
              <w:top w:w="80" w:type="dxa"/>
              <w:start w:w="100" w:type="dxa"/>
              <w:bottom w:w="80" w:type="dxa"/>
              <w:end w:w="100" w:type="dxa"/>
            </w:tcMar>
            <w:vAlign w:val="top"/>
          </w:tcPr>
          <w:p>
            <w:pPr>
              <w:spacing w:after="0"/>
            </w:pPr>
            <w:r>
              <w:rPr>
                <w:sz w:val="16"/>
              </w:rPr>
              <w:t>Independent Assurance</w:t>
            </w:r>
          </w:p>
        </w:tc>
        <w:tc>
          <w:tcPr>
            <w:tcW w:type="dxa" w:w="4896"/>
            <w:tcMar>
              <w:top w:w="80" w:type="dxa"/>
              <w:start w:w="100" w:type="dxa"/>
              <w:bottom w:w="80" w:type="dxa"/>
              <w:end w:w="100" w:type="dxa"/>
            </w:tcMar>
            <w:vAlign w:val="top"/>
          </w:tcPr>
          <w:p>
            <w:pPr>
              <w:spacing w:after="0"/>
            </w:pPr>
            <w:r>
              <w:rPr>
                <w:sz w:val="16"/>
              </w:rPr>
              <w:t>Penelope Duckins - Head of Internal Audit</w:t>
            </w:r>
          </w:p>
        </w:tc>
        <w:tc>
          <w:tcPr>
            <w:tcW w:type="dxa" w:w="3024"/>
            <w:tcMar>
              <w:top w:w="80" w:type="dxa"/>
              <w:start w:w="100" w:type="dxa"/>
              <w:bottom w:w="80" w:type="dxa"/>
              <w:end w:w="100" w:type="dxa"/>
            </w:tcMar>
            <w:vAlign w:val="top"/>
          </w:tcPr>
          <w:p>
            <w:pPr>
              <w:spacing w:after="0"/>
            </w:pPr>
            <w:r>
              <w:rPr>
                <w:sz w:val="16"/>
              </w:rPr>
              <w:t>Acknowledges assurance-readiness design; no operational ownership</w:t>
            </w:r>
          </w:p>
        </w:tc>
      </w:tr>
    </w:tbl>
    <w:p>
      <w:pPr>
        <w:widowControl/>
        <w:spacing w:after="20"/>
      </w:pPr>
    </w:p>
    <w:p>
      <w:pPr>
        <w:pStyle w:val="Heading1"/>
        <w:keepNext/>
        <w:widowControl/>
        <w:spacing w:before="160" w:after="80"/>
      </w:pPr>
      <w:r>
        <w:t>Appendix A - Charter Traceability to Project Deliverables</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880"/>
            <w:shd w:fill="18324A"/>
            <w:tcMar>
              <w:top w:w="80" w:type="dxa"/>
              <w:start w:w="100" w:type="dxa"/>
              <w:bottom w:w="80" w:type="dxa"/>
              <w:end w:w="100" w:type="dxa"/>
            </w:tcMar>
            <w:vAlign w:val="center"/>
          </w:tcPr>
          <w:p>
            <w:pPr>
              <w:spacing w:after="0"/>
              <w:jc w:val="left"/>
            </w:pPr>
            <w:r>
              <w:rPr>
                <w:b/>
                <w:color w:val="FFFFFF"/>
                <w:sz w:val="16"/>
              </w:rPr>
              <w:t>Charter Area</w:t>
            </w:r>
          </w:p>
        </w:tc>
        <w:tc>
          <w:tcPr>
            <w:tcW w:type="dxa" w:w="7272"/>
            <w:shd w:fill="18324A"/>
            <w:tcMar>
              <w:top w:w="80" w:type="dxa"/>
              <w:start w:w="100" w:type="dxa"/>
              <w:bottom w:w="80" w:type="dxa"/>
              <w:end w:w="100" w:type="dxa"/>
            </w:tcMar>
            <w:vAlign w:val="center"/>
          </w:tcPr>
          <w:p>
            <w:pPr>
              <w:spacing w:after="0"/>
              <w:jc w:val="left"/>
            </w:pPr>
            <w:r>
              <w:rPr>
                <w:b/>
                <w:color w:val="FFFFFF"/>
                <w:sz w:val="16"/>
              </w:rPr>
              <w:t>Operationalizing Deliverables</w:t>
            </w:r>
          </w:p>
        </w:tc>
      </w:tr>
      <w:tr>
        <w:trPr>
          <w:cantSplit/>
        </w:trPr>
        <w:tc>
          <w:tcPr>
            <w:tcW w:type="dxa" w:w="2880"/>
            <w:tcMar>
              <w:top w:w="80" w:type="dxa"/>
              <w:start w:w="100" w:type="dxa"/>
              <w:bottom w:w="80" w:type="dxa"/>
              <w:end w:w="100" w:type="dxa"/>
            </w:tcMar>
            <w:vAlign w:val="top"/>
            <w:shd w:fill="EAF0F5"/>
          </w:tcPr>
          <w:p>
            <w:pPr>
              <w:spacing w:after="0"/>
            </w:pPr>
            <w:r>
              <w:rPr>
                <w:sz w:val="16"/>
              </w:rPr>
              <w:t>Visibility and intake</w:t>
            </w:r>
          </w:p>
        </w:tc>
        <w:tc>
          <w:tcPr>
            <w:tcW w:type="dxa" w:w="7272"/>
            <w:tcMar>
              <w:top w:w="80" w:type="dxa"/>
              <w:start w:w="100" w:type="dxa"/>
              <w:bottom w:w="80" w:type="dxa"/>
              <w:end w:w="100" w:type="dxa"/>
            </w:tcMar>
            <w:vAlign w:val="top"/>
          </w:tcPr>
          <w:p>
            <w:pPr>
              <w:spacing w:after="0"/>
            </w:pPr>
            <w:r>
              <w:rPr>
                <w:sz w:val="16"/>
              </w:rPr>
              <w:t>QuackTrack AI System Inventory; Pond-to-Production AI Intake Form &amp; Workflow</w:t>
            </w:r>
          </w:p>
        </w:tc>
      </w:tr>
      <w:tr>
        <w:trPr>
          <w:cantSplit/>
        </w:trPr>
        <w:tc>
          <w:tcPr>
            <w:tcW w:type="dxa" w:w="2880"/>
            <w:tcMar>
              <w:top w:w="80" w:type="dxa"/>
              <w:start w:w="100" w:type="dxa"/>
              <w:bottom w:w="80" w:type="dxa"/>
              <w:end w:w="100" w:type="dxa"/>
            </w:tcMar>
            <w:vAlign w:val="top"/>
            <w:shd w:fill="EAF0F5"/>
          </w:tcPr>
          <w:p>
            <w:pPr>
              <w:spacing w:after="0"/>
            </w:pPr>
            <w:r>
              <w:rPr>
                <w:sz w:val="16"/>
              </w:rPr>
              <w:t>Risk and impact</w:t>
            </w:r>
          </w:p>
        </w:tc>
        <w:tc>
          <w:tcPr>
            <w:tcW w:type="dxa" w:w="7272"/>
            <w:tcMar>
              <w:top w:w="80" w:type="dxa"/>
              <w:start w:w="100" w:type="dxa"/>
              <w:bottom w:w="80" w:type="dxa"/>
              <w:end w:w="100" w:type="dxa"/>
            </w:tcMar>
            <w:vAlign w:val="top"/>
            <w:shd w:fill="F7F8F9"/>
          </w:tcPr>
          <w:p>
            <w:pPr>
              <w:spacing w:after="0"/>
            </w:pPr>
            <w:r>
              <w:rPr>
                <w:sz w:val="16"/>
              </w:rPr>
              <w:t>AI Risk Classification &amp; Assessment Methodology; System Risk Assessment Pack; AI Impact Assessment Pack</w:t>
            </w:r>
          </w:p>
        </w:tc>
      </w:tr>
      <w:tr>
        <w:trPr>
          <w:cantSplit/>
        </w:trPr>
        <w:tc>
          <w:tcPr>
            <w:tcW w:type="dxa" w:w="2880"/>
            <w:tcMar>
              <w:top w:w="80" w:type="dxa"/>
              <w:start w:w="100" w:type="dxa"/>
              <w:bottom w:w="80" w:type="dxa"/>
              <w:end w:w="100" w:type="dxa"/>
            </w:tcMar>
            <w:vAlign w:val="top"/>
            <w:shd w:fill="EAF0F5"/>
          </w:tcPr>
          <w:p>
            <w:pPr>
              <w:spacing w:after="0"/>
            </w:pPr>
            <w:r>
              <w:rPr>
                <w:sz w:val="16"/>
              </w:rPr>
              <w:t>Accountability and decisions</w:t>
            </w:r>
          </w:p>
        </w:tc>
        <w:tc>
          <w:tcPr>
            <w:tcW w:type="dxa" w:w="7272"/>
            <w:tcMar>
              <w:top w:w="80" w:type="dxa"/>
              <w:start w:w="100" w:type="dxa"/>
              <w:bottom w:w="80" w:type="dxa"/>
              <w:end w:w="100" w:type="dxa"/>
            </w:tcMar>
            <w:vAlign w:val="top"/>
          </w:tcPr>
          <w:p>
            <w:pPr>
              <w:spacing w:after="0"/>
            </w:pPr>
            <w:r>
              <w:rPr>
                <w:sz w:val="16"/>
              </w:rPr>
              <w:t>AI Governance Operating Model; AI Governance Committee charter; Duckworks AI RACI</w:t>
            </w:r>
          </w:p>
        </w:tc>
      </w:tr>
      <w:tr>
        <w:trPr>
          <w:cantSplit/>
        </w:trPr>
        <w:tc>
          <w:tcPr>
            <w:tcW w:type="dxa" w:w="2880"/>
            <w:tcMar>
              <w:top w:w="80" w:type="dxa"/>
              <w:start w:w="100" w:type="dxa"/>
              <w:bottom w:w="80" w:type="dxa"/>
              <w:end w:w="100" w:type="dxa"/>
            </w:tcMar>
            <w:vAlign w:val="top"/>
            <w:shd w:fill="EAF0F5"/>
          </w:tcPr>
          <w:p>
            <w:pPr>
              <w:spacing w:after="0"/>
            </w:pPr>
            <w:r>
              <w:rPr>
                <w:sz w:val="16"/>
              </w:rPr>
              <w:t>Controls and policy</w:t>
            </w:r>
          </w:p>
        </w:tc>
        <w:tc>
          <w:tcPr>
            <w:tcW w:type="dxa" w:w="7272"/>
            <w:tcMar>
              <w:top w:w="80" w:type="dxa"/>
              <w:start w:w="100" w:type="dxa"/>
              <w:bottom w:w="80" w:type="dxa"/>
              <w:end w:w="100" w:type="dxa"/>
            </w:tcMar>
            <w:vAlign w:val="top"/>
            <w:shd w:fill="F7F8F9"/>
          </w:tcPr>
          <w:p>
            <w:pPr>
              <w:spacing w:after="0"/>
            </w:pPr>
            <w:r>
              <w:rPr>
                <w:sz w:val="16"/>
              </w:rPr>
              <w:t>AI Control Library; FeatherSafe AI Acceptable Use Standard; Human Oversight Standard</w:t>
            </w:r>
          </w:p>
        </w:tc>
      </w:tr>
      <w:tr>
        <w:trPr>
          <w:cantSplit/>
        </w:trPr>
        <w:tc>
          <w:tcPr>
            <w:tcW w:type="dxa" w:w="2880"/>
            <w:tcMar>
              <w:top w:w="80" w:type="dxa"/>
              <w:start w:w="100" w:type="dxa"/>
              <w:bottom w:w="80" w:type="dxa"/>
              <w:end w:w="100" w:type="dxa"/>
            </w:tcMar>
            <w:vAlign w:val="top"/>
            <w:shd w:fill="EAF0F5"/>
          </w:tcPr>
          <w:p>
            <w:pPr>
              <w:spacing w:after="0"/>
            </w:pPr>
            <w:r>
              <w:rPr>
                <w:sz w:val="16"/>
              </w:rPr>
              <w:t>Third-party governance</w:t>
            </w:r>
          </w:p>
        </w:tc>
        <w:tc>
          <w:tcPr>
            <w:tcW w:type="dxa" w:w="7272"/>
            <w:tcMar>
              <w:top w:w="80" w:type="dxa"/>
              <w:start w:w="100" w:type="dxa"/>
              <w:bottom w:w="80" w:type="dxa"/>
              <w:end w:w="100" w:type="dxa"/>
            </w:tcMar>
            <w:vAlign w:val="top"/>
          </w:tcPr>
          <w:p>
            <w:pPr>
              <w:spacing w:after="0"/>
            </w:pPr>
            <w:r>
              <w:rPr>
                <w:sz w:val="16"/>
              </w:rPr>
              <w:t>Third-Party AI Due Diligence Questionnaire</w:t>
            </w:r>
          </w:p>
        </w:tc>
      </w:tr>
      <w:tr>
        <w:trPr>
          <w:cantSplit/>
        </w:trPr>
        <w:tc>
          <w:tcPr>
            <w:tcW w:type="dxa" w:w="2880"/>
            <w:tcMar>
              <w:top w:w="80" w:type="dxa"/>
              <w:start w:w="100" w:type="dxa"/>
              <w:bottom w:w="80" w:type="dxa"/>
              <w:end w:w="100" w:type="dxa"/>
            </w:tcMar>
            <w:vAlign w:val="top"/>
            <w:shd w:fill="EAF0F5"/>
          </w:tcPr>
          <w:p>
            <w:pPr>
              <w:spacing w:after="0"/>
            </w:pPr>
            <w:r>
              <w:rPr>
                <w:sz w:val="16"/>
              </w:rPr>
              <w:t>Operate and respond</w:t>
            </w:r>
          </w:p>
        </w:tc>
        <w:tc>
          <w:tcPr>
            <w:tcW w:type="dxa" w:w="7272"/>
            <w:tcMar>
              <w:top w:w="80" w:type="dxa"/>
              <w:start w:w="100" w:type="dxa"/>
              <w:bottom w:w="80" w:type="dxa"/>
              <w:end w:w="100" w:type="dxa"/>
            </w:tcMar>
            <w:vAlign w:val="top"/>
            <w:shd w:fill="F7F8F9"/>
          </w:tcPr>
          <w:p>
            <w:pPr>
              <w:spacing w:after="0"/>
            </w:pPr>
            <w:r>
              <w:rPr>
                <w:sz w:val="16"/>
              </w:rPr>
              <w:t>AI Monitoring &amp; Reassessment Standard; AI Incident &amp; Escalation Playbook</w:t>
            </w:r>
          </w:p>
        </w:tc>
      </w:tr>
      <w:tr>
        <w:trPr>
          <w:cantSplit/>
        </w:trPr>
        <w:tc>
          <w:tcPr>
            <w:tcW w:type="dxa" w:w="2880"/>
            <w:tcMar>
              <w:top w:w="80" w:type="dxa"/>
              <w:start w:w="100" w:type="dxa"/>
              <w:bottom w:w="80" w:type="dxa"/>
              <w:end w:w="100" w:type="dxa"/>
            </w:tcMar>
            <w:vAlign w:val="top"/>
            <w:shd w:fill="EAF0F5"/>
          </w:tcPr>
          <w:p>
            <w:pPr>
              <w:spacing w:after="0"/>
            </w:pPr>
            <w:r>
              <w:rPr>
                <w:sz w:val="16"/>
              </w:rPr>
              <w:t>Assure and report</w:t>
            </w:r>
          </w:p>
        </w:tc>
        <w:tc>
          <w:tcPr>
            <w:tcW w:type="dxa" w:w="7272"/>
            <w:tcMar>
              <w:top w:w="80" w:type="dxa"/>
              <w:start w:w="100" w:type="dxa"/>
              <w:bottom w:w="80" w:type="dxa"/>
              <w:end w:w="100" w:type="dxa"/>
            </w:tcMar>
            <w:vAlign w:val="top"/>
          </w:tcPr>
          <w:p>
            <w:pPr>
              <w:spacing w:after="0"/>
            </w:pPr>
            <w:r>
              <w:rPr>
                <w:sz w:val="16"/>
              </w:rPr>
              <w:t>DuckPond Governance Dashboard; AI Assurance &amp; Internal Audit Program; Implementation Roadmap</w:t>
            </w:r>
          </w:p>
        </w:tc>
      </w:tr>
      <w:tr>
        <w:trPr>
          <w:cantSplit/>
        </w:trPr>
        <w:tc>
          <w:tcPr>
            <w:tcW w:type="dxa" w:w="2880"/>
            <w:tcMar>
              <w:top w:w="80" w:type="dxa"/>
              <w:start w:w="100" w:type="dxa"/>
              <w:bottom w:w="80" w:type="dxa"/>
              <w:end w:w="100" w:type="dxa"/>
            </w:tcMar>
            <w:vAlign w:val="top"/>
            <w:shd w:fill="EAF0F5"/>
          </w:tcPr>
          <w:p>
            <w:pPr>
              <w:spacing w:after="0"/>
            </w:pPr>
            <w:r>
              <w:rPr>
                <w:sz w:val="16"/>
              </w:rPr>
              <w:t>Source control</w:t>
            </w:r>
          </w:p>
        </w:tc>
        <w:tc>
          <w:tcPr>
            <w:tcW w:type="dxa" w:w="7272"/>
            <w:tcMar>
              <w:top w:w="80" w:type="dxa"/>
              <w:start w:w="100" w:type="dxa"/>
              <w:bottom w:w="80" w:type="dxa"/>
              <w:end w:w="100" w:type="dxa"/>
            </w:tcMar>
            <w:vAlign w:val="top"/>
            <w:shd w:fill="F7F8F9"/>
          </w:tcPr>
          <w:p>
            <w:pPr>
              <w:spacing w:after="0"/>
            </w:pPr>
            <w:r>
              <w:rPr>
                <w:sz w:val="16"/>
              </w:rPr>
              <w:t>Framework / Legislation Reference File; Assumptions Register; Acceptance Criteria</w:t>
            </w:r>
          </w:p>
        </w:tc>
      </w:tr>
    </w:tbl>
    <w:p>
      <w:pPr>
        <w:widowControl/>
        <w:spacing w:after="20"/>
      </w:pPr>
    </w:p>
    <w:p>
      <w:pPr>
        <w:pStyle w:val="Heading1"/>
        <w:keepNext/>
        <w:widowControl/>
        <w:spacing w:before="160" w:after="80"/>
      </w:pPr>
      <w:r>
        <w:t>Appendix B - Project Source Basis</w:t>
      </w:r>
    </w:p>
    <w:p>
      <w:pPr>
        <w:widowControl/>
      </w:pPr>
      <w:r>
        <w:t>This Charter was drafted from the controlled Duckworks portfolio artifacts available as of 9 August 2026, including the Business Scenario, Project Objectives, In-Scope / Out-of-Scope definition, Stakeholder Register, Assumptions Register, Acceptance Criteria, Required Deliverables, AI Risk Classification &amp; Assessment Methodology, and the Public Frameworks, Legislation &amp; Guidance reference file.</w:t>
      </w:r>
    </w:p>
    <w:p>
      <w:pPr>
        <w:pStyle w:val="SmallNote"/>
        <w:widowControl/>
      </w:pPr>
      <w:r>
        <w:rPr>
          <w:b/>
        </w:rPr>
        <w:t xml:space="preserve">Source discipline: </w:t>
      </w:r>
      <w:r>
        <w:t>Legal and standards statements in this Charter are intentionally high level. Detailed applicability, legal timing, role classification, and provision-level analysis remain in the project regulatory mapping and system assessments. ISO/NIST/OWASP/ENISA alignment is not presented as legal compliance or certification.</w:t>
      </w:r>
    </w:p>
    <w:p>
      <w:pPr>
        <w:pStyle w:val="Heading1"/>
        <w:keepNext/>
        <w:widowControl/>
        <w:spacing w:before="160" w:after="80"/>
      </w:pPr>
      <w:r>
        <w:t>Portfolio Disclaimer</w:t>
      </w:r>
    </w:p>
    <w:p>
      <w:pPr>
        <w:widowControl/>
      </w:pPr>
      <w:r>
        <w:t>Duckworks, Project W.I.N.G., all personnel, committees, systems, datasets, decisions, controls, evidence, and business circumstances referenced in this document are fictional and were created solely for educational and professional portfolio purposes. This Charter is not legal advice, certification evidence, conformity-assessment evidence, or a statement of real-world compliance.</w:t>
      </w:r>
    </w:p>
    <w:sectPr w:rsidR="00FC693F" w:rsidRPr="0006063C" w:rsidSect="00034616">
      <w:headerReference w:type="default" r:id="rId9"/>
      <w:footerReference w:type="default" r:id="rId10"/>
      <w:pgSz w:w="15840" w:h="12240" w:orient="landscape"/>
      <w:pgMar w:top="792" w:right="864" w:bottom="720"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C6670"/>
        <w:sz w:val="16"/>
      </w:rPr>
      <w:t>DW-WING-CHTR-01  |  Version 1.0  |  Fictional portfolio project</w:t>
    </w:r>
  </w:p>
  <w:p>
    <w:pPr>
      <w:jc w:val="right"/>
    </w:pPr>
    <w:r>
      <w:rPr>
        <w:color w:val="5C6670"/>
        <w:sz w:val="16"/>
      </w:rPr>
      <w:t xml:space="preserve">Page </w:t>
    </w:r>
    <w:r>
      <w:rPr>
        <w:color w:val="5C667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2F6F6D"/>
        <w:sz w:val="17"/>
      </w:rPr>
      <w:t>DUCKWORKS  |  PROJECT W.I.N.G.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6F6D"/>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C66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ind w:left="360" w:right="360"/>
    </w:pPr>
    <w:rPr>
      <w:rFonts w:ascii="Aptos" w:hAnsi="Aptos"/>
      <w:i/>
      <w:color w:val="2F6F6D"/>
      <w:sz w:val="20"/>
    </w:rPr>
  </w:style>
  <w:style w:type="paragraph" w:customStyle="1" w:styleId="SmallNote">
    <w:name w:val="Small Note"/>
    <w:rPr>
      <w:rFonts w:ascii="Aptos" w:hAnsi="Aptos"/>
      <w:color w:val="5C6670"/>
      <w:sz w:val="17"/>
    </w:rPr>
  </w:style>
  <w:style w:type="paragraph" w:customStyle="1" w:styleId="TableNote">
    <w:name w:val="Table Note"/>
    <w:rPr>
      <w:rFonts w:ascii="Aptos" w:hAnsi="Aptos"/>
      <w:color w:val="5C66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Enterprise AI Governance Charter</dc:title>
  <dc:subject>Project W.I.N.G. AI governance charter</dc:subject>
  <dc:creator>Duckworks (fictional portfolio project)</dc:creator>
  <cp:keywords>AI governance, charter, Project W.I.N.G., risk, assurance, Duckworks</cp:keywords>
  <dc:description>Fictional portfolio artifact created for professional demonstration.</dc:description>
  <cp:lastModifiedBy/>
  <cp:revision>1</cp:revision>
  <dcterms:created xsi:type="dcterms:W3CDTF">2013-12-23T23:15:00Z</dcterms:created>
  <dcterms:modified xsi:type="dcterms:W3CDTF">2013-12-23T23:15:00Z</dcterms:modified>
  <cp:category/>
</cp:coreProperties>
</file>