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2D6F6D"/>
          <w:sz w:val="32"/>
        </w:rPr>
        <w:t>DUCKWORKS</w:t>
      </w:r>
    </w:p>
    <w:p>
      <w:pPr>
        <w:pStyle w:val="Title"/>
      </w:pPr>
      <w:r>
        <w:t>AI Governance Policy</w:t>
      </w:r>
    </w:p>
    <w:p>
      <w:pPr>
        <w:spacing w:after="280"/>
      </w:pPr>
      <w:r>
        <w:rPr>
          <w:color w:val="27343E"/>
          <w:sz w:val="24"/>
        </w:rPr>
        <w:t>Enterprise policy for accountable, risk-based, secure, transparent and auditable AI governance under Project W.I.N.G.</w:t>
      </w:r>
    </w:p>
    <w:tbl>
      <w:tblPr>
        <w:tblW w:type="auto" w:w="0"/>
        <w:jc w:val="center"/>
        <w:tblLook w:firstColumn="1" w:firstRow="1" w:lastColumn="0" w:lastRow="0" w:noHBand="0" w:noVBand="1" w:val="04A0"/>
      </w:tblPr>
      <w:tblGrid>
        <w:gridCol w:w="10224"/>
      </w:tblGrid>
      <w:tr>
        <w:trPr>
          <w:cantSplit/>
        </w:trPr>
        <w:tc>
          <w:tcPr>
            <w:tcW w:type="dxa" w:w="10224"/>
            <w:shd w:fill="E4F0EF"/>
            <w:tcMar>
              <w:top w:w="118" w:type="dxa"/>
              <w:start w:w="140" w:type="dxa"/>
              <w:bottom w:w="118" w:type="dxa"/>
              <w:end w:w="140" w:type="dxa"/>
            </w:tcMar>
            <w:tcBorders>
              <w:left w:val="single" w:sz="18" w:color="2D6F6D"/>
            </w:tcBorders>
          </w:tcPr>
          <w:p>
            <w:pPr>
              <w:spacing w:after="60"/>
            </w:pPr>
            <w:r>
              <w:rPr>
                <w:b/>
                <w:color w:val="173B57"/>
                <w:sz w:val="20"/>
              </w:rPr>
              <w:t>Policy statement</w:t>
            </w:r>
          </w:p>
          <w:p>
            <w:pPr>
              <w:spacing w:after="0"/>
            </w:pPr>
            <w:r>
              <w:rPr>
                <w:color w:val="27343E"/>
                <w:sz w:val="18"/>
              </w:rPr>
              <w:t>Duckworks shall govern artificial intelligence across its lifecycle using a proportionate and evidence-based model. Every material AI use must be known, owned, assessed, controlled, formally authorized for its lifecycle stage, monitored, and supported by traceable evidence. No internal approval may override applicable law.</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7"/>
              </w:rPr>
              <w:t>Control</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7"/>
              </w:rPr>
              <w:t>Value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Document ID</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DW-WING-POL-02</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Version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1.0</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Status</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Draft for Executive Approval</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Organization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Duckworks (fictional)</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Policy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Reginald Duckman - Chief Risk &amp; Compliance Officer</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Policy administrator</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Eleanor Duckford - AI Governance Lead</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Proposed approver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CEO / Executive Steering</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Effective date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Upon approval</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7"/>
              </w:rPr>
              <w:t>Review cycle</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7"/>
              </w:rPr>
              <w:t>At least annually and after material trigger events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7"/>
              </w:rPr>
              <w:t>Classification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7"/>
              </w:rPr>
              <w:t>Internal Policy / Fictional Portfolio / Synthetic</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EAF1F6"/>
            <w:tcMar>
              <w:top w:w="118" w:type="dxa"/>
              <w:start w:w="140" w:type="dxa"/>
              <w:bottom w:w="118" w:type="dxa"/>
              <w:end w:w="140" w:type="dxa"/>
            </w:tcMar>
            <w:tcBorders>
              <w:left w:val="single" w:sz="18" w:color="2D6F6D"/>
            </w:tcBorders>
          </w:tcPr>
          <w:p>
            <w:pPr>
              <w:spacing w:after="60"/>
            </w:pPr>
            <w:r>
              <w:rPr>
                <w:b/>
                <w:color w:val="173B57"/>
                <w:sz w:val="20"/>
              </w:rPr>
              <w:t>Policy hierarchy</w:t>
            </w:r>
          </w:p>
          <w:p>
            <w:pPr>
              <w:spacing w:after="0"/>
            </w:pPr>
            <w:r>
              <w:rPr>
                <w:color w:val="27343E"/>
                <w:sz w:val="18"/>
              </w:rPr>
              <w:t>The Enterprise AI Governance Charter remains the top-level governance instrument. This policy converts the Charter into mandatory enterprise requirements. The AI Responsible Use Policy governs day-to-day user behavior, while the AI Governance Lifecycle SOP, standards, playbooks, runbooks, registers and templates explain how the requirements are performed and evidenced.</w:t>
            </w:r>
          </w:p>
        </w:tc>
      </w:tr>
    </w:tbl>
    <w:p>
      <w:pPr>
        <w:spacing w:after="0"/>
      </w:pPr>
    </w:p>
    <w:p>
      <w:r>
        <w:br w:type="page"/>
      </w:r>
    </w:p>
    <w:p>
      <w:pPr>
        <w:pStyle w:val="Heading1"/>
      </w:pPr>
      <w:r>
        <w:t>1. Purpose and Authority</w:t>
      </w:r>
    </w:p>
    <w:p>
      <w:pPr>
        <w:spacing w:after="100" w:line="247" w:lineRule="auto"/>
      </w:pPr>
      <w:r>
        <w:t>This policy establishes mandatory enterprise requirements for governing AI at Duckworks. It defines what must be true before AI is acquired, developed, piloted, deployed, materially changed, operated, suspended or retired. It is designed to enable controlled innovation while ensuring that legal, security, privacy, fairness, safety, operational, third-party, ethical and evidence risks receive proportionate governance.</w:t>
      </w:r>
    </w:p>
    <w:p>
      <w:pPr>
        <w:spacing w:after="100" w:line="247" w:lineRule="auto"/>
      </w:pPr>
      <w:r>
        <w:t>This policy sits below the Duckworks Enterprise AI Governance Charter and above operational procedures and technical standards. It does not replace the Charter, the AI Responsible Use Policy, enterprise risk management, the ISMS, procurement, privacy governance, product-safety processes, HR governance, incident response, records management or Internal Audit.</w:t>
      </w:r>
    </w:p>
    <w:p>
      <w:pPr>
        <w:pStyle w:val="Heading2"/>
      </w:pPr>
      <w:r>
        <w:t>1.1 Governance outcome</w:t>
      </w:r>
    </w:p>
    <w:tbl>
      <w:tblPr>
        <w:tblW w:type="auto" w:w="0"/>
        <w:jc w:val="center"/>
        <w:tblLook w:firstColumn="1" w:firstRow="1" w:lastColumn="0" w:lastRow="0" w:noHBand="0" w:noVBand="1" w:val="04A0"/>
      </w:tblPr>
      <w:tblGrid>
        <w:gridCol w:w="10224"/>
      </w:tblGrid>
      <w:tr>
        <w:trPr>
          <w:cantSplit/>
        </w:trPr>
        <w:tc>
          <w:tcPr>
            <w:tcW w:type="dxa" w:w="10224"/>
            <w:shd w:fill="E8F3E5"/>
            <w:tcMar>
              <w:top w:w="118" w:type="dxa"/>
              <w:start w:w="140" w:type="dxa"/>
              <w:bottom w:w="118" w:type="dxa"/>
              <w:end w:w="140" w:type="dxa"/>
            </w:tcMar>
            <w:tcBorders>
              <w:left w:val="single" w:sz="18" w:color="2D6F6D"/>
            </w:tcBorders>
          </w:tcPr>
          <w:p>
            <w:pPr>
              <w:spacing w:after="60"/>
            </w:pPr>
            <w:r>
              <w:rPr>
                <w:b/>
                <w:color w:val="173B57"/>
                <w:sz w:val="20"/>
              </w:rPr>
              <w:t>Duckworks operating principle</w:t>
            </w:r>
          </w:p>
          <w:p>
            <w:pPr>
              <w:spacing w:after="0"/>
            </w:pPr>
            <w:r>
              <w:rPr>
                <w:color w:val="27343E"/>
                <w:sz w:val="18"/>
              </w:rPr>
              <w:t>Every material AI use case should be known, owned, assessed, controlled, monitored, and evidenced in proportion to its potential impact. Planned controls do not count as implemented controls.</w:t>
            </w:r>
          </w:p>
        </w:tc>
      </w:tr>
    </w:tbl>
    <w:p>
      <w:pPr>
        <w:spacing w:after="0"/>
      </w:pPr>
    </w:p>
    <w:p>
      <w:pPr>
        <w:pStyle w:val="Heading1"/>
      </w:pPr>
      <w:r>
        <w:t>2. Scope</w:t>
      </w:r>
    </w:p>
    <w:p>
      <w:pPr>
        <w:spacing w:after="100" w:line="247" w:lineRule="auto"/>
      </w:pPr>
      <w:r>
        <w:t>This policy applies to Duckworks personnel and third parties acting on behalf of Duckworks when AI is proposed, acquired, built, configured, tested, used, changed or retired.</w:t>
      </w:r>
    </w:p>
    <w:p>
      <w:pPr>
        <w:pStyle w:val="ListBullet"/>
        <w:spacing w:after="52"/>
      </w:pPr>
      <w:r>
        <w:t>Internally developed machine-learning and AI systems.</w:t>
      </w:r>
    </w:p>
    <w:p>
      <w:pPr>
        <w:pStyle w:val="ListBullet"/>
        <w:spacing w:after="52"/>
      </w:pPr>
      <w:r>
        <w:t>Third-party AI services, hosted models, APIs and AI-enabled SaaS functionality.</w:t>
      </w:r>
    </w:p>
    <w:p>
      <w:pPr>
        <w:pStyle w:val="ListBullet"/>
        <w:spacing w:after="52"/>
      </w:pPr>
      <w:r>
        <w:t>Generative AI, predictive machine learning, computer vision, coding assistants, embedded AI and agentic or automated workflows.</w:t>
      </w:r>
    </w:p>
    <w:p>
      <w:pPr>
        <w:pStyle w:val="ListBullet"/>
        <w:spacing w:after="52"/>
      </w:pPr>
      <w:r>
        <w:t>AI embedded in engineering, manufacturing, customer service, supply chain, HR, software development, productivity or other business processes.</w:t>
      </w:r>
    </w:p>
    <w:p>
      <w:pPr>
        <w:pStyle w:val="ListBullet"/>
        <w:spacing w:after="52"/>
      </w:pPr>
      <w:r>
        <w:t>Proofs of concept, experiments, pilots, production systems and material changes to existing AI.</w:t>
      </w:r>
    </w:p>
    <w:p>
      <w:pPr>
        <w:pStyle w:val="ListBullet"/>
        <w:spacing w:after="52"/>
      </w:pPr>
      <w:r>
        <w:t>Public or consumer AI used for Duckworks work, data, code, credentials, devices, customer-facing content or decisions.</w:t>
      </w:r>
    </w:p>
    <w:p>
      <w:pPr>
        <w:pStyle w:val="ListBullet"/>
        <w:spacing w:after="52"/>
      </w:pPr>
      <w:r>
        <w:t>Discovered or unregistered shadow AI.</w:t>
      </w:r>
    </w:p>
    <w:p>
      <w:pPr>
        <w:pStyle w:val="Heading2"/>
      </w:pPr>
      <w:r>
        <w:t>2.1 Material AI use</w:t>
      </w:r>
    </w:p>
    <w:p>
      <w:pPr>
        <w:spacing w:after="100" w:line="247" w:lineRule="auto"/>
      </w:pPr>
      <w:r>
        <w:t>For Duckworks internal governance, an AI use is material when it can materially affect people, product or physical safety, confidential or personal data, significant financial or operational decisions, customer outcomes, legal obligations, product quality, or a meaningful third-party/security dependency. This is an internal governance definition and is not a statutory classification.</w:t>
      </w:r>
    </w:p>
    <w:p>
      <w:pPr>
        <w:pStyle w:val="Heading1"/>
      </w:pPr>
      <w:r>
        <w:t>3. Requirement Hierarchy and Interpretation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vAlign w:val="center"/>
            <w:tcMar>
              <w:top w:w="70" w:type="dxa"/>
              <w:start w:w="85" w:type="dxa"/>
              <w:bottom w:w="70" w:type="dxa"/>
              <w:end w:w="85" w:type="dxa"/>
            </w:tcMar>
            <w:shd w:fill="173B57"/>
          </w:tcPr>
          <w:p>
            <w:pPr>
              <w:spacing w:before="0" w:after="0"/>
            </w:pPr>
            <w:r/>
            <w:r>
              <w:rPr>
                <w:rFonts w:ascii="Aptos" w:hAnsi="Aptos"/>
                <w:b/>
                <w:color w:val="FFFFFF"/>
                <w:sz w:val="15"/>
              </w:rPr>
              <w:t>Level</w:t>
            </w:r>
          </w:p>
        </w:tc>
        <w:tc>
          <w:tcPr>
            <w:tcW w:type="dxa" w:w="6336"/>
            <w:vAlign w:val="center"/>
            <w:tcMar>
              <w:top w:w="70" w:type="dxa"/>
              <w:start w:w="85" w:type="dxa"/>
              <w:bottom w:w="70" w:type="dxa"/>
              <w:end w:w="85" w:type="dxa"/>
            </w:tcMar>
            <w:shd w:fill="173B57"/>
          </w:tcPr>
          <w:p>
            <w:pPr>
              <w:spacing w:before="0" w:after="0"/>
            </w:pPr>
            <w:r/>
            <w:r>
              <w:rPr>
                <w:rFonts w:ascii="Aptos" w:hAnsi="Aptos"/>
                <w:b/>
                <w:color w:val="FFFFFF"/>
                <w:sz w:val="15"/>
              </w:rPr>
              <w:t>Interpretation</w:t>
            </w:r>
          </w:p>
        </w:tc>
      </w:tr>
      <w:tr>
        <w:trPr>
          <w:cantSplit/>
        </w:trPr>
        <w:tc>
          <w:tcPr>
            <w:tcW w:type="dxa" w:w="3024"/>
            <w:vAlign w:val="center"/>
            <w:tcMar>
              <w:top w:w="70" w:type="dxa"/>
              <w:start w:w="85" w:type="dxa"/>
              <w:bottom w:w="70" w:type="dxa"/>
              <w:end w:w="85" w:type="dxa"/>
            </w:tcMar>
          </w:tcPr>
          <w:p>
            <w:pPr>
              <w:spacing w:before="0" w:after="0"/>
            </w:pPr>
            <w:r/>
            <w:r>
              <w:rPr>
                <w:rFonts w:ascii="Aptos" w:hAnsi="Aptos"/>
                <w:b w:val="0"/>
                <w:color w:val="27343E"/>
                <w:sz w:val="15"/>
              </w:rPr>
              <w:t>1. Binding law</w:t>
            </w:r>
          </w:p>
        </w:tc>
        <w:tc>
          <w:tcPr>
            <w:tcW w:type="dxa" w:w="6336"/>
            <w:vAlign w:val="center"/>
            <w:tcMar>
              <w:top w:w="70" w:type="dxa"/>
              <w:start w:w="85" w:type="dxa"/>
              <w:bottom w:w="70" w:type="dxa"/>
              <w:end w:w="85" w:type="dxa"/>
            </w:tcMar>
          </w:tcPr>
          <w:p>
            <w:pPr>
              <w:spacing w:before="0" w:after="0"/>
            </w:pPr>
            <w:r/>
            <w:r>
              <w:rPr>
                <w:rFonts w:ascii="Aptos" w:hAnsi="Aptos"/>
                <w:b w:val="0"/>
                <w:color w:val="27343E"/>
                <w:sz w:val="15"/>
              </w:rPr>
              <w:t>Mandatory where applicable. Legal/Privacy or other qualified specialists determine applicability and interpretation. No policy exception can authorize unlawful use.</w:t>
            </w:r>
          </w:p>
        </w:tc>
      </w:tr>
      <w:tr>
        <w:trPr>
          <w:cantSplit/>
        </w:trPr>
        <w:tc>
          <w:tcPr>
            <w:tcW w:type="dxa" w:w="3024"/>
            <w:vAlign w:val="center"/>
            <w:tcMar>
              <w:top w:w="70" w:type="dxa"/>
              <w:start w:w="85" w:type="dxa"/>
              <w:bottom w:w="70" w:type="dxa"/>
              <w:end w:w="85" w:type="dxa"/>
            </w:tcMar>
            <w:shd w:fill="F4F6F7"/>
          </w:tcPr>
          <w:p>
            <w:pPr>
              <w:spacing w:before="0" w:after="0"/>
            </w:pPr>
            <w:r/>
            <w:r>
              <w:rPr>
                <w:rFonts w:ascii="Aptos" w:hAnsi="Aptos"/>
                <w:b w:val="0"/>
                <w:color w:val="27343E"/>
                <w:sz w:val="15"/>
              </w:rPr>
              <w:t>2. Enterprise AI Governance Charter</w:t>
            </w:r>
          </w:p>
        </w:tc>
        <w:tc>
          <w:tcPr>
            <w:tcW w:type="dxa" w:w="6336"/>
            <w:vAlign w:val="center"/>
            <w:tcMar>
              <w:top w:w="70" w:type="dxa"/>
              <w:start w:w="85" w:type="dxa"/>
              <w:bottom w:w="70" w:type="dxa"/>
              <w:end w:w="85" w:type="dxa"/>
            </w:tcMar>
            <w:shd w:fill="F4F6F7"/>
          </w:tcPr>
          <w:p>
            <w:pPr>
              <w:spacing w:before="0" w:after="0"/>
            </w:pPr>
            <w:r/>
            <w:r>
              <w:rPr>
                <w:rFonts w:ascii="Aptos" w:hAnsi="Aptos"/>
                <w:b w:val="0"/>
                <w:color w:val="27343E"/>
                <w:sz w:val="15"/>
              </w:rPr>
              <w:t>Top-level Duckworks authority, principles, accountability and decision rights for material AI.</w:t>
            </w:r>
          </w:p>
        </w:tc>
      </w:tr>
      <w:tr>
        <w:trPr>
          <w:cantSplit/>
        </w:trPr>
        <w:tc>
          <w:tcPr>
            <w:tcW w:type="dxa" w:w="3024"/>
            <w:vAlign w:val="center"/>
            <w:tcMar>
              <w:top w:w="70" w:type="dxa"/>
              <w:start w:w="85" w:type="dxa"/>
              <w:bottom w:w="70" w:type="dxa"/>
              <w:end w:w="85" w:type="dxa"/>
            </w:tcMar>
          </w:tcPr>
          <w:p>
            <w:pPr>
              <w:spacing w:before="0" w:after="0"/>
            </w:pPr>
            <w:r/>
            <w:r>
              <w:rPr>
                <w:rFonts w:ascii="Aptos" w:hAnsi="Aptos"/>
                <w:b w:val="0"/>
                <w:color w:val="27343E"/>
                <w:sz w:val="15"/>
              </w:rPr>
              <w:t>3. This AI Governance Policy</w:t>
            </w:r>
          </w:p>
        </w:tc>
        <w:tc>
          <w:tcPr>
            <w:tcW w:type="dxa" w:w="6336"/>
            <w:vAlign w:val="center"/>
            <w:tcMar>
              <w:top w:w="70" w:type="dxa"/>
              <w:start w:w="85" w:type="dxa"/>
              <w:bottom w:w="70" w:type="dxa"/>
              <w:end w:w="85" w:type="dxa"/>
            </w:tcMar>
          </w:tcPr>
          <w:p>
            <w:pPr>
              <w:spacing w:before="0" w:after="0"/>
            </w:pPr>
            <w:r/>
            <w:r>
              <w:rPr>
                <w:rFonts w:ascii="Aptos" w:hAnsi="Aptos"/>
                <w:b w:val="0"/>
                <w:color w:val="27343E"/>
                <w:sz w:val="15"/>
              </w:rPr>
              <w:t>Mandatory enterprise governance requirements once approved.</w:t>
            </w:r>
          </w:p>
        </w:tc>
      </w:tr>
      <w:tr>
        <w:trPr>
          <w:cantSplit/>
        </w:trPr>
        <w:tc>
          <w:tcPr>
            <w:tcW w:type="dxa" w:w="3024"/>
            <w:vAlign w:val="center"/>
            <w:tcMar>
              <w:top w:w="70" w:type="dxa"/>
              <w:start w:w="85" w:type="dxa"/>
              <w:bottom w:w="70" w:type="dxa"/>
              <w:end w:w="85" w:type="dxa"/>
            </w:tcMar>
            <w:shd w:fill="F4F6F7"/>
          </w:tcPr>
          <w:p>
            <w:pPr>
              <w:spacing w:before="0" w:after="0"/>
            </w:pPr>
            <w:r/>
            <w:r>
              <w:rPr>
                <w:rFonts w:ascii="Aptos" w:hAnsi="Aptos"/>
                <w:b w:val="0"/>
                <w:color w:val="27343E"/>
                <w:sz w:val="15"/>
              </w:rPr>
              <w:t>4. Domain policies and standards</w:t>
            </w:r>
          </w:p>
        </w:tc>
        <w:tc>
          <w:tcPr>
            <w:tcW w:type="dxa" w:w="6336"/>
            <w:vAlign w:val="center"/>
            <w:tcMar>
              <w:top w:w="70" w:type="dxa"/>
              <w:start w:w="85" w:type="dxa"/>
              <w:bottom w:w="70" w:type="dxa"/>
              <w:end w:w="85" w:type="dxa"/>
            </w:tcMar>
            <w:shd w:fill="F4F6F7"/>
          </w:tcPr>
          <w:p>
            <w:pPr>
              <w:spacing w:before="0" w:after="0"/>
            </w:pPr>
            <w:r/>
            <w:r>
              <w:rPr>
                <w:rFonts w:ascii="Aptos" w:hAnsi="Aptos"/>
                <w:b w:val="0"/>
                <w:color w:val="27343E"/>
                <w:sz w:val="15"/>
              </w:rPr>
              <w:t>Responsible Use, information security, privacy, data, human oversight, vendor, change, incident, monitoring and other approved requirements.</w:t>
            </w:r>
          </w:p>
        </w:tc>
      </w:tr>
      <w:tr>
        <w:trPr>
          <w:cantSplit/>
        </w:trPr>
        <w:tc>
          <w:tcPr>
            <w:tcW w:type="dxa" w:w="3024"/>
            <w:vAlign w:val="center"/>
            <w:tcMar>
              <w:top w:w="70" w:type="dxa"/>
              <w:start w:w="85" w:type="dxa"/>
              <w:bottom w:w="70" w:type="dxa"/>
              <w:end w:w="85" w:type="dxa"/>
            </w:tcMar>
          </w:tcPr>
          <w:p>
            <w:pPr>
              <w:spacing w:before="0" w:after="0"/>
            </w:pPr>
            <w:r/>
            <w:r>
              <w:rPr>
                <w:rFonts w:ascii="Aptos" w:hAnsi="Aptos"/>
                <w:b w:val="0"/>
                <w:color w:val="27343E"/>
                <w:sz w:val="15"/>
              </w:rPr>
              <w:t>5. SOPs / playbooks / runbooks / templates</w:t>
            </w:r>
          </w:p>
        </w:tc>
        <w:tc>
          <w:tcPr>
            <w:tcW w:type="dxa" w:w="6336"/>
            <w:vAlign w:val="center"/>
            <w:tcMar>
              <w:top w:w="70" w:type="dxa"/>
              <w:start w:w="85" w:type="dxa"/>
              <w:bottom w:w="70" w:type="dxa"/>
              <w:end w:w="85" w:type="dxa"/>
            </w:tcMar>
          </w:tcPr>
          <w:p>
            <w:pPr>
              <w:spacing w:before="0" w:after="0"/>
            </w:pPr>
            <w:r/>
            <w:r>
              <w:rPr>
                <w:rFonts w:ascii="Aptos" w:hAnsi="Aptos"/>
                <w:b w:val="0"/>
                <w:color w:val="27343E"/>
                <w:sz w:val="15"/>
              </w:rPr>
              <w:t>Operational methods for executing policy requirements and preserving evidence.</w:t>
            </w:r>
          </w:p>
        </w:tc>
      </w:tr>
      <w:tr>
        <w:trPr>
          <w:cantSplit/>
        </w:trPr>
        <w:tc>
          <w:tcPr>
            <w:tcW w:type="dxa" w:w="3024"/>
            <w:vAlign w:val="center"/>
            <w:tcMar>
              <w:top w:w="70" w:type="dxa"/>
              <w:start w:w="85" w:type="dxa"/>
              <w:bottom w:w="70" w:type="dxa"/>
              <w:end w:w="85" w:type="dxa"/>
            </w:tcMar>
            <w:shd w:fill="F4F6F7"/>
          </w:tcPr>
          <w:p>
            <w:pPr>
              <w:spacing w:before="0" w:after="0"/>
            </w:pPr>
            <w:r/>
            <w:r>
              <w:rPr>
                <w:rFonts w:ascii="Aptos" w:hAnsi="Aptos"/>
                <w:b w:val="0"/>
                <w:color w:val="27343E"/>
                <w:sz w:val="15"/>
              </w:rPr>
              <w:t>6. Standards/framework guidance</w:t>
            </w:r>
          </w:p>
        </w:tc>
        <w:tc>
          <w:tcPr>
            <w:tcW w:type="dxa" w:w="6336"/>
            <w:vAlign w:val="center"/>
            <w:tcMar>
              <w:top w:w="70" w:type="dxa"/>
              <w:start w:w="85" w:type="dxa"/>
              <w:bottom w:w="70" w:type="dxa"/>
              <w:end w:w="85" w:type="dxa"/>
            </w:tcMar>
            <w:shd w:fill="F4F6F7"/>
          </w:tcPr>
          <w:p>
            <w:pPr>
              <w:spacing w:before="0" w:after="0"/>
            </w:pPr>
            <w:r/>
            <w:r>
              <w:rPr>
                <w:rFonts w:ascii="Aptos" w:hAnsi="Aptos"/>
                <w:b w:val="0"/>
                <w:color w:val="27343E"/>
                <w:sz w:val="15"/>
              </w:rPr>
              <w:t>NIST, ISO/IEC, ENISA, OWASP, MITRE and similar guidance may inform controls but does not itself create Duckworks legal obligations or certification.</w:t>
            </w:r>
          </w:p>
        </w:tc>
      </w:tr>
      <w:tr>
        <w:trPr>
          <w:cantSplit/>
        </w:trPr>
        <w:tc>
          <w:tcPr>
            <w:tcW w:type="dxa" w:w="3024"/>
            <w:vAlign w:val="center"/>
            <w:tcMar>
              <w:top w:w="70" w:type="dxa"/>
              <w:start w:w="85" w:type="dxa"/>
              <w:bottom w:w="70" w:type="dxa"/>
              <w:end w:w="85" w:type="dxa"/>
            </w:tcMar>
          </w:tcPr>
          <w:p>
            <w:pPr>
              <w:spacing w:before="0" w:after="0"/>
            </w:pPr>
            <w:r/>
            <w:r>
              <w:rPr>
                <w:rFonts w:ascii="Aptos" w:hAnsi="Aptos"/>
                <w:b w:val="0"/>
                <w:color w:val="27343E"/>
                <w:sz w:val="15"/>
              </w:rPr>
              <w:t>7. Project assumptions</w:t>
            </w:r>
          </w:p>
        </w:tc>
        <w:tc>
          <w:tcPr>
            <w:tcW w:type="dxa" w:w="6336"/>
            <w:vAlign w:val="center"/>
            <w:tcMar>
              <w:top w:w="70" w:type="dxa"/>
              <w:start w:w="85" w:type="dxa"/>
              <w:bottom w:w="70" w:type="dxa"/>
              <w:end w:w="85" w:type="dxa"/>
            </w:tcMar>
          </w:tcPr>
          <w:p>
            <w:pPr>
              <w:spacing w:before="0" w:after="0"/>
            </w:pPr>
            <w:r/>
            <w:r>
              <w:rPr>
                <w:rFonts w:ascii="Aptos" w:hAnsi="Aptos"/>
                <w:b w:val="0"/>
                <w:color w:val="27343E"/>
                <w:sz w:val="15"/>
              </w:rPr>
              <w:t>Unverified implementation facts remain assumptions until evidence validates them; material changes can trigger reassessment.</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FF1D5"/>
            <w:tcMar>
              <w:top w:w="118" w:type="dxa"/>
              <w:start w:w="140" w:type="dxa"/>
              <w:bottom w:w="118" w:type="dxa"/>
              <w:end w:w="140" w:type="dxa"/>
            </w:tcMar>
            <w:tcBorders>
              <w:left w:val="single" w:sz="18" w:color="2D6F6D"/>
            </w:tcBorders>
          </w:tcPr>
          <w:p>
            <w:pPr>
              <w:spacing w:after="60"/>
            </w:pPr>
            <w:r>
              <w:rPr>
                <w:b/>
                <w:color w:val="173B57"/>
                <w:sz w:val="20"/>
              </w:rPr>
              <w:t>Critical distinction</w:t>
            </w:r>
          </w:p>
          <w:p>
            <w:pPr>
              <w:spacing w:after="0"/>
            </w:pPr>
            <w:r>
              <w:rPr>
                <w:color w:val="27343E"/>
                <w:sz w:val="18"/>
              </w:rPr>
              <w:t>Duckworks internal Low / Moderate / High / Critical risk ratings, policy change classes, ethical priorities and governance gates are internal management decisions. They must not be represented as EU AI Act high-risk classifications, GDPR determinations, product-safety conformity conclusions or certification results.</w:t>
            </w:r>
          </w:p>
        </w:tc>
      </w:tr>
    </w:tbl>
    <w:p>
      <w:pPr>
        <w:spacing w:after="0"/>
      </w:pPr>
    </w:p>
    <w:p>
      <w:pPr>
        <w:pStyle w:val="Heading1"/>
      </w:pPr>
      <w:r>
        <w:t>4. Key Definitions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5"/>
              </w:rPr>
              <w:t>Term</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5"/>
              </w:rPr>
              <w:t>Duckworks meaning</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AI system</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For this policy, software or a service using AI/ML techniques to generate, predict, classify, rank, recommend, detect, summarize, automate or support decisions. Internal scope definition only.</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Approved AI</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AI that has completed the required Duckworks intake and review and is authorized for a stated purpose, lifecycle stage, data boundary, users and operating conditions.</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Business / AI System Owner</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First-line role accountable for intended purpose, business outcome, affected stakeholders, operating controls, treatment actions and use within the approved boundary.</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Technical Owner</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Role accountable for architecture, model/service implementation, technical validation, technical controls, version/change evidence and monitoring.</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Human oversight</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Meaningful review by a competent authorized person who understands the AI role and limitations, can challenge/override output, can stop/escalate use, and remains accountable for the consequential decision.</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Material change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A change to intended purpose, model/provider, data, affected population, permissions, integrations, autonomy, deployment geography, decision authority or other factor capable of altering risk, controls or legal applicability.</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Current residual risk</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Risk remaining after controls that are actually implemented and supported by evidence.</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Target residual risk</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Expected risk after planned treatment; it is not current-state risk.</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Shadow AI</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AI use occurring outside approved intake, procurement, security, privacy or governance processes.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Legal classification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A statutory or regulatory classification determined under applicable law from actual system facts and organizational role; separate from Duckworks internal risk.</w:t>
            </w:r>
          </w:p>
        </w:tc>
      </w:tr>
    </w:tbl>
    <w:p>
      <w:pPr>
        <w:spacing w:after="0"/>
      </w:pPr>
    </w:p>
    <w:p>
      <w:r>
        <w:br w:type="page"/>
      </w:r>
    </w:p>
    <w:p>
      <w:pPr>
        <w:pStyle w:val="Heading1"/>
      </w:pPr>
      <w:r>
        <w:t>5. AI Governance Principles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5"/>
              </w:rPr>
              <w:t>Principle</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5"/>
              </w:rPr>
              <w:t>Mandatory policy rule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Controlled innovation</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Governance shall enable useful experimentation while preventing unmanaged material exposure.</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Intended purpose first</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Governance shall evaluate the actual use, decision role, autonomy, affected people, data and operating context rather than relying on model type alone.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Proportionality</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Governance depth shall increase with impact, uncertainty, criticality, autonomy, affected-person sensitivity and legal significance.</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Human accountability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Consequential decisions remain assigned to accountable human roles unless a separately approved and lawful design changes that boundary.</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No averaging away severe harm</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A severe safety, rights, privacy, security or product scenario shall not be diluted by averaging it with lower-impact scenarios.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Evidence before reliance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Control effectiveness, validation and approval claims must be supported by evidence. Planned controls receive no current-state credit.</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Lifecycle governance</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Approval is not permanent. Material change, incident, drift, vendor change, data change, control failure or legal change can trigger reassessment.</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Independent challenge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First-line ownership, second-line challenge and third-line assurance shall remain distinct.</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Data responsibility</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AI data shall be authorized, minimized, classified, traceable and protected according to purpose and sensitivity.</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Security and resilience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AI-specific threats and conventional security threats shall be managed through Duckworks' security governance and ISMS.</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Transparency and contestability</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People shall receive appropriate transparency, human access and challenge/remedy mechanisms when required by law, policy or consequence of use.</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Responsible supply chain</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Third-party AI dependency does not transfer Duckworks accountability for its own use of the system.</w:t>
            </w:r>
          </w:p>
        </w:tc>
      </w:tr>
    </w:tbl>
    <w:p>
      <w:pPr>
        <w:spacing w:after="0"/>
      </w:pPr>
    </w:p>
    <w:p>
      <w:pPr>
        <w:pStyle w:val="Heading1"/>
      </w:pPr>
      <w:r>
        <w:t>6. Governance Model and Decision Rights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vAlign w:val="center"/>
            <w:tcMar>
              <w:top w:w="70" w:type="dxa"/>
              <w:start w:w="85" w:type="dxa"/>
              <w:bottom w:w="70" w:type="dxa"/>
              <w:end w:w="85" w:type="dxa"/>
            </w:tcMar>
            <w:shd w:fill="173B57"/>
          </w:tcPr>
          <w:p>
            <w:pPr>
              <w:spacing w:before="0" w:after="0"/>
            </w:pPr>
            <w:r/>
            <w:r>
              <w:rPr>
                <w:rFonts w:ascii="Aptos" w:hAnsi="Aptos"/>
                <w:b/>
                <w:color w:val="FFFFFF"/>
                <w:sz w:val="14"/>
              </w:rPr>
              <w:t>Role / Body</w:t>
            </w:r>
          </w:p>
        </w:tc>
        <w:tc>
          <w:tcPr>
            <w:tcW w:type="dxa" w:w="6192"/>
            <w:vAlign w:val="center"/>
            <w:tcMar>
              <w:top w:w="70" w:type="dxa"/>
              <w:start w:w="85" w:type="dxa"/>
              <w:bottom w:w="70" w:type="dxa"/>
              <w:end w:w="85" w:type="dxa"/>
            </w:tcMar>
            <w:shd w:fill="173B57"/>
          </w:tcPr>
          <w:p>
            <w:pPr>
              <w:spacing w:before="0" w:after="0"/>
            </w:pPr>
            <w:r/>
            <w:r>
              <w:rPr>
                <w:rFonts w:ascii="Aptos" w:hAnsi="Aptos"/>
                <w:b/>
                <w:color w:val="FFFFFF"/>
                <w:sz w:val="14"/>
              </w:rPr>
              <w:t>Primary accountability</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CEO / Executive Sponsor</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Sets enterprise ambition and risk appetite; resolves major conflicts and exceptional Critical residual-risk matters outside normal tolerance.</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Chief Risk &amp; Compliance Officer (CRCO)</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Owns the AI governance framework and policy architecture, chairs the AI Governance Committee and oversees risk escalation.</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AI Governance Lead</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Operates the governance framework, maintains the AI inventory, coordinates assessments and committee packs, and maintains evidence/reporting records.</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Business / AI System Owner</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Owns intended purpose, business outcomes, affected stakeholders, operating controls, treatment plan, monitoring and request for lifecycle approval.</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Technical Owner / Data &amp; AI</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Owns architecture, model/service implementation, technical testing, validation, technical controls, monitoring evidence and change notification.</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CISO / Information Security</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Owns AI security governance, threat-model expectations, security acceptance criteria and emergency security containment.</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General Counsel</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Owns or coordinates legal/regulatory triage and contractual legal review; policy artifacts are not legal opinions.</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DPO</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Provides independent privacy advice, DPIA guidance and monitoring of personal-data compliance.</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Chief People Officer / HR</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Owns workforce-domain governance and enhanced review for employment-related AI.</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Procurement &amp; Vendor Assurance</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Owns AI supplier due diligence, procurement gates, contract process, vendor change review, renewal and exit obligations.</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Product Safety &amp; Quality</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Owns specialist safety/quality review for AI capable of affecting product release, reliability or physical safety.</w:t>
            </w:r>
          </w:p>
        </w:tc>
      </w:tr>
      <w:tr>
        <w:trPr>
          <w:cantSplit/>
        </w:trPr>
        <w:tc>
          <w:tcPr>
            <w:tcW w:type="dxa" w:w="3168"/>
            <w:vAlign w:val="center"/>
            <w:tcMar>
              <w:top w:w="70" w:type="dxa"/>
              <w:start w:w="85" w:type="dxa"/>
              <w:bottom w:w="70" w:type="dxa"/>
              <w:end w:w="85" w:type="dxa"/>
            </w:tcMar>
            <w:shd w:fill="F4F6F7"/>
          </w:tcPr>
          <w:p>
            <w:pPr>
              <w:spacing w:before="0" w:after="0"/>
            </w:pPr>
            <w:r/>
            <w:r>
              <w:rPr>
                <w:rFonts w:ascii="Aptos" w:hAnsi="Aptos"/>
                <w:b w:val="0"/>
                <w:color w:val="27343E"/>
                <w:sz w:val="14"/>
              </w:rPr>
              <w:t>AI Governance Committee</w:t>
            </w:r>
          </w:p>
        </w:tc>
        <w:tc>
          <w:tcPr>
            <w:tcW w:type="dxa" w:w="6192"/>
            <w:vAlign w:val="center"/>
            <w:tcMar>
              <w:top w:w="70" w:type="dxa"/>
              <w:start w:w="85" w:type="dxa"/>
              <w:bottom w:w="70" w:type="dxa"/>
              <w:end w:w="85" w:type="dxa"/>
            </w:tcMar>
            <w:shd w:fill="F4F6F7"/>
          </w:tcPr>
          <w:p>
            <w:pPr>
              <w:spacing w:before="0" w:after="0"/>
            </w:pPr>
            <w:r/>
            <w:r>
              <w:rPr>
                <w:rFonts w:ascii="Aptos" w:hAnsi="Aptos"/>
                <w:b w:val="0"/>
                <w:color w:val="27343E"/>
                <w:sz w:val="14"/>
              </w:rPr>
              <w:t>Cross-functional decision body for High residual risk, material exceptions, significant incidents, reassessments, suspension and other delegated decisions.</w:t>
            </w:r>
          </w:p>
        </w:tc>
      </w:tr>
      <w:tr>
        <w:trPr>
          <w:cantSplit/>
        </w:trPr>
        <w:tc>
          <w:tcPr>
            <w:tcW w:type="dxa" w:w="3168"/>
            <w:vAlign w:val="center"/>
            <w:tcMar>
              <w:top w:w="70" w:type="dxa"/>
              <w:start w:w="85" w:type="dxa"/>
              <w:bottom w:w="70" w:type="dxa"/>
              <w:end w:w="85" w:type="dxa"/>
            </w:tcMar>
          </w:tcPr>
          <w:p>
            <w:pPr>
              <w:spacing w:before="0" w:after="0"/>
            </w:pPr>
            <w:r/>
            <w:r>
              <w:rPr>
                <w:rFonts w:ascii="Aptos" w:hAnsi="Aptos"/>
                <w:b w:val="0"/>
                <w:color w:val="27343E"/>
                <w:sz w:val="14"/>
              </w:rPr>
              <w:t>Internal Audit</w:t>
            </w:r>
          </w:p>
        </w:tc>
        <w:tc>
          <w:tcPr>
            <w:tcW w:type="dxa" w:w="6192"/>
            <w:vAlign w:val="center"/>
            <w:tcMar>
              <w:top w:w="70" w:type="dxa"/>
              <w:start w:w="85" w:type="dxa"/>
              <w:bottom w:w="70" w:type="dxa"/>
              <w:end w:w="85" w:type="dxa"/>
            </w:tcMar>
          </w:tcPr>
          <w:p>
            <w:pPr>
              <w:spacing w:before="0" w:after="0"/>
            </w:pPr>
            <w:r/>
            <w:r>
              <w:rPr>
                <w:rFonts w:ascii="Aptos" w:hAnsi="Aptos"/>
                <w:b w:val="0"/>
                <w:color w:val="27343E"/>
                <w:sz w:val="14"/>
              </w:rPr>
              <w:t>Provides independent third-line assurance; does not own first- or second-line AI controls.</w:t>
            </w:r>
          </w:p>
        </w:tc>
      </w:tr>
    </w:tbl>
    <w:p>
      <w:pPr>
        <w:spacing w:after="0"/>
      </w:pPr>
    </w:p>
    <w:p>
      <w:pPr>
        <w:pStyle w:val="Heading2"/>
      </w:pPr>
      <w:r>
        <w:t>6.1 Segregation rules</w:t>
      </w:r>
    </w:p>
    <w:p>
      <w:pPr>
        <w:pStyle w:val="ListBullet"/>
        <w:spacing w:after="52"/>
      </w:pPr>
      <w:r>
        <w:t>Every material governance activity shall have one clearly accountable role.</w:t>
      </w:r>
    </w:p>
    <w:p>
      <w:pPr>
        <w:pStyle w:val="ListBullet"/>
        <w:spacing w:after="52"/>
      </w:pPr>
      <w:r>
        <w:t>A Business or Technical Owner may propose controls and risk acceptance but shall not unilaterally self-approve High or Critical current residual risk.</w:t>
      </w:r>
    </w:p>
    <w:p>
      <w:pPr>
        <w:pStyle w:val="ListBullet"/>
        <w:spacing w:after="52"/>
      </w:pPr>
      <w:r>
        <w:t>Legal classification shall not be determined by the AI Governance Committee through risk scoring.</w:t>
      </w:r>
    </w:p>
    <w:p>
      <w:pPr>
        <w:pStyle w:val="ListBullet"/>
        <w:spacing w:after="52"/>
      </w:pPr>
      <w:r>
        <w:t>Internal Audit shall not be assigned control ownership, operating approval or first/second-line remediation responsibility.</w:t>
      </w:r>
    </w:p>
    <w:p>
      <w:pPr>
        <w:pStyle w:val="Heading1"/>
      </w:pPr>
      <w:r>
        <w:t>7. Mandatory AI Governance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944"/>
            <w:vAlign w:val="center"/>
            <w:tcMar>
              <w:top w:w="70" w:type="dxa"/>
              <w:start w:w="85" w:type="dxa"/>
              <w:bottom w:w="70" w:type="dxa"/>
              <w:end w:w="85" w:type="dxa"/>
            </w:tcMar>
            <w:shd w:fill="173B57"/>
          </w:tcPr>
          <w:p>
            <w:pPr>
              <w:spacing w:before="0" w:after="0"/>
            </w:pPr>
            <w:r/>
            <w:r>
              <w:rPr>
                <w:rFonts w:ascii="Aptos" w:hAnsi="Aptos"/>
                <w:b/>
                <w:color w:val="FFFFFF"/>
                <w:sz w:val="13"/>
              </w:rPr>
              <w:t>ID / Requirement</w:t>
            </w:r>
          </w:p>
        </w:tc>
        <w:tc>
          <w:tcPr>
            <w:tcW w:type="dxa" w:w="6048"/>
            <w:vAlign w:val="center"/>
            <w:tcMar>
              <w:top w:w="70" w:type="dxa"/>
              <w:start w:w="85" w:type="dxa"/>
              <w:bottom w:w="70" w:type="dxa"/>
              <w:end w:w="85" w:type="dxa"/>
            </w:tcMar>
            <w:shd w:fill="173B57"/>
          </w:tcPr>
          <w:p>
            <w:pPr>
              <w:spacing w:before="0" w:after="0"/>
            </w:pPr>
            <w:r/>
            <w:r>
              <w:rPr>
                <w:rFonts w:ascii="Aptos" w:hAnsi="Aptos"/>
                <w:b/>
                <w:color w:val="FFFFFF"/>
                <w:sz w:val="13"/>
              </w:rPr>
              <w:t>Mandatory rule</w:t>
            </w:r>
          </w:p>
        </w:tc>
        <w:tc>
          <w:tcPr>
            <w:tcW w:type="dxa" w:w="1800"/>
            <w:vAlign w:val="center"/>
            <w:tcMar>
              <w:top w:w="70" w:type="dxa"/>
              <w:start w:w="85" w:type="dxa"/>
              <w:bottom w:w="70" w:type="dxa"/>
              <w:end w:w="85" w:type="dxa"/>
            </w:tcMar>
            <w:shd w:fill="173B57"/>
          </w:tcPr>
          <w:p>
            <w:pPr>
              <w:spacing w:before="0" w:after="0"/>
            </w:pPr>
            <w:r/>
            <w:r>
              <w:rPr>
                <w:rFonts w:ascii="Aptos" w:hAnsi="Aptos"/>
                <w:b/>
                <w:color w:val="FFFFFF"/>
                <w:sz w:val="13"/>
              </w:rPr>
              <w:t>Primary accountability</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GOV-01 Inventory</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Every material AI use must have a current QuackTrack / AI inventory record before material pilot or production use.</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AI Governance Lead</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GOV-02 Intended purpose</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The intended purpose, decision/support boundary, users, affected groups, data, provider/model, integrations and operating context must be documented.</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Business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GOV-03 Ownership</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Every material AI system must have a named Business Owner and an identified Technical Owner or technical accountable function.</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CTO</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GOV-04 Lifecycle gate</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Each AI system must have an explicit lifecycle state and approval status. Use outside the approved gate is prohibited.</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AI Governance Lead / Business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GOV-05 Legal triage</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Potential legal/regulatory obligations and operator roles must be screened separately from internal risk classification.</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General Counsel / relevant specialist</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GOV-06 Risk assessment</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Material AI must complete the proportionate Duckworks risk assessment required by the approved methodology.</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Business Owner / AI Governance Lead</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GOV-07 Impact assessment</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An AI impact assessment must be completed where the use can materially affect people, rights, safety, customers, workforce or other stakeholders.</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AI Governance</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GOV-08 Specialist review</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Security, Privacy, Legal, HR, Product Safety/Quality, Procurement or other specialist review must occur when triggered by the use case.</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Relevant specialist</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GOV-09 Human oversight</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Consequential uses must document reviewer competence, information available, override authority, escalation, stop-use authority and accountability.</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domain owner</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GOV-10 Data governance</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Data used by AI must have authorized purpose, appropriate classification, provenance/quality expectations, access control, retention and change governance.</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Head of Data &amp; AI / Data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GOV-11 Privacy</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Personal-data processing must follow Duckworks privacy governance and applicable data-protection law, including DPIA assessment where required.</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DPO</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GOV-12 Security</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AI systems must undergo risk-proportionate security review, including AI-specific attack paths where relevant.</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CISO / Technical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GOV-13 Validation</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Before release, material AI behavior must be validated against predefined acceptance criteria appropriate to intended purpose and consequence of error.</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Technical Owner / domain SME</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GOV-14 Third-party AI</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AI vendors, hosted models and AI-enabled SaaS must undergo proportionate supplier due diligence, contractual review and change/exit planning.</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Procurement / Legal / CISO / DPO</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GOV-15 Transparency</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AI involvement, limitations and AI-generated/manipulated content must be disclosed where required by law or Duckworks policy and where needed for informed reliance.</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Business Owner / Legal</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GOV-16 AI literacy</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Personnel who operate or use AI on Duckworks' behalf must receive role- and context-appropriate AI literacy support and training.</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CPO / AI Governance / Technical Owners</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GOV-17 Release approval</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Material AI shall not enter a broader lifecycle stage until required owners, assessments, controls, evidence and approval are complete.</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Approver per methodology</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GOV-18 Monitoring</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Approved AI must have risk-proportionate performance, incident, complaint, override, drift, control and vendor monitoring.</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Business / Technical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GOV-19 Incident response</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Material AI incidents must be reported, triaged, contained and escalated through approved incident/runbook routes; whistleblowing protection remains separate.</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CISO / Business Owner / AI Governance</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GOV-20 Change management</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Material changes must enter the AI Change Management Process and reopen affected assessments, controls and approvals.</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Business / Technical Owner</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GOV-21 Reassessment</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Material incidents, drift, control failure, assumption invalidation, vendor/model change, data change, new affected groups or legal changes must trigger reassessment where relevant.</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AI Governance Lead</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GOV-22 Shadow AI</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Unregistered AI use must be discovered, contained where necessary and decomposed into individual use cases before normal approval.</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CISO / AI Governance / Business Owners</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GOV-23 Evidence</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Material control and approval claims must be supported by current, traceable evidence linked to the AI ID.</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Control Owner / AI Governance</w:t>
            </w:r>
          </w:p>
        </w:tc>
      </w:tr>
      <w:tr>
        <w:trPr>
          <w:cantSplit/>
        </w:trPr>
        <w:tc>
          <w:tcPr>
            <w:tcW w:type="dxa" w:w="1944"/>
            <w:vAlign w:val="center"/>
            <w:tcMar>
              <w:top w:w="70" w:type="dxa"/>
              <w:start w:w="85" w:type="dxa"/>
              <w:bottom w:w="70" w:type="dxa"/>
              <w:end w:w="85" w:type="dxa"/>
            </w:tcMar>
            <w:shd w:fill="F4F6F7"/>
          </w:tcPr>
          <w:p>
            <w:pPr>
              <w:spacing w:before="0" w:after="0"/>
            </w:pPr>
            <w:r/>
            <w:r>
              <w:rPr>
                <w:rFonts w:ascii="Aptos" w:hAnsi="Aptos"/>
                <w:b w:val="0"/>
                <w:color w:val="27343E"/>
                <w:sz w:val="13"/>
              </w:rPr>
              <w:t>GOV-24 Exceptions</w:t>
            </w:r>
          </w:p>
        </w:tc>
        <w:tc>
          <w:tcPr>
            <w:tcW w:type="dxa" w:w="6048"/>
            <w:vAlign w:val="center"/>
            <w:tcMar>
              <w:top w:w="70" w:type="dxa"/>
              <w:start w:w="85" w:type="dxa"/>
              <w:bottom w:w="70" w:type="dxa"/>
              <w:end w:w="85" w:type="dxa"/>
            </w:tcMar>
            <w:shd w:fill="F4F6F7"/>
          </w:tcPr>
          <w:p>
            <w:pPr>
              <w:spacing w:before="0" w:after="0"/>
            </w:pPr>
            <w:r/>
            <w:r>
              <w:rPr>
                <w:rFonts w:ascii="Aptos" w:hAnsi="Aptos"/>
                <w:b w:val="0"/>
                <w:color w:val="27343E"/>
                <w:sz w:val="13"/>
              </w:rPr>
              <w:t>Policy exceptions must be documented, time-bounded, risk-assessed, approved at the required authority and monitored to closure.</w:t>
            </w:r>
          </w:p>
        </w:tc>
        <w:tc>
          <w:tcPr>
            <w:tcW w:type="dxa" w:w="1800"/>
            <w:vAlign w:val="center"/>
            <w:tcMar>
              <w:top w:w="70" w:type="dxa"/>
              <w:start w:w="85" w:type="dxa"/>
              <w:bottom w:w="70" w:type="dxa"/>
              <w:end w:w="85" w:type="dxa"/>
            </w:tcMar>
            <w:shd w:fill="F4F6F7"/>
          </w:tcPr>
          <w:p>
            <w:pPr>
              <w:spacing w:before="0" w:after="0"/>
            </w:pPr>
            <w:r/>
            <w:r>
              <w:rPr>
                <w:rFonts w:ascii="Aptos" w:hAnsi="Aptos"/>
                <w:b w:val="0"/>
                <w:color w:val="27343E"/>
                <w:sz w:val="13"/>
              </w:rPr>
              <w:t>CRCO / AI Governance Committee</w:t>
            </w:r>
          </w:p>
        </w:tc>
      </w:tr>
      <w:tr>
        <w:trPr>
          <w:cantSplit/>
        </w:trPr>
        <w:tc>
          <w:tcPr>
            <w:tcW w:type="dxa" w:w="1944"/>
            <w:vAlign w:val="center"/>
            <w:tcMar>
              <w:top w:w="70" w:type="dxa"/>
              <w:start w:w="85" w:type="dxa"/>
              <w:bottom w:w="70" w:type="dxa"/>
              <w:end w:w="85" w:type="dxa"/>
            </w:tcMar>
          </w:tcPr>
          <w:p>
            <w:pPr>
              <w:spacing w:before="0" w:after="0"/>
            </w:pPr>
            <w:r/>
            <w:r>
              <w:rPr>
                <w:rFonts w:ascii="Aptos" w:hAnsi="Aptos"/>
                <w:b w:val="0"/>
                <w:color w:val="27343E"/>
                <w:sz w:val="13"/>
              </w:rPr>
              <w:t>GOV-25 Assurance</w:t>
            </w:r>
          </w:p>
        </w:tc>
        <w:tc>
          <w:tcPr>
            <w:tcW w:type="dxa" w:w="6048"/>
            <w:vAlign w:val="center"/>
            <w:tcMar>
              <w:top w:w="70" w:type="dxa"/>
              <w:start w:w="85" w:type="dxa"/>
              <w:bottom w:w="70" w:type="dxa"/>
              <w:end w:w="85" w:type="dxa"/>
            </w:tcMar>
          </w:tcPr>
          <w:p>
            <w:pPr>
              <w:spacing w:before="0" w:after="0"/>
            </w:pPr>
            <w:r/>
            <w:r>
              <w:rPr>
                <w:rFonts w:ascii="Aptos" w:hAnsi="Aptos"/>
                <w:b w:val="0"/>
                <w:color w:val="27343E"/>
                <w:sz w:val="13"/>
              </w:rPr>
              <w:t>The governance design must remain independently auditable, and Internal Audit must retain third-line independence.</w:t>
            </w:r>
          </w:p>
        </w:tc>
        <w:tc>
          <w:tcPr>
            <w:tcW w:type="dxa" w:w="1800"/>
            <w:vAlign w:val="center"/>
            <w:tcMar>
              <w:top w:w="70" w:type="dxa"/>
              <w:start w:w="85" w:type="dxa"/>
              <w:bottom w:w="70" w:type="dxa"/>
              <w:end w:w="85" w:type="dxa"/>
            </w:tcMar>
          </w:tcPr>
          <w:p>
            <w:pPr>
              <w:spacing w:before="0" w:after="0"/>
            </w:pPr>
            <w:r/>
            <w:r>
              <w:rPr>
                <w:rFonts w:ascii="Aptos" w:hAnsi="Aptos"/>
                <w:b w:val="0"/>
                <w:color w:val="27343E"/>
                <w:sz w:val="13"/>
              </w:rPr>
              <w:t>CRCO / Internal Audit</w:t>
            </w:r>
          </w:p>
        </w:tc>
      </w:tr>
    </w:tbl>
    <w:p>
      <w:pPr>
        <w:spacing w:after="0"/>
      </w:pPr>
    </w:p>
    <w:p>
      <w:r>
        <w:br w:type="page"/>
      </w:r>
    </w:p>
    <w:p>
      <w:pPr>
        <w:pStyle w:val="Heading1"/>
      </w:pPr>
      <w:r>
        <w:t>8. Lifecycle Governance and Minimum Gates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vAlign w:val="center"/>
            <w:tcMar>
              <w:top w:w="70" w:type="dxa"/>
              <w:start w:w="85" w:type="dxa"/>
              <w:bottom w:w="70" w:type="dxa"/>
              <w:end w:w="85" w:type="dxa"/>
            </w:tcMar>
            <w:shd w:fill="173B57"/>
          </w:tcPr>
          <w:p>
            <w:pPr>
              <w:spacing w:before="0" w:after="0"/>
            </w:pPr>
            <w:r/>
            <w:r>
              <w:rPr>
                <w:rFonts w:ascii="Aptos" w:hAnsi="Aptos"/>
                <w:b/>
                <w:color w:val="FFFFFF"/>
                <w:sz w:val="15"/>
              </w:rPr>
              <w:t>Gate</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5"/>
              </w:rPr>
              <w:t>Minimum policy expectation</w:t>
            </w:r>
          </w:p>
        </w:tc>
        <w:tc>
          <w:tcPr>
            <w:tcW w:type="dxa" w:w="1728"/>
            <w:vAlign w:val="center"/>
            <w:tcMar>
              <w:top w:w="70" w:type="dxa"/>
              <w:start w:w="85" w:type="dxa"/>
              <w:bottom w:w="70" w:type="dxa"/>
              <w:end w:w="85" w:type="dxa"/>
            </w:tcMar>
            <w:shd w:fill="173B57"/>
          </w:tcPr>
          <w:p>
            <w:pPr>
              <w:spacing w:before="0" w:after="0"/>
            </w:pPr>
            <w:r/>
            <w:r>
              <w:rPr>
                <w:rFonts w:ascii="Aptos" w:hAnsi="Aptos"/>
                <w:b/>
                <w:color w:val="FFFFFF"/>
                <w:sz w:val="15"/>
              </w:rPr>
              <w:t>Decision rule</w:t>
            </w:r>
          </w:p>
        </w:tc>
      </w:tr>
      <w:tr>
        <w:trPr>
          <w:cantSplit/>
        </w:trPr>
        <w:tc>
          <w:tcPr>
            <w:tcW w:type="dxa" w:w="2016"/>
            <w:vAlign w:val="center"/>
            <w:tcMar>
              <w:top w:w="70" w:type="dxa"/>
              <w:start w:w="85" w:type="dxa"/>
              <w:bottom w:w="70" w:type="dxa"/>
              <w:end w:w="85" w:type="dxa"/>
            </w:tcMar>
          </w:tcPr>
          <w:p>
            <w:pPr>
              <w:spacing w:before="0" w:after="0"/>
            </w:pPr>
            <w:r/>
            <w:r>
              <w:rPr>
                <w:rFonts w:ascii="Aptos" w:hAnsi="Aptos"/>
                <w:b w:val="0"/>
                <w:color w:val="27343E"/>
                <w:sz w:val="15"/>
              </w:rPr>
              <w:t>1. Discover / Intake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Register use; identify intended purpose, owners, users, affected groups, data, provider/model, integrations, geography and decision role.</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No material pilot/production dependency before intake.</w:t>
            </w:r>
          </w:p>
        </w:tc>
      </w:tr>
      <w:tr>
        <w:trPr>
          <w:cantSplit/>
        </w:trPr>
        <w:tc>
          <w:tcPr>
            <w:tcW w:type="dxa" w:w="2016"/>
            <w:vAlign w:val="center"/>
            <w:tcMar>
              <w:top w:w="70" w:type="dxa"/>
              <w:start w:w="85" w:type="dxa"/>
              <w:bottom w:w="70" w:type="dxa"/>
              <w:end w:w="85" w:type="dxa"/>
            </w:tcMar>
            <w:shd w:fill="F4F6F7"/>
          </w:tcPr>
          <w:p>
            <w:pPr>
              <w:spacing w:before="0" w:after="0"/>
            </w:pPr>
            <w:r/>
            <w:r>
              <w:rPr>
                <w:rFonts w:ascii="Aptos" w:hAnsi="Aptos"/>
                <w:b w:val="0"/>
                <w:color w:val="27343E"/>
                <w:sz w:val="15"/>
              </w:rPr>
              <w:t>2. Triage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Screen materiality and specialist triggers; perform legal/regulatory screening separately from internal risk.</w:t>
            </w:r>
          </w:p>
        </w:tc>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Unclear legal/privacy/safety/employment issues remain unresolved, not assumed away.</w:t>
            </w:r>
          </w:p>
        </w:tc>
      </w:tr>
      <w:tr>
        <w:trPr>
          <w:cantSplit/>
        </w:trPr>
        <w:tc>
          <w:tcPr>
            <w:tcW w:type="dxa" w:w="2016"/>
            <w:vAlign w:val="center"/>
            <w:tcMar>
              <w:top w:w="70" w:type="dxa"/>
              <w:start w:w="85" w:type="dxa"/>
              <w:bottom w:w="70" w:type="dxa"/>
              <w:end w:w="85" w:type="dxa"/>
            </w:tcMar>
          </w:tcPr>
          <w:p>
            <w:pPr>
              <w:spacing w:before="0" w:after="0"/>
            </w:pPr>
            <w:r/>
            <w:r>
              <w:rPr>
                <w:rFonts w:ascii="Aptos" w:hAnsi="Aptos"/>
                <w:b w:val="0"/>
                <w:color w:val="27343E"/>
                <w:sz w:val="15"/>
              </w:rPr>
              <w:t>3. Assess</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Complete proportionate impact/risk assessment; identify scenarios, controls, evidence, current residual risk, target risk and treatments.</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Planned controls do not reduce current residual risk.</w:t>
            </w:r>
          </w:p>
        </w:tc>
      </w:tr>
      <w:tr>
        <w:trPr>
          <w:cantSplit/>
        </w:trPr>
        <w:tc>
          <w:tcPr>
            <w:tcW w:type="dxa" w:w="2016"/>
            <w:vAlign w:val="center"/>
            <w:tcMar>
              <w:top w:w="70" w:type="dxa"/>
              <w:start w:w="85" w:type="dxa"/>
              <w:bottom w:w="70" w:type="dxa"/>
              <w:end w:w="85" w:type="dxa"/>
            </w:tcMar>
            <w:shd w:fill="F4F6F7"/>
          </w:tcPr>
          <w:p>
            <w:pPr>
              <w:spacing w:before="0" w:after="0"/>
            </w:pPr>
            <w:r/>
            <w:r>
              <w:rPr>
                <w:rFonts w:ascii="Aptos" w:hAnsi="Aptos"/>
                <w:b w:val="0"/>
                <w:color w:val="27343E"/>
                <w:sz w:val="15"/>
              </w:rPr>
              <w:t>4. Validate</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Perform appropriate technical, security, data, fairness, safety, human-factors or process validation.</w:t>
            </w:r>
          </w:p>
        </w:tc>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Acceptance criteria defined before release.</w:t>
            </w:r>
          </w:p>
        </w:tc>
      </w:tr>
      <w:tr>
        <w:trPr>
          <w:cantSplit/>
        </w:trPr>
        <w:tc>
          <w:tcPr>
            <w:tcW w:type="dxa" w:w="2016"/>
            <w:vAlign w:val="center"/>
            <w:tcMar>
              <w:top w:w="70" w:type="dxa"/>
              <w:start w:w="85" w:type="dxa"/>
              <w:bottom w:w="70" w:type="dxa"/>
              <w:end w:w="85" w:type="dxa"/>
            </w:tcMar>
          </w:tcPr>
          <w:p>
            <w:pPr>
              <w:spacing w:before="0" w:after="0"/>
            </w:pPr>
            <w:r/>
            <w:r>
              <w:rPr>
                <w:rFonts w:ascii="Aptos" w:hAnsi="Aptos"/>
                <w:b w:val="0"/>
                <w:color w:val="27343E"/>
                <w:sz w:val="15"/>
              </w:rPr>
              <w:t>5. Approve / Restrict / Reject</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Record lifecycle decision, authority, conditions, exceptions, action owners and due dates.</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High/Critical decisions follow delegated authority; blocked systems do not proceed.</w:t>
            </w:r>
          </w:p>
        </w:tc>
      </w:tr>
      <w:tr>
        <w:trPr>
          <w:cantSplit/>
        </w:trPr>
        <w:tc>
          <w:tcPr>
            <w:tcW w:type="dxa" w:w="2016"/>
            <w:vAlign w:val="center"/>
            <w:tcMar>
              <w:top w:w="70" w:type="dxa"/>
              <w:start w:w="85" w:type="dxa"/>
              <w:bottom w:w="70" w:type="dxa"/>
              <w:end w:w="85" w:type="dxa"/>
            </w:tcMar>
            <w:shd w:fill="F4F6F7"/>
          </w:tcPr>
          <w:p>
            <w:pPr>
              <w:spacing w:before="0" w:after="0"/>
            </w:pPr>
            <w:r/>
            <w:r>
              <w:rPr>
                <w:rFonts w:ascii="Aptos" w:hAnsi="Aptos"/>
                <w:b w:val="0"/>
                <w:color w:val="27343E"/>
                <w:sz w:val="15"/>
              </w:rPr>
              <w:t>6. Operate / Monitor</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5"/>
              </w:rPr>
              <w:t>Monitor performance, harmful outcomes, complaints, overrides, incidents, drift, vendor changes and evidence health.</w:t>
            </w:r>
          </w:p>
        </w:tc>
        <w:tc>
          <w:tcPr>
            <w:tcW w:type="dxa" w:w="1728"/>
            <w:vAlign w:val="center"/>
            <w:tcMar>
              <w:top w:w="70" w:type="dxa"/>
              <w:start w:w="85" w:type="dxa"/>
              <w:bottom w:w="70" w:type="dxa"/>
              <w:end w:w="85" w:type="dxa"/>
            </w:tcMar>
            <w:shd w:fill="F4F6F7"/>
          </w:tcPr>
          <w:p>
            <w:pPr>
              <w:spacing w:before="0" w:after="0"/>
            </w:pPr>
            <w:r/>
            <w:r>
              <w:rPr>
                <w:rFonts w:ascii="Aptos" w:hAnsi="Aptos"/>
                <w:b w:val="0"/>
                <w:color w:val="27343E"/>
                <w:sz w:val="15"/>
              </w:rPr>
              <w:t>Monitoring must connect to escalation thresholds.</w:t>
            </w:r>
          </w:p>
        </w:tc>
      </w:tr>
      <w:tr>
        <w:trPr>
          <w:cantSplit/>
        </w:trPr>
        <w:tc>
          <w:tcPr>
            <w:tcW w:type="dxa" w:w="2016"/>
            <w:vAlign w:val="center"/>
            <w:tcMar>
              <w:top w:w="70" w:type="dxa"/>
              <w:start w:w="85" w:type="dxa"/>
              <w:bottom w:w="70" w:type="dxa"/>
              <w:end w:w="85" w:type="dxa"/>
            </w:tcMar>
          </w:tcPr>
          <w:p>
            <w:pPr>
              <w:spacing w:before="0" w:after="0"/>
            </w:pPr>
            <w:r/>
            <w:r>
              <w:rPr>
                <w:rFonts w:ascii="Aptos" w:hAnsi="Aptos"/>
                <w:b w:val="0"/>
                <w:color w:val="27343E"/>
                <w:sz w:val="15"/>
              </w:rPr>
              <w:t>7. Reassess / Suspend / Retire</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5"/>
              </w:rPr>
              <w:t>Reassess on material triggers; suspend/retire when risk is outside tolerance, controls fail, assumptions become invalid or value no longer justifies exposure.</w:t>
            </w:r>
          </w:p>
        </w:tc>
        <w:tc>
          <w:tcPr>
            <w:tcW w:type="dxa" w:w="1728"/>
            <w:vAlign w:val="center"/>
            <w:tcMar>
              <w:top w:w="70" w:type="dxa"/>
              <w:start w:w="85" w:type="dxa"/>
              <w:bottom w:w="70" w:type="dxa"/>
              <w:end w:w="85" w:type="dxa"/>
            </w:tcMar>
          </w:tcPr>
          <w:p>
            <w:pPr>
              <w:spacing w:before="0" w:after="0"/>
            </w:pPr>
            <w:r/>
            <w:r>
              <w:rPr>
                <w:rFonts w:ascii="Aptos" w:hAnsi="Aptos"/>
                <w:b w:val="0"/>
                <w:color w:val="27343E"/>
                <w:sz w:val="15"/>
              </w:rPr>
              <w:t>Evidence and exit/deletion records retained as required.</w:t>
            </w:r>
          </w:p>
        </w:tc>
      </w:tr>
    </w:tbl>
    <w:p>
      <w:pPr>
        <w:spacing w:after="0"/>
      </w:pPr>
    </w:p>
    <w:p>
      <w:pPr>
        <w:pStyle w:val="Heading1"/>
      </w:pPr>
      <w:r>
        <w:t>9. Legal and Regulatory Governance</w:t>
      </w:r>
    </w:p>
    <w:p>
      <w:pPr>
        <w:spacing w:after="100" w:line="247" w:lineRule="auto"/>
      </w:pPr>
      <w:r>
        <w:t>Duckworks shall maintain a legal/regulatory triage process that identifies potentially applicable law from the actual intended purpose, system functionality, organizational role, affected persons, geography, sector and lifecycle stage. The risk methodology and governance policy do not make legal determinations.</w:t>
      </w:r>
    </w:p>
    <w:p>
      <w:pPr>
        <w:pStyle w:val="Heading2"/>
      </w:pPr>
      <w:r>
        <w:t>9.1 Current EU AI Act policy position for Version 1.0</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4"/>
              </w:rPr>
              <w:t>Topic</w:t>
            </w:r>
          </w:p>
        </w:tc>
        <w:tc>
          <w:tcPr>
            <w:tcW w:type="dxa" w:w="5616"/>
            <w:vAlign w:val="center"/>
            <w:tcMar>
              <w:top w:w="70" w:type="dxa"/>
              <w:start w:w="85" w:type="dxa"/>
              <w:bottom w:w="70" w:type="dxa"/>
              <w:end w:w="85" w:type="dxa"/>
            </w:tcMar>
            <w:shd w:fill="173B57"/>
          </w:tcPr>
          <w:p>
            <w:pPr>
              <w:spacing w:before="0" w:after="0"/>
            </w:pPr>
            <w:r/>
            <w:r>
              <w:rPr>
                <w:rFonts w:ascii="Aptos" w:hAnsi="Aptos"/>
                <w:b/>
                <w:color w:val="FFFFFF"/>
                <w:sz w:val="14"/>
              </w:rPr>
              <w:t>Policy interpretation</w:t>
            </w:r>
          </w:p>
        </w:tc>
        <w:tc>
          <w:tcPr>
            <w:tcW w:type="dxa" w:w="1512"/>
            <w:vAlign w:val="center"/>
            <w:tcMar>
              <w:top w:w="70" w:type="dxa"/>
              <w:start w:w="85" w:type="dxa"/>
              <w:bottom w:w="70" w:type="dxa"/>
              <w:end w:w="85" w:type="dxa"/>
            </w:tcMar>
            <w:shd w:fill="173B57"/>
          </w:tcPr>
          <w:p>
            <w:pPr>
              <w:spacing w:before="0" w:after="0"/>
            </w:pPr>
            <w:r/>
            <w:r>
              <w:rPr>
                <w:rFonts w:ascii="Aptos" w:hAnsi="Aptos"/>
                <w:b/>
                <w:color w:val="FFFFFF"/>
                <w:sz w:val="14"/>
              </w:rPr>
              <w:t>Classification</w:t>
            </w:r>
          </w:p>
        </w:tc>
      </w:tr>
      <w:tr>
        <w:trPr>
          <w:cantSplit/>
        </w:trP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AI literacy - Article 4</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4"/>
              </w:rPr>
              <w:t>Where Duckworks is a provider or deployer, the current consolidated AI Act requires measures supporting AI literacy for staff and other persons operating/using AI on its behalf, tailored to knowledge, experience and context. The provision does not require guaranteeing a specific individual level.</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Mandatory where applicable; Duckworks applies a broader internal role-based training rule.</w:t>
            </w:r>
          </w:p>
        </w:tc>
      </w:tr>
      <w:tr>
        <w:trPr>
          <w:cantSplit/>
        </w:trP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Prohibited practices - Article 5</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4"/>
              </w:rPr>
              <w:t>AI uses falling within applicable prohibited-practice rules must not be placed on the market, put into service or used as prohibited.</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Mandatory. Legal maintains interpretation; no internal exception may override.</w:t>
            </w:r>
          </w:p>
        </w:tc>
      </w:tr>
      <w:tr>
        <w:trPr>
          <w:cantSplit/>
        </w:trP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Transparency - Article 50</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4"/>
              </w:rPr>
              <w:t>Certain providers/deployers have duties to inform people about AI interaction and to disclose or mark certain AI-generated/manipulated content, subject to conditions/exceptions.</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Mandatory where the specific Article 50 trigger applies.</w:t>
            </w:r>
          </w:p>
        </w:tc>
      </w:tr>
      <w:tr>
        <w:trPr>
          <w:cantSplit/>
        </w:trPr>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4"/>
              </w:rPr>
              <w:t>High-risk Chapter III</w:t>
            </w:r>
          </w:p>
        </w:tc>
        <w:tc>
          <w:tcPr>
            <w:tcW w:type="dxa" w:w="5616"/>
            <w:vAlign w:val="center"/>
            <w:tcMar>
              <w:top w:w="70" w:type="dxa"/>
              <w:start w:w="85" w:type="dxa"/>
              <w:bottom w:w="70" w:type="dxa"/>
              <w:end w:w="85" w:type="dxa"/>
            </w:tcMar>
            <w:shd w:fill="F4F6F7"/>
          </w:tcPr>
          <w:p>
            <w:pPr>
              <w:spacing w:before="0" w:after="0"/>
            </w:pPr>
            <w:r/>
            <w:r>
              <w:rPr>
                <w:rFonts w:ascii="Aptos" w:hAnsi="Aptos"/>
                <w:b w:val="0"/>
                <w:color w:val="27343E"/>
                <w:sz w:val="14"/>
              </w:rPr>
              <w:t>The current consolidated application schedule delays Chapter III Sections 1-3 for Annex III high-risk systems to 2 December 2027 and for Article 6(1)/Annex I high-risk systems to 2 August 2028, with stated exceptions.</w:t>
            </w:r>
          </w:p>
        </w:tc>
        <w:tc>
          <w:tcPr>
            <w:tcW w:type="dxa" w:w="1512"/>
            <w:vAlign w:val="center"/>
            <w:tcMar>
              <w:top w:w="70" w:type="dxa"/>
              <w:start w:w="85" w:type="dxa"/>
              <w:bottom w:w="70" w:type="dxa"/>
              <w:end w:w="85" w:type="dxa"/>
            </w:tcMar>
            <w:shd w:fill="F4F6F7"/>
          </w:tcPr>
          <w:p>
            <w:pPr>
              <w:spacing w:before="0" w:after="0"/>
            </w:pPr>
            <w:r/>
            <w:r>
              <w:rPr>
                <w:rFonts w:ascii="Aptos" w:hAnsi="Aptos"/>
                <w:b w:val="0"/>
                <w:color w:val="27343E"/>
                <w:sz w:val="14"/>
              </w:rPr>
              <w:t>Timing-sensitive legal requirement. Duckworks may impose similar controls earlier as internal practice.</w:t>
            </w:r>
          </w:p>
        </w:tc>
      </w:tr>
      <w:tr>
        <w:trPr>
          <w:cantSplit/>
        </w:trPr>
        <w:tc>
          <w:tcPr>
            <w:tcW w:type="dxa" w:w="2232"/>
            <w:vAlign w:val="center"/>
            <w:tcMar>
              <w:top w:w="70" w:type="dxa"/>
              <w:start w:w="85" w:type="dxa"/>
              <w:bottom w:w="70" w:type="dxa"/>
              <w:end w:w="85" w:type="dxa"/>
            </w:tcMar>
          </w:tcPr>
          <w:p>
            <w:pPr>
              <w:spacing w:before="0" w:after="0"/>
            </w:pPr>
            <w:r/>
            <w:r>
              <w:rPr>
                <w:rFonts w:ascii="Aptos" w:hAnsi="Aptos"/>
                <w:b w:val="0"/>
                <w:color w:val="27343E"/>
                <w:sz w:val="14"/>
              </w:rPr>
              <w:t>Other EU law</w:t>
            </w:r>
          </w:p>
        </w:tc>
        <w:tc>
          <w:tcPr>
            <w:tcW w:type="dxa" w:w="5616"/>
            <w:vAlign w:val="center"/>
            <w:tcMar>
              <w:top w:w="70" w:type="dxa"/>
              <w:start w:w="85" w:type="dxa"/>
              <w:bottom w:w="70" w:type="dxa"/>
              <w:end w:w="85" w:type="dxa"/>
            </w:tcMar>
          </w:tcPr>
          <w:p>
            <w:pPr>
              <w:spacing w:before="0" w:after="0"/>
            </w:pPr>
            <w:r/>
            <w:r>
              <w:rPr>
                <w:rFonts w:ascii="Aptos" w:hAnsi="Aptos"/>
                <w:b w:val="0"/>
                <w:color w:val="27343E"/>
                <w:sz w:val="14"/>
              </w:rPr>
              <w:t>The AI Act does not displace applicable personal-data, product-safety, consumer, employment or other Union/national rules.</w:t>
            </w:r>
          </w:p>
        </w:tc>
        <w:tc>
          <w:tcPr>
            <w:tcW w:type="dxa" w:w="1512"/>
            <w:vAlign w:val="center"/>
            <w:tcMar>
              <w:top w:w="70" w:type="dxa"/>
              <w:start w:w="85" w:type="dxa"/>
              <w:bottom w:w="70" w:type="dxa"/>
              <w:end w:w="85" w:type="dxa"/>
            </w:tcMar>
          </w:tcPr>
          <w:p>
            <w:pPr>
              <w:spacing w:before="0" w:after="0"/>
            </w:pPr>
            <w:r/>
            <w:r>
              <w:rPr>
                <w:rFonts w:ascii="Aptos" w:hAnsi="Aptos"/>
                <w:b w:val="0"/>
                <w:color w:val="27343E"/>
                <w:sz w:val="14"/>
              </w:rPr>
              <w:t>Separate legal workstreams remain mandatory where applicable.</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FF1D5"/>
            <w:tcMar>
              <w:top w:w="118" w:type="dxa"/>
              <w:start w:w="140" w:type="dxa"/>
              <w:bottom w:w="118" w:type="dxa"/>
              <w:end w:w="140" w:type="dxa"/>
            </w:tcMar>
            <w:tcBorders>
              <w:left w:val="single" w:sz="18" w:color="2D6F6D"/>
            </w:tcBorders>
          </w:tcPr>
          <w:p>
            <w:pPr>
              <w:spacing w:after="60"/>
            </w:pPr>
            <w:r>
              <w:rPr>
                <w:b/>
                <w:color w:val="173B57"/>
                <w:sz w:val="20"/>
              </w:rPr>
              <w:t>Do not overclaim</w:t>
            </w:r>
          </w:p>
          <w:p>
            <w:pPr>
              <w:spacing w:after="0"/>
            </w:pPr>
            <w:r>
              <w:rPr>
                <w:color w:val="27343E"/>
                <w:sz w:val="18"/>
              </w:rPr>
              <w:t>A completed Duckworks risk assessment, impact assessment, policy checklist or standards mapping does not establish EU AI Act conformity. Legal role, classification, timing and system-specific duties must be confirmed from current law and validated facts.</w:t>
            </w:r>
          </w:p>
        </w:tc>
      </w:tr>
    </w:tbl>
    <w:p>
      <w:pPr>
        <w:spacing w:after="0"/>
      </w:pPr>
    </w:p>
    <w:p>
      <w:pPr>
        <w:pStyle w:val="Heading1"/>
      </w:pPr>
      <w:r>
        <w:t>10. Personal Data and Privacy</w:t>
      </w:r>
    </w:p>
    <w:p>
      <w:pPr>
        <w:pStyle w:val="ListBullet"/>
        <w:spacing w:after="52"/>
      </w:pPr>
      <w:r>
        <w:t>Where AI processes personal data, Duckworks shall apply GDPR and other applicable privacy requirements independently of the AI Act.</w:t>
      </w:r>
    </w:p>
    <w:p>
      <w:pPr>
        <w:pStyle w:val="ListBullet"/>
        <w:spacing w:after="52"/>
      </w:pPr>
      <w:r>
        <w:t>Purpose, lawful basis, transparency, minimization, data quality, retention, access, processor roles, transfers and security shall be addressed through the established privacy governance process.</w:t>
      </w:r>
    </w:p>
    <w:p>
      <w:pPr>
        <w:pStyle w:val="ListBullet"/>
        <w:spacing w:after="52"/>
      </w:pPr>
      <w:r>
        <w:t>A GDPR DPIA shall be performed when the Article 35 threshold is met. This policy does not substitute for a DPIA.</w:t>
      </w:r>
    </w:p>
    <w:p>
      <w:pPr>
        <w:pStyle w:val="ListBullet"/>
        <w:spacing w:after="52"/>
      </w:pPr>
      <w:r>
        <w:t>Personal, applicant, employee or customer data shall not be submitted to unapproved public AI services.</w:t>
      </w:r>
    </w:p>
    <w:p>
      <w:pPr>
        <w:pStyle w:val="ListBullet"/>
        <w:spacing w:after="52"/>
      </w:pPr>
      <w:r>
        <w:t>Vendor use of Duckworks data for shared-model training or provider improvement is prohibited by default unless explicitly approved under the applicable contract/DPA and governance process.</w:t>
      </w:r>
    </w:p>
    <w:p>
      <w:pPr>
        <w:pStyle w:val="Heading1"/>
      </w:pPr>
      <w:r>
        <w:t>11. Data and Model Governance</w:t>
      </w:r>
    </w:p>
    <w:p>
      <w:pPr>
        <w:pStyle w:val="ListBullet"/>
        <w:spacing w:after="52"/>
      </w:pPr>
      <w:r>
        <w:t>Material AI datasets, knowledge corpora and reference sources shall have documented purpose, owner, provenance, classification and quality expectations.</w:t>
      </w:r>
    </w:p>
    <w:p>
      <w:pPr>
        <w:pStyle w:val="ListBullet"/>
        <w:spacing w:after="52"/>
      </w:pPr>
      <w:r>
        <w:t>Where Duckworks trains or fine-tunes models, training/validation/test data roles and dataset versions shall be traceable and evaluation leakage shall be controlled.</w:t>
      </w:r>
    </w:p>
    <w:p>
      <w:pPr>
        <w:pStyle w:val="ListBullet"/>
        <w:spacing w:after="52"/>
      </w:pPr>
      <w:r>
        <w:t>RAG and knowledge sources shall preserve source authorization, freshness, provenance and deletion/change propagation where material.</w:t>
      </w:r>
    </w:p>
    <w:p>
      <w:pPr>
        <w:pStyle w:val="ListBullet"/>
        <w:spacing w:after="52"/>
      </w:pPr>
      <w:r>
        <w:t>Material changes to training/reference data, features, labels, corpora, embeddings or input categories shall trigger change screening.</w:t>
      </w:r>
    </w:p>
    <w:p>
      <w:pPr>
        <w:pStyle w:val="ListBullet"/>
        <w:spacing w:after="52"/>
      </w:pPr>
      <w:r>
        <w:t>AI Bills of Materials or equivalent dependency records shall be maintained where proportional to system complexity, supplier dependency and assurance need.</w:t>
      </w:r>
    </w:p>
    <w:p>
      <w:pPr>
        <w:pStyle w:val="Heading1"/>
      </w:pPr>
      <w:r>
        <w:t>12. AI Security and Resilience</w:t>
      </w:r>
    </w:p>
    <w:p>
      <w:pPr>
        <w:spacing w:after="100" w:line="247" w:lineRule="auto"/>
      </w:pPr>
      <w:r>
        <w:t>AI security shall be integrated into Duckworks' information-security management and secure engineering practices rather than operated as an isolated parallel control system.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20"/>
            <w:vAlign w:val="center"/>
            <w:tcMar>
              <w:top w:w="70" w:type="dxa"/>
              <w:start w:w="85" w:type="dxa"/>
              <w:bottom w:w="70" w:type="dxa"/>
              <w:end w:w="85" w:type="dxa"/>
            </w:tcMar>
            <w:shd w:fill="173B57"/>
          </w:tcPr>
          <w:p>
            <w:pPr>
              <w:spacing w:before="0" w:after="0"/>
            </w:pPr>
            <w:r/>
            <w:r>
              <w:rPr>
                <w:rFonts w:ascii="Aptos" w:hAnsi="Aptos"/>
                <w:b/>
                <w:color w:val="FFFFFF"/>
                <w:sz w:val="15"/>
              </w:rPr>
              <w:t>Security area</w:t>
            </w:r>
          </w:p>
        </w:tc>
        <w:tc>
          <w:tcPr>
            <w:tcW w:type="dxa" w:w="6840"/>
            <w:vAlign w:val="center"/>
            <w:tcMar>
              <w:top w:w="70" w:type="dxa"/>
              <w:start w:w="85" w:type="dxa"/>
              <w:bottom w:w="70" w:type="dxa"/>
              <w:end w:w="85" w:type="dxa"/>
            </w:tcMar>
            <w:shd w:fill="173B57"/>
          </w:tcPr>
          <w:p>
            <w:pPr>
              <w:spacing w:before="0" w:after="0"/>
            </w:pPr>
            <w:r/>
            <w:r>
              <w:rPr>
                <w:rFonts w:ascii="Aptos" w:hAnsi="Aptos"/>
                <w:b/>
                <w:color w:val="FFFFFF"/>
                <w:sz w:val="15"/>
              </w:rPr>
              <w:t>Policy expectation</w:t>
            </w:r>
          </w:p>
        </w:tc>
      </w:tr>
      <w:tr>
        <w:trPr>
          <w:cantSplit/>
        </w:trPr>
        <w:tc>
          <w:tcPr>
            <w:tcW w:type="dxa" w:w="2520"/>
            <w:vAlign w:val="center"/>
            <w:tcMar>
              <w:top w:w="70" w:type="dxa"/>
              <w:start w:w="85" w:type="dxa"/>
              <w:bottom w:w="70" w:type="dxa"/>
              <w:end w:w="85" w:type="dxa"/>
            </w:tcMar>
          </w:tcPr>
          <w:p>
            <w:pPr>
              <w:spacing w:before="0" w:after="0"/>
            </w:pPr>
            <w:r/>
            <w:r>
              <w:rPr>
                <w:rFonts w:ascii="Aptos" w:hAnsi="Aptos"/>
                <w:b w:val="0"/>
                <w:color w:val="27343E"/>
                <w:sz w:val="15"/>
              </w:rPr>
              <w:t>Access and identity</w:t>
            </w:r>
          </w:p>
        </w:tc>
        <w:tc>
          <w:tcPr>
            <w:tcW w:type="dxa" w:w="6840"/>
            <w:vAlign w:val="center"/>
            <w:tcMar>
              <w:top w:w="70" w:type="dxa"/>
              <w:start w:w="85" w:type="dxa"/>
              <w:bottom w:w="70" w:type="dxa"/>
              <w:end w:w="85" w:type="dxa"/>
            </w:tcMar>
          </w:tcPr>
          <w:p>
            <w:pPr>
              <w:spacing w:before="0" w:after="0"/>
            </w:pPr>
            <w:r/>
            <w:r>
              <w:rPr>
                <w:rFonts w:ascii="Aptos" w:hAnsi="Aptos"/>
                <w:b w:val="0"/>
                <w:color w:val="27343E"/>
                <w:sz w:val="15"/>
              </w:rPr>
              <w:t>Least privilege, strong authentication, authorization boundaries, privileged administration and periodic review.</w:t>
            </w:r>
          </w:p>
        </w:tc>
      </w:tr>
      <w:tr>
        <w:trPr>
          <w:cantSplit/>
        </w:trPr>
        <w:tc>
          <w:tcPr>
            <w:tcW w:type="dxa" w:w="2520"/>
            <w:vAlign w:val="center"/>
            <w:tcMar>
              <w:top w:w="70" w:type="dxa"/>
              <w:start w:w="85" w:type="dxa"/>
              <w:bottom w:w="70" w:type="dxa"/>
              <w:end w:w="85" w:type="dxa"/>
            </w:tcMar>
            <w:shd w:fill="F4F6F7"/>
          </w:tcPr>
          <w:p>
            <w:pPr>
              <w:spacing w:before="0" w:after="0"/>
            </w:pPr>
            <w:r/>
            <w:r>
              <w:rPr>
                <w:rFonts w:ascii="Aptos" w:hAnsi="Aptos"/>
                <w:b w:val="0"/>
                <w:color w:val="27343E"/>
                <w:sz w:val="15"/>
              </w:rPr>
              <w:t>Data protection</w:t>
            </w:r>
          </w:p>
        </w:tc>
        <w:tc>
          <w:tcPr>
            <w:tcW w:type="dxa" w:w="6840"/>
            <w:vAlign w:val="center"/>
            <w:tcMar>
              <w:top w:w="70" w:type="dxa"/>
              <w:start w:w="85" w:type="dxa"/>
              <w:bottom w:w="70" w:type="dxa"/>
              <w:end w:w="85" w:type="dxa"/>
            </w:tcMar>
            <w:shd w:fill="F4F6F7"/>
          </w:tcPr>
          <w:p>
            <w:pPr>
              <w:spacing w:before="0" w:after="0"/>
            </w:pPr>
            <w:r/>
            <w:r>
              <w:rPr>
                <w:rFonts w:ascii="Aptos" w:hAnsi="Aptos"/>
                <w:b w:val="0"/>
                <w:color w:val="27343E"/>
                <w:sz w:val="15"/>
              </w:rPr>
              <w:t>DLP, encryption, secrets protection, environment separation and controlled egress appropriate to sensitivity.</w:t>
            </w:r>
          </w:p>
        </w:tc>
      </w:tr>
      <w:tr>
        <w:trPr>
          <w:cantSplit/>
        </w:trPr>
        <w:tc>
          <w:tcPr>
            <w:tcW w:type="dxa" w:w="2520"/>
            <w:vAlign w:val="center"/>
            <w:tcMar>
              <w:top w:w="70" w:type="dxa"/>
              <w:start w:w="85" w:type="dxa"/>
              <w:bottom w:w="70" w:type="dxa"/>
              <w:end w:w="85" w:type="dxa"/>
            </w:tcMar>
          </w:tcPr>
          <w:p>
            <w:pPr>
              <w:spacing w:before="0" w:after="0"/>
            </w:pPr>
            <w:r/>
            <w:r>
              <w:rPr>
                <w:rFonts w:ascii="Aptos" w:hAnsi="Aptos"/>
                <w:b w:val="0"/>
                <w:color w:val="27343E"/>
                <w:sz w:val="15"/>
              </w:rPr>
              <w:t>AI-specific attacks</w:t>
            </w:r>
          </w:p>
        </w:tc>
        <w:tc>
          <w:tcPr>
            <w:tcW w:type="dxa" w:w="6840"/>
            <w:vAlign w:val="center"/>
            <w:tcMar>
              <w:top w:w="70" w:type="dxa"/>
              <w:start w:w="85" w:type="dxa"/>
              <w:bottom w:w="70" w:type="dxa"/>
              <w:end w:w="85" w:type="dxa"/>
            </w:tcMar>
          </w:tcPr>
          <w:p>
            <w:pPr>
              <w:spacing w:before="0" w:after="0"/>
            </w:pPr>
            <w:r/>
            <w:r>
              <w:rPr>
                <w:rFonts w:ascii="Aptos" w:hAnsi="Aptos"/>
                <w:b w:val="0"/>
                <w:color w:val="27343E"/>
                <w:sz w:val="15"/>
              </w:rPr>
              <w:t>Threat modelling and testing for prompt injection, indirect prompt injection, retrieval poisoning, data/model poisoning, adversarial manipulation, unsafe generated code and model/service abuse where relevant.</w:t>
            </w:r>
          </w:p>
        </w:tc>
      </w:tr>
      <w:tr>
        <w:trPr>
          <w:cantSplit/>
        </w:trPr>
        <w:tc>
          <w:tcPr>
            <w:tcW w:type="dxa" w:w="2520"/>
            <w:vAlign w:val="center"/>
            <w:tcMar>
              <w:top w:w="70" w:type="dxa"/>
              <w:start w:w="85" w:type="dxa"/>
              <w:bottom w:w="70" w:type="dxa"/>
              <w:end w:w="85" w:type="dxa"/>
            </w:tcMar>
            <w:shd w:fill="F4F6F7"/>
          </w:tcPr>
          <w:p>
            <w:pPr>
              <w:spacing w:before="0" w:after="0"/>
            </w:pPr>
            <w:r/>
            <w:r>
              <w:rPr>
                <w:rFonts w:ascii="Aptos" w:hAnsi="Aptos"/>
                <w:b w:val="0"/>
                <w:color w:val="27343E"/>
                <w:sz w:val="15"/>
              </w:rPr>
              <w:t>Integrations / agents</w:t>
            </w:r>
          </w:p>
        </w:tc>
        <w:tc>
          <w:tcPr>
            <w:tcW w:type="dxa" w:w="6840"/>
            <w:vAlign w:val="center"/>
            <w:tcMar>
              <w:top w:w="70" w:type="dxa"/>
              <w:start w:w="85" w:type="dxa"/>
              <w:bottom w:w="70" w:type="dxa"/>
              <w:end w:w="85" w:type="dxa"/>
            </w:tcMar>
            <w:shd w:fill="F4F6F7"/>
          </w:tcPr>
          <w:p>
            <w:pPr>
              <w:spacing w:before="0" w:after="0"/>
            </w:pPr>
            <w:r/>
            <w:r>
              <w:rPr>
                <w:rFonts w:ascii="Aptos" w:hAnsi="Aptos"/>
                <w:b w:val="0"/>
                <w:color w:val="27343E"/>
                <w:sz w:val="15"/>
              </w:rPr>
              <w:t>Tools, APIs, plugins and agentic actions require explicit permissions, bounded authority, logging and safe failure paths.</w:t>
            </w:r>
          </w:p>
        </w:tc>
      </w:tr>
      <w:tr>
        <w:trPr>
          <w:cantSplit/>
        </w:trPr>
        <w:tc>
          <w:tcPr>
            <w:tcW w:type="dxa" w:w="2520"/>
            <w:vAlign w:val="center"/>
            <w:tcMar>
              <w:top w:w="70" w:type="dxa"/>
              <w:start w:w="85" w:type="dxa"/>
              <w:bottom w:w="70" w:type="dxa"/>
              <w:end w:w="85" w:type="dxa"/>
            </w:tcMar>
          </w:tcPr>
          <w:p>
            <w:pPr>
              <w:spacing w:before="0" w:after="0"/>
            </w:pPr>
            <w:r/>
            <w:r>
              <w:rPr>
                <w:rFonts w:ascii="Aptos" w:hAnsi="Aptos"/>
                <w:b w:val="0"/>
                <w:color w:val="27343E"/>
                <w:sz w:val="15"/>
              </w:rPr>
              <w:t>Supply chain</w:t>
            </w:r>
          </w:p>
        </w:tc>
        <w:tc>
          <w:tcPr>
            <w:tcW w:type="dxa" w:w="6840"/>
            <w:vAlign w:val="center"/>
            <w:tcMar>
              <w:top w:w="70" w:type="dxa"/>
              <w:start w:w="85" w:type="dxa"/>
              <w:bottom w:w="70" w:type="dxa"/>
              <w:end w:w="85" w:type="dxa"/>
            </w:tcMar>
          </w:tcPr>
          <w:p>
            <w:pPr>
              <w:spacing w:before="0" w:after="0"/>
            </w:pPr>
            <w:r/>
            <w:r>
              <w:rPr>
                <w:rFonts w:ascii="Aptos" w:hAnsi="Aptos"/>
                <w:b w:val="0"/>
                <w:color w:val="27343E"/>
                <w:sz w:val="15"/>
              </w:rPr>
              <w:t>Models, libraries, APIs, services, plugins, data and vendor dependencies are inventoried and assessed proportionately.</w:t>
            </w:r>
          </w:p>
        </w:tc>
      </w:tr>
      <w:tr>
        <w:trPr>
          <w:cantSplit/>
        </w:trPr>
        <w:tc>
          <w:tcPr>
            <w:tcW w:type="dxa" w:w="2520"/>
            <w:vAlign w:val="center"/>
            <w:tcMar>
              <w:top w:w="70" w:type="dxa"/>
              <w:start w:w="85" w:type="dxa"/>
              <w:bottom w:w="70" w:type="dxa"/>
              <w:end w:w="85" w:type="dxa"/>
            </w:tcMar>
            <w:shd w:fill="F4F6F7"/>
          </w:tcPr>
          <w:p>
            <w:pPr>
              <w:spacing w:before="0" w:after="0"/>
            </w:pPr>
            <w:r/>
            <w:r>
              <w:rPr>
                <w:rFonts w:ascii="Aptos" w:hAnsi="Aptos"/>
                <w:b w:val="0"/>
                <w:color w:val="27343E"/>
                <w:sz w:val="15"/>
              </w:rPr>
              <w:t>Monitoring / response</w:t>
            </w:r>
          </w:p>
        </w:tc>
        <w:tc>
          <w:tcPr>
            <w:tcW w:type="dxa" w:w="6840"/>
            <w:vAlign w:val="center"/>
            <w:tcMar>
              <w:top w:w="70" w:type="dxa"/>
              <w:start w:w="85" w:type="dxa"/>
              <w:bottom w:w="70" w:type="dxa"/>
              <w:end w:w="85" w:type="dxa"/>
            </w:tcMar>
            <w:shd w:fill="F4F6F7"/>
          </w:tcPr>
          <w:p>
            <w:pPr>
              <w:spacing w:before="0" w:after="0"/>
            </w:pPr>
            <w:r/>
            <w:r>
              <w:rPr>
                <w:rFonts w:ascii="Aptos" w:hAnsi="Aptos"/>
                <w:b w:val="0"/>
                <w:color w:val="27343E"/>
                <w:sz w:val="15"/>
              </w:rPr>
              <w:t>Security events and AI incidents must be detectable, triaged, contained and linked to system/component/version evidence.</w:t>
            </w:r>
          </w:p>
        </w:tc>
      </w:tr>
      <w:tr>
        <w:trPr>
          <w:cantSplit/>
        </w:trPr>
        <w:tc>
          <w:tcPr>
            <w:tcW w:type="dxa" w:w="2520"/>
            <w:vAlign w:val="center"/>
            <w:tcMar>
              <w:top w:w="70" w:type="dxa"/>
              <w:start w:w="85" w:type="dxa"/>
              <w:bottom w:w="70" w:type="dxa"/>
              <w:end w:w="85" w:type="dxa"/>
            </w:tcMar>
          </w:tcPr>
          <w:p>
            <w:pPr>
              <w:spacing w:before="0" w:after="0"/>
            </w:pPr>
            <w:r/>
            <w:r>
              <w:rPr>
                <w:rFonts w:ascii="Aptos" w:hAnsi="Aptos"/>
                <w:b w:val="0"/>
                <w:color w:val="27343E"/>
                <w:sz w:val="15"/>
              </w:rPr>
              <w:t>Resilience</w:t>
            </w:r>
          </w:p>
        </w:tc>
        <w:tc>
          <w:tcPr>
            <w:tcW w:type="dxa" w:w="6840"/>
            <w:vAlign w:val="center"/>
            <w:tcMar>
              <w:top w:w="70" w:type="dxa"/>
              <w:start w:w="85" w:type="dxa"/>
              <w:bottom w:w="70" w:type="dxa"/>
              <w:end w:w="85" w:type="dxa"/>
            </w:tcMar>
          </w:tcPr>
          <w:p>
            <w:pPr>
              <w:spacing w:before="0" w:after="0"/>
            </w:pPr>
            <w:r/>
            <w:r>
              <w:rPr>
                <w:rFonts w:ascii="Aptos" w:hAnsi="Aptos"/>
                <w:b w:val="0"/>
                <w:color w:val="27343E"/>
                <w:sz w:val="15"/>
              </w:rPr>
              <w:t>Material systems require fallback, suspension or rollback appropriate to consequence and dependency.</w:t>
            </w:r>
          </w:p>
        </w:tc>
      </w:tr>
    </w:tbl>
    <w:p>
      <w:pPr>
        <w:spacing w:after="0"/>
      </w:pPr>
    </w:p>
    <w:p>
      <w:pPr>
        <w:pStyle w:val="Heading1"/>
      </w:pPr>
      <w:r>
        <w:t>13. Human Oversight and Consequential Decisions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376"/>
            <w:vAlign w:val="center"/>
            <w:tcMar>
              <w:top w:w="70" w:type="dxa"/>
              <w:start w:w="85" w:type="dxa"/>
              <w:bottom w:w="70" w:type="dxa"/>
              <w:end w:w="85" w:type="dxa"/>
            </w:tcMar>
            <w:shd w:fill="173B57"/>
          </w:tcPr>
          <w:p>
            <w:pPr>
              <w:spacing w:before="0" w:after="0"/>
            </w:pPr>
            <w:r/>
            <w:r>
              <w:rPr>
                <w:rFonts w:ascii="Aptos" w:hAnsi="Aptos"/>
                <w:b/>
                <w:color w:val="FFFFFF"/>
                <w:sz w:val="15"/>
              </w:rPr>
              <w:t>Oversight element</w:t>
            </w:r>
          </w:p>
        </w:tc>
        <w:tc>
          <w:tcPr>
            <w:tcW w:type="dxa" w:w="6984"/>
            <w:vAlign w:val="center"/>
            <w:tcMar>
              <w:top w:w="70" w:type="dxa"/>
              <w:start w:w="85" w:type="dxa"/>
              <w:bottom w:w="70" w:type="dxa"/>
              <w:end w:w="85" w:type="dxa"/>
            </w:tcMar>
            <w:shd w:fill="173B57"/>
          </w:tcPr>
          <w:p>
            <w:pPr>
              <w:spacing w:before="0" w:after="0"/>
            </w:pPr>
            <w:r/>
            <w:r>
              <w:rPr>
                <w:rFonts w:ascii="Aptos" w:hAnsi="Aptos"/>
                <w:b/>
                <w:color w:val="FFFFFF"/>
                <w:sz w:val="15"/>
              </w:rPr>
              <w:t>Mandatory expectation</w:t>
            </w:r>
          </w:p>
        </w:tc>
      </w:tr>
      <w:tr>
        <w:trPr>
          <w:cantSplit/>
        </w:trPr>
        <w:tc>
          <w:tcPr>
            <w:tcW w:type="dxa" w:w="2376"/>
            <w:vAlign w:val="center"/>
            <w:tcMar>
              <w:top w:w="70" w:type="dxa"/>
              <w:start w:w="85" w:type="dxa"/>
              <w:bottom w:w="70" w:type="dxa"/>
              <w:end w:w="85" w:type="dxa"/>
            </w:tcMar>
          </w:tcPr>
          <w:p>
            <w:pPr>
              <w:spacing w:before="0" w:after="0"/>
            </w:pPr>
            <w:r/>
            <w:r>
              <w:rPr>
                <w:rFonts w:ascii="Aptos" w:hAnsi="Aptos"/>
                <w:b w:val="0"/>
                <w:color w:val="27343E"/>
                <w:sz w:val="15"/>
              </w:rPr>
              <w:t>Competence</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Human reviewers must understand the task, AI role, limitations, relevant risks and escalation route.</w:t>
            </w:r>
          </w:p>
        </w:tc>
      </w:tr>
      <w:tr>
        <w:trPr>
          <w:cantSplit/>
        </w:trPr>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5"/>
              </w:rPr>
              <w:t>Information</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Reviewers must receive sufficient context to evaluate the output rather than merely approve a score or recommendation.</w:t>
            </w:r>
          </w:p>
        </w:tc>
      </w:tr>
      <w:tr>
        <w:trPr>
          <w:cantSplit/>
        </w:trPr>
        <w:tc>
          <w:tcPr>
            <w:tcW w:type="dxa" w:w="2376"/>
            <w:vAlign w:val="center"/>
            <w:tcMar>
              <w:top w:w="70" w:type="dxa"/>
              <w:start w:w="85" w:type="dxa"/>
              <w:bottom w:w="70" w:type="dxa"/>
              <w:end w:w="85" w:type="dxa"/>
            </w:tcMar>
          </w:tcPr>
          <w:p>
            <w:pPr>
              <w:spacing w:before="0" w:after="0"/>
            </w:pPr>
            <w:r/>
            <w:r>
              <w:rPr>
                <w:rFonts w:ascii="Aptos" w:hAnsi="Aptos"/>
                <w:b w:val="0"/>
                <w:color w:val="27343E"/>
                <w:sz w:val="15"/>
              </w:rPr>
              <w:t>Authority</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Reviewers must be able to disregard, override, reverse, stop or escalate the AI-supported action where the design requires human authority.</w:t>
            </w:r>
          </w:p>
        </w:tc>
      </w:tr>
      <w:tr>
        <w:trPr>
          <w:cantSplit/>
        </w:trPr>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5"/>
              </w:rPr>
              <w:t>Time and workload</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Governance shall consider whether volume, time pressure, interface design or incentives make human review merely ceremonial.</w:t>
            </w:r>
          </w:p>
        </w:tc>
      </w:tr>
      <w:tr>
        <w:trPr>
          <w:cantSplit/>
        </w:trPr>
        <w:tc>
          <w:tcPr>
            <w:tcW w:type="dxa" w:w="2376"/>
            <w:vAlign w:val="center"/>
            <w:tcMar>
              <w:top w:w="70" w:type="dxa"/>
              <w:start w:w="85" w:type="dxa"/>
              <w:bottom w:w="70" w:type="dxa"/>
              <w:end w:w="85" w:type="dxa"/>
            </w:tcMar>
          </w:tcPr>
          <w:p>
            <w:pPr>
              <w:spacing w:before="0" w:after="0"/>
            </w:pPr>
            <w:r/>
            <w:r>
              <w:rPr>
                <w:rFonts w:ascii="Aptos" w:hAnsi="Aptos"/>
                <w:b w:val="0"/>
                <w:color w:val="27343E"/>
                <w:sz w:val="15"/>
              </w:rPr>
              <w:t>Automation bias</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Higher-impact uses shall include controls/training to reduce inappropriate reliance on AI output.</w:t>
            </w:r>
          </w:p>
        </w:tc>
      </w:tr>
      <w:tr>
        <w:trPr>
          <w:cantSplit/>
        </w:trPr>
        <w:tc>
          <w:tcPr>
            <w:tcW w:type="dxa" w:w="2376"/>
            <w:vAlign w:val="center"/>
            <w:tcMar>
              <w:top w:w="70" w:type="dxa"/>
              <w:start w:w="85" w:type="dxa"/>
              <w:bottom w:w="70" w:type="dxa"/>
              <w:end w:w="85" w:type="dxa"/>
            </w:tcMar>
            <w:shd w:fill="F4F6F7"/>
          </w:tcPr>
          <w:p>
            <w:pPr>
              <w:spacing w:before="0" w:after="0"/>
            </w:pPr>
            <w:r/>
            <w:r>
              <w:rPr>
                <w:rFonts w:ascii="Aptos" w:hAnsi="Aptos"/>
                <w:b w:val="0"/>
                <w:color w:val="27343E"/>
                <w:sz w:val="15"/>
              </w:rPr>
              <w:t>Accountability</w:t>
            </w:r>
          </w:p>
        </w:tc>
        <w:tc>
          <w:tcPr>
            <w:tcW w:type="dxa" w:w="6984"/>
            <w:vAlign w:val="center"/>
            <w:tcMar>
              <w:top w:w="70" w:type="dxa"/>
              <w:start w:w="85" w:type="dxa"/>
              <w:bottom w:w="70" w:type="dxa"/>
              <w:end w:w="85" w:type="dxa"/>
            </w:tcMar>
            <w:shd w:fill="F4F6F7"/>
          </w:tcPr>
          <w:p>
            <w:pPr>
              <w:spacing w:before="0" w:after="0"/>
            </w:pPr>
            <w:r/>
            <w:r>
              <w:rPr>
                <w:rFonts w:ascii="Aptos" w:hAnsi="Aptos"/>
                <w:b w:val="0"/>
                <w:color w:val="27343E"/>
                <w:sz w:val="15"/>
              </w:rPr>
              <w:t>The accountable human or organizational role remains identifiable in the resulting business decision.</w:t>
            </w:r>
          </w:p>
        </w:tc>
      </w:tr>
      <w:tr>
        <w:trPr>
          <w:cantSplit/>
        </w:trPr>
        <w:tc>
          <w:tcPr>
            <w:tcW w:type="dxa" w:w="2376"/>
            <w:vAlign w:val="center"/>
            <w:tcMar>
              <w:top w:w="70" w:type="dxa"/>
              <w:start w:w="85" w:type="dxa"/>
              <w:bottom w:w="70" w:type="dxa"/>
              <w:end w:w="85" w:type="dxa"/>
            </w:tcMar>
          </w:tcPr>
          <w:p>
            <w:pPr>
              <w:spacing w:before="0" w:after="0"/>
            </w:pPr>
            <w:r/>
            <w:r>
              <w:rPr>
                <w:rFonts w:ascii="Aptos" w:hAnsi="Aptos"/>
                <w:b w:val="0"/>
                <w:color w:val="27343E"/>
                <w:sz w:val="15"/>
              </w:rPr>
              <w:t>Record</w:t>
            </w:r>
          </w:p>
        </w:tc>
        <w:tc>
          <w:tcPr>
            <w:tcW w:type="dxa" w:w="6984"/>
            <w:vAlign w:val="center"/>
            <w:tcMar>
              <w:top w:w="70" w:type="dxa"/>
              <w:start w:w="85" w:type="dxa"/>
              <w:bottom w:w="70" w:type="dxa"/>
              <w:end w:w="85" w:type="dxa"/>
            </w:tcMar>
          </w:tcPr>
          <w:p>
            <w:pPr>
              <w:spacing w:before="0" w:after="0"/>
            </w:pPr>
            <w:r/>
            <w:r>
              <w:rPr>
                <w:rFonts w:ascii="Aptos" w:hAnsi="Aptos"/>
                <w:b w:val="0"/>
                <w:color w:val="27343E"/>
                <w:sz w:val="15"/>
              </w:rPr>
              <w:t>Consequential decisions shall retain the review/override evidence required by the relevant domain process.</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FF1D5"/>
            <w:tcMar>
              <w:top w:w="118" w:type="dxa"/>
              <w:start w:w="140" w:type="dxa"/>
              <w:bottom w:w="118" w:type="dxa"/>
              <w:end w:w="140" w:type="dxa"/>
            </w:tcMar>
            <w:tcBorders>
              <w:left w:val="single" w:sz="18" w:color="2D6F6D"/>
            </w:tcBorders>
          </w:tcPr>
          <w:p>
            <w:pPr>
              <w:spacing w:after="60"/>
            </w:pPr>
            <w:r>
              <w:rPr>
                <w:b/>
                <w:color w:val="173B57"/>
                <w:sz w:val="20"/>
              </w:rPr>
              <w:t>Current Duckworks boundary</w:t>
            </w:r>
          </w:p>
          <w:p>
            <w:pPr>
              <w:spacing w:after="0"/>
            </w:pPr>
            <w:r>
              <w:rPr>
                <w:color w:val="27343E"/>
                <w:sz w:val="18"/>
              </w:rPr>
              <w:t>Current system-specific approval records remain authoritative. This policy does not silently relax existing gates such as DuckTalent's 'Do Not Deploy' decision or restricted-pilot requirements for other higher-impact systems.</w:t>
            </w:r>
          </w:p>
        </w:tc>
      </w:tr>
    </w:tbl>
    <w:p>
      <w:pPr>
        <w:spacing w:after="0"/>
      </w:pPr>
    </w:p>
    <w:p>
      <w:r>
        <w:br w:type="page"/>
      </w:r>
    </w:p>
    <w:p>
      <w:pPr>
        <w:pStyle w:val="Heading1"/>
      </w:pPr>
      <w:r>
        <w:t>14. Third-Party AI Governance</w:t>
      </w:r>
    </w:p>
    <w:p>
      <w:pPr>
        <w:pStyle w:val="ListBullet"/>
        <w:spacing w:after="52"/>
      </w:pPr>
      <w:r>
        <w:t>AI procurement, renewal and material vendor change shall pass the Duckworks third-party AI due-diligence process before continued material reliance.</w:t>
      </w:r>
    </w:p>
    <w:p>
      <w:pPr>
        <w:pStyle w:val="ListBullet"/>
        <w:spacing w:after="52"/>
      </w:pPr>
      <w:r>
        <w:t>Due diligence shall address security, privacy, data use, model training/improvement, retention, subprocessors, hosting/locations, model/service changes, intellectual property, resilience, incident notification, assurance evidence and exit.</w:t>
      </w:r>
    </w:p>
    <w:p>
      <w:pPr>
        <w:pStyle w:val="ListBullet"/>
        <w:spacing w:after="52"/>
      </w:pPr>
      <w:r>
        <w:t>Contracts and DPAs shall include the applicable Duckworks AI requirements and legally mandatory terms where triggered.</w:t>
      </w:r>
    </w:p>
    <w:p>
      <w:pPr>
        <w:pStyle w:val="ListBullet"/>
        <w:spacing w:after="52"/>
      </w:pPr>
      <w:r>
        <w:t>Supplier certifications or attestations are evidence inputs, not substitutes for Duckworks use-case risk assessment.</w:t>
      </w:r>
    </w:p>
    <w:p>
      <w:pPr>
        <w:pStyle w:val="ListBullet"/>
        <w:spacing w:after="52"/>
      </w:pPr>
      <w:r>
        <w:t>Material provider/model/data-use/subprocessor/hosting changes shall trigger the AI Change Management Process.</w:t>
      </w:r>
    </w:p>
    <w:p>
      <w:pPr>
        <w:pStyle w:val="ListBullet"/>
        <w:spacing w:after="52"/>
      </w:pPr>
      <w:r>
        <w:t>Exit planning shall include data return/deletion, evidence preservation, alternative service/manual fallback and removal of access.</w:t>
      </w:r>
    </w:p>
    <w:p>
      <w:pPr>
        <w:pStyle w:val="Heading1"/>
      </w:pPr>
      <w:r>
        <w:t>15. Transparency, AI Literacy and Affected-Party Communication</w:t>
      </w:r>
    </w:p>
    <w:p>
      <w:pPr>
        <w:pStyle w:val="Heading2"/>
      </w:pPr>
      <w:r>
        <w:t>15.1 AI literacy</w:t>
      </w:r>
    </w:p>
    <w:p>
      <w:pPr>
        <w:spacing w:after="100" w:line="247" w:lineRule="auto"/>
      </w:pPr>
      <w:r>
        <w:t>Duckworks shall provide role-based AI literacy appropriate to the person's technical knowledge, responsibilities, context of use and the people who may be affected. Training evidence shall be retained for material roles. Training depth shall be greater for system owners, developers, reviewers, recruiters, engineers, inspectors, customer-facing users and incident responders.</w:t>
      </w:r>
    </w:p>
    <w:p>
      <w:pPr>
        <w:pStyle w:val="Heading2"/>
      </w:pPr>
      <w:r>
        <w:t>15.2 Transparency and contestability</w:t>
      </w:r>
    </w:p>
    <w:p>
      <w:pPr>
        <w:pStyle w:val="ListBullet"/>
        <w:spacing w:after="52"/>
      </w:pPr>
      <w:r>
        <w:t>Users and affected persons shall receive legally required AI disclosures and any additional transparency needed for informed and safe reliance.</w:t>
      </w:r>
    </w:p>
    <w:p>
      <w:pPr>
        <w:pStyle w:val="ListBullet"/>
        <w:spacing w:after="52"/>
      </w:pPr>
      <w:r>
        <w:t>Customer-facing AI shall disclose or otherwise make AI interaction apparent where required by law/policy and shall provide human escalation for consequential or contested matters.</w:t>
      </w:r>
    </w:p>
    <w:p>
      <w:pPr>
        <w:pStyle w:val="ListBullet"/>
        <w:spacing w:after="52"/>
      </w:pPr>
      <w:r>
        <w:t>People materially affected by AI-supported decisions shall have a route to ask questions, raise complaints or seek human reconsideration where required by law or Duckworks governance.</w:t>
      </w:r>
    </w:p>
    <w:p>
      <w:pPr>
        <w:pStyle w:val="ListBullet"/>
        <w:spacing w:after="52"/>
      </w:pPr>
      <w:r>
        <w:t>Generated or manipulated content shall be marked/disclosed where applicable legal requirements or approved communication standards require it.</w:t>
      </w:r>
    </w:p>
    <w:p>
      <w:pPr>
        <w:pStyle w:val="Heading1"/>
      </w:pPr>
      <w:r>
        <w:t>16. Validation, Testing and Release Readiness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5"/>
              </w:rPr>
              <w:t>Validation domain</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5"/>
              </w:rPr>
              <w:t>Minimum release expectation</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Performance / reliability</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Validate task-appropriate performance, limitations and error behavior against predefined acceptance criteria.</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Safety / quality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Where product/physical safety or quality may be affected, domain-specific validation and safe fallback are mandatory before release.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Fairness / people impact</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Employment or other people-impacting uses require appropriate job/task relevance, accessibility, fairness/proxy analysis and human-process validation.</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Security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AI-specific and conventional security tests are performed proportionately to exposure.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Data</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Input/reference/training data suitability, quality, provenance and permission assumptions are validated where material.</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Human factors</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Human oversight, escalation, workload and automation-bias controls are tested in realistic process conditions.</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Third-party</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Vendor evidence and known limitations are incorporated into Duckworks validation rather than assumed to transfer automatically.</w:t>
            </w:r>
          </w:p>
        </w:tc>
      </w:tr>
    </w:tbl>
    <w:p>
      <w:pPr>
        <w:spacing w:after="0"/>
      </w:pPr>
    </w:p>
    <w:p>
      <w:pPr>
        <w:pStyle w:val="Heading1"/>
      </w:pPr>
      <w:r>
        <w:t>17. Monitoring, Reassessment and Continual Improvement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5"/>
              </w:rPr>
              <w:t>Monitoring domain</w:t>
            </w:r>
          </w:p>
        </w:tc>
        <w:tc>
          <w:tcPr>
            <w:tcW w:type="dxa" w:w="6768"/>
            <w:vAlign w:val="center"/>
            <w:tcMar>
              <w:top w:w="70" w:type="dxa"/>
              <w:start w:w="85" w:type="dxa"/>
              <w:bottom w:w="70" w:type="dxa"/>
              <w:end w:w="85" w:type="dxa"/>
            </w:tcMar>
            <w:shd w:fill="173B57"/>
          </w:tcPr>
          <w:p>
            <w:pPr>
              <w:spacing w:before="0" w:after="0"/>
            </w:pPr>
            <w:r/>
            <w:r>
              <w:rPr>
                <w:rFonts w:ascii="Aptos" w:hAnsi="Aptos"/>
                <w:b/>
                <w:color w:val="FFFFFF"/>
                <w:sz w:val="15"/>
              </w:rPr>
              <w:t>Policy expectation</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Performance / drift</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Track task performance, error distribution, drift, data staleness and material degradation.</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Human oversight</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Track overrides, disagreement, escalation, review burden and signs of de facto automation.</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Stakeholder impacts</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Track complaints, challenges, harmful outcomes, accessibility issues and material unintended effects.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Security / privacy</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Track security events, data leakage, authorization failures, prompt/RAG attacks and personal-data incidents.</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Vendor / model</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Track model/provider/version, service, subprocessor, data-use, retention and assurance changes.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5"/>
              </w:rPr>
              <w:t>Controls / evidence</w:t>
            </w:r>
          </w:p>
        </w:tc>
        <w:tc>
          <w:tcPr>
            <w:tcW w:type="dxa" w:w="6768"/>
            <w:vAlign w:val="center"/>
            <w:tcMar>
              <w:top w:w="70" w:type="dxa"/>
              <w:start w:w="85" w:type="dxa"/>
              <w:bottom w:w="70" w:type="dxa"/>
              <w:end w:w="85" w:type="dxa"/>
            </w:tcMar>
            <w:shd w:fill="F4F6F7"/>
          </w:tcPr>
          <w:p>
            <w:pPr>
              <w:spacing w:before="0" w:after="0"/>
            </w:pPr>
            <w:r/>
            <w:r>
              <w:rPr>
                <w:rFonts w:ascii="Aptos" w:hAnsi="Aptos"/>
                <w:b w:val="0"/>
                <w:color w:val="27343E"/>
                <w:sz w:val="15"/>
              </w:rPr>
              <w:t>Track control operation, overdue actions, expired evidence and unresolved assumptions.</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5"/>
              </w:rPr>
              <w:t>Business value</w:t>
            </w:r>
          </w:p>
        </w:tc>
        <w:tc>
          <w:tcPr>
            <w:tcW w:type="dxa" w:w="6768"/>
            <w:vAlign w:val="center"/>
            <w:tcMar>
              <w:top w:w="70" w:type="dxa"/>
              <w:start w:w="85" w:type="dxa"/>
              <w:bottom w:w="70" w:type="dxa"/>
              <w:end w:w="85" w:type="dxa"/>
            </w:tcMar>
          </w:tcPr>
          <w:p>
            <w:pPr>
              <w:spacing w:before="0" w:after="0"/>
            </w:pPr>
            <w:r/>
            <w:r>
              <w:rPr>
                <w:rFonts w:ascii="Aptos" w:hAnsi="Aptos"/>
                <w:b w:val="0"/>
                <w:color w:val="27343E"/>
                <w:sz w:val="15"/>
              </w:rPr>
              <w:t>Track whether benefits remain sufficient to justify the exposure and governance cost.</w:t>
            </w:r>
          </w:p>
        </w:tc>
      </w:tr>
    </w:tbl>
    <w:p>
      <w:pPr>
        <w:spacing w:after="0"/>
      </w:pPr>
    </w:p>
    <w:p>
      <w:pPr>
        <w:pStyle w:val="Heading2"/>
      </w:pPr>
      <w:r>
        <w:t>17.1 Mandatory reassessment triggers</w:t>
      </w:r>
    </w:p>
    <w:p>
      <w:pPr>
        <w:pStyle w:val="ListBullet"/>
        <w:spacing w:after="52"/>
      </w:pPr>
      <w:r>
        <w:t>Change in intended purpose, autonomy or formal decision authority.</w:t>
      </w:r>
    </w:p>
    <w:p>
      <w:pPr>
        <w:pStyle w:val="ListBullet"/>
        <w:spacing w:after="52"/>
      </w:pPr>
      <w:r>
        <w:t>New model, provider, version, fine-tune or material configuration.</w:t>
      </w:r>
    </w:p>
    <w:p>
      <w:pPr>
        <w:pStyle w:val="ListBullet"/>
        <w:spacing w:after="52"/>
      </w:pPr>
      <w:r>
        <w:t>New training/reference data, features, labels, RAG corpus, connector, API, tool or permission.</w:t>
      </w:r>
    </w:p>
    <w:p>
      <w:pPr>
        <w:pStyle w:val="ListBullet"/>
        <w:spacing w:after="52"/>
      </w:pPr>
      <w:r>
        <w:t>Expansion to new users, affected populations, geography, language, product line or consequential process.</w:t>
      </w:r>
    </w:p>
    <w:p>
      <w:pPr>
        <w:pStyle w:val="ListBullet"/>
        <w:spacing w:after="52"/>
      </w:pPr>
      <w:r>
        <w:t>Material incident, near miss, complaint, discriminatory outcome, safety event, confidential-data leak or loss of human oversight.</w:t>
      </w:r>
    </w:p>
    <w:p>
      <w:pPr>
        <w:pStyle w:val="ListBullet"/>
        <w:spacing w:after="52"/>
      </w:pPr>
      <w:r>
        <w:t>Drift, error change, control failure, evidence expiry or invalidated project assumption.</w:t>
      </w:r>
    </w:p>
    <w:p>
      <w:pPr>
        <w:pStyle w:val="ListBullet"/>
        <w:spacing w:after="52"/>
      </w:pPr>
      <w:r>
        <w:t>Material vendor/subprocessor/hosting/data-use/retention change.</w:t>
      </w:r>
    </w:p>
    <w:p>
      <w:pPr>
        <w:pStyle w:val="ListBullet"/>
        <w:spacing w:after="52"/>
      </w:pPr>
      <w:r>
        <w:t>Change in applicable law, regulator guidance or Duckworks risk appetite.</w:t>
      </w:r>
    </w:p>
    <w:p>
      <w:pPr>
        <w:pStyle w:val="Heading1"/>
      </w:pPr>
      <w:r>
        <w:t>18. Change Management, Incidents, Suspension and Retirement</w:t>
      </w:r>
    </w:p>
    <w:p>
      <w:pPr>
        <w:pStyle w:val="ListBullet"/>
        <w:spacing w:after="52"/>
      </w:pPr>
      <w:r>
        <w:t>Material AI changes shall follow the approved AI Change Management Process before permanent implementation.</w:t>
      </w:r>
    </w:p>
    <w:p>
      <w:pPr>
        <w:pStyle w:val="ListBullet"/>
        <w:spacing w:after="52"/>
      </w:pPr>
      <w:r>
        <w:t>Emergency changes may use the approved emergency path but must retain minimum authorization, logging, verification and retrospective review.</w:t>
      </w:r>
    </w:p>
    <w:p>
      <w:pPr>
        <w:pStyle w:val="ListBullet"/>
        <w:spacing w:after="52"/>
      </w:pPr>
      <w:r>
        <w:t>AI incidents shall use the approved AI Runbooks and enterprise security/privacy/safety/HR incident processes as applicable.</w:t>
      </w:r>
    </w:p>
    <w:p>
      <w:pPr>
        <w:pStyle w:val="ListBullet"/>
        <w:spacing w:after="52"/>
      </w:pPr>
      <w:r>
        <w:t>Stop-use authority shall be clear for systems capable of material harm.</w:t>
      </w:r>
    </w:p>
    <w:p>
      <w:pPr>
        <w:pStyle w:val="ListBullet"/>
        <w:spacing w:after="52"/>
      </w:pPr>
      <w:r>
        <w:t>Suspension shall be considered where current residual risk is outside tolerance, required controls fail, material assumptions are invalid, legal use becomes uncertain, or monitoring is insufficient to provide reasonable oversight.</w:t>
      </w:r>
    </w:p>
    <w:p>
      <w:pPr>
        <w:pStyle w:val="ListBullet"/>
        <w:spacing w:after="52"/>
      </w:pPr>
      <w:r>
        <w:t>Retirement shall include access removal, vendor exit, data/record disposition, evidence preservation and inventory closure.</w:t>
      </w:r>
    </w:p>
    <w:p>
      <w:pPr>
        <w:pStyle w:val="Heading1"/>
      </w:pPr>
      <w:r>
        <w:t>19. Experimentation and Shadow AI</w:t>
      </w:r>
    </w:p>
    <w:p>
      <w:pPr>
        <w:spacing w:after="100" w:line="247" w:lineRule="auto"/>
      </w:pPr>
      <w:r>
        <w:t>Duckworks supports controlled experimentation. Experimentation is not exempt from information classification, security, privacy, procurement, intellectual-property or legal requirements.</w:t>
      </w:r>
    </w:p>
    <w:p>
      <w:pPr>
        <w:pStyle w:val="ListBullet"/>
        <w:spacing w:after="52"/>
      </w:pPr>
      <w:r>
        <w:t>Low-impact experiments may use a simplified intake route where approved by the governance framework.</w:t>
      </w:r>
    </w:p>
    <w:p>
      <w:pPr>
        <w:pStyle w:val="ListBullet"/>
        <w:spacing w:after="52"/>
      </w:pPr>
      <w:r>
        <w:t>Experiments shall not create a de facto production dependency without lifecycle approval.</w:t>
      </w:r>
    </w:p>
    <w:p>
      <w:pPr>
        <w:pStyle w:val="ListBullet"/>
        <w:spacing w:after="52"/>
      </w:pPr>
      <w:r>
        <w:t>Restricted/confidential/personal data shall not be entered into unapproved public AI.</w:t>
      </w:r>
    </w:p>
    <w:p>
      <w:pPr>
        <w:pStyle w:val="ListBullet"/>
        <w:spacing w:after="52"/>
      </w:pPr>
      <w:r>
        <w:t>Shadow AI must be discovered and decomposed into individual material use cases; AI-007 is not treated as one homogeneous system.</w:t>
      </w:r>
    </w:p>
    <w:p>
      <w:pPr>
        <w:pStyle w:val="ListBullet"/>
        <w:spacing w:after="52"/>
      </w:pPr>
      <w:r>
        <w:t>Where shadow AI creates an active confidentiality, privacy, safety or security exposure, containment takes priority over normal intake.</w:t>
      </w:r>
    </w:p>
    <w:p>
      <w:pPr>
        <w:pStyle w:val="ListBullet"/>
        <w:spacing w:after="52"/>
      </w:pPr>
      <w:r>
        <w:t>Duckworks should provide practical approved alternatives so governance controls do not simply drive use into less visible channels.</w:t>
      </w:r>
    </w:p>
    <w:p>
      <w:pPr>
        <w:pStyle w:val="Heading1"/>
      </w:pPr>
      <w:r>
        <w:t>20. Evidence, Records and Auditability</w:t>
      </w:r>
    </w:p>
    <w:p>
      <w:pPr>
        <w:spacing w:after="100" w:line="247" w:lineRule="auto"/>
      </w:pPr>
      <w:r>
        <w:t>Duckworks shall be able to reconstruct how a material AI decision was made: what was known, what assumptions remained open, what controls operated, what evidence supported the assessment, who approved the lifecycle state, and what changed afterward.</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872"/>
            <w:vAlign w:val="center"/>
            <w:tcMar>
              <w:top w:w="70" w:type="dxa"/>
              <w:start w:w="85" w:type="dxa"/>
              <w:bottom w:w="70" w:type="dxa"/>
              <w:end w:w="85" w:type="dxa"/>
            </w:tcMar>
            <w:shd w:fill="173B57"/>
          </w:tcPr>
          <w:p>
            <w:pPr>
              <w:spacing w:before="0" w:after="0"/>
            </w:pPr>
            <w:r/>
            <w:r>
              <w:rPr>
                <w:rFonts w:ascii="Aptos" w:hAnsi="Aptos"/>
                <w:b/>
                <w:color w:val="FFFFFF"/>
                <w:sz w:val="15"/>
              </w:rPr>
              <w:t>Evidence ID</w:t>
            </w:r>
          </w:p>
        </w:tc>
        <w:tc>
          <w:tcPr>
            <w:tcW w:type="dxa" w:w="7488"/>
            <w:vAlign w:val="center"/>
            <w:tcMar>
              <w:top w:w="70" w:type="dxa"/>
              <w:start w:w="85" w:type="dxa"/>
              <w:bottom w:w="70" w:type="dxa"/>
              <w:end w:w="85" w:type="dxa"/>
            </w:tcMar>
            <w:shd w:fill="173B57"/>
          </w:tcPr>
          <w:p>
            <w:pPr>
              <w:spacing w:before="0" w:after="0"/>
            </w:pPr>
            <w:r/>
            <w:r>
              <w:rPr>
                <w:rFonts w:ascii="Aptos" w:hAnsi="Aptos"/>
                <w:b/>
                <w:color w:val="FFFFFF"/>
                <w:sz w:val="15"/>
              </w:rPr>
              <w:t>Minimum evidence category</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EV-GOV-01</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AI inventory / system identity and lifecycle record</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EV-GOV-02</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Business use case and intended-purpose record</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EV-GOV-03</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Risk assessment and treatment plan</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EV-GOV-04</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AI impact assessment and affected-stakeholder record where required</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EV-GOV-05</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Legal / privacy / HR / safety / security specialist review evidence as applicable</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EV-GOV-06</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Data management / provenance / quality evidence</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EV-GOV-07</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Third-party due diligence, contract and DPA evidence where applicable</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EV-GOV-08</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Technical / security / fairness / safety / human-oversight validation evidence</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EV-GOV-09</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Approval decision, exceptions, conditions and risk acceptance</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EV-GOV-10</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Monitoring, complaint, override, incident and reassessment records</w:t>
            </w:r>
          </w:p>
        </w:tc>
      </w:tr>
      <w:tr>
        <w:trPr>
          <w:cantSplit/>
        </w:trPr>
        <w:tc>
          <w:tcPr>
            <w:tcW w:type="dxa" w:w="1872"/>
            <w:vAlign w:val="center"/>
            <w:tcMar>
              <w:top w:w="70" w:type="dxa"/>
              <w:start w:w="85" w:type="dxa"/>
              <w:bottom w:w="70" w:type="dxa"/>
              <w:end w:w="85" w:type="dxa"/>
            </w:tcMar>
          </w:tcPr>
          <w:p>
            <w:pPr>
              <w:spacing w:before="0" w:after="0"/>
            </w:pPr>
            <w:r/>
            <w:r>
              <w:rPr>
                <w:rFonts w:ascii="Aptos" w:hAnsi="Aptos"/>
                <w:b w:val="0"/>
                <w:color w:val="27343E"/>
                <w:sz w:val="15"/>
              </w:rPr>
              <w:t>EV-GOV-11</w:t>
            </w:r>
          </w:p>
        </w:tc>
        <w:tc>
          <w:tcPr>
            <w:tcW w:type="dxa" w:w="7488"/>
            <w:vAlign w:val="center"/>
            <w:tcMar>
              <w:top w:w="70" w:type="dxa"/>
              <w:start w:w="85" w:type="dxa"/>
              <w:bottom w:w="70" w:type="dxa"/>
              <w:end w:w="85" w:type="dxa"/>
            </w:tcMar>
          </w:tcPr>
          <w:p>
            <w:pPr>
              <w:spacing w:before="0" w:after="0"/>
            </w:pPr>
            <w:r/>
            <w:r>
              <w:rPr>
                <w:rFonts w:ascii="Aptos" w:hAnsi="Aptos"/>
                <w:b w:val="0"/>
                <w:color w:val="27343E"/>
                <w:sz w:val="15"/>
              </w:rPr>
              <w:t>Change management, version and superseded-evidence traceability</w:t>
            </w:r>
          </w:p>
        </w:tc>
      </w:tr>
      <w:tr>
        <w:trPr>
          <w:cantSplit/>
        </w:trPr>
        <w:tc>
          <w:tcPr>
            <w:tcW w:type="dxa" w:w="1872"/>
            <w:vAlign w:val="center"/>
            <w:tcMar>
              <w:top w:w="70" w:type="dxa"/>
              <w:start w:w="85" w:type="dxa"/>
              <w:bottom w:w="70" w:type="dxa"/>
              <w:end w:w="85" w:type="dxa"/>
            </w:tcMar>
            <w:shd w:fill="F4F6F7"/>
          </w:tcPr>
          <w:p>
            <w:pPr>
              <w:spacing w:before="0" w:after="0"/>
            </w:pPr>
            <w:r/>
            <w:r>
              <w:rPr>
                <w:rFonts w:ascii="Aptos" w:hAnsi="Aptos"/>
                <w:b w:val="0"/>
                <w:color w:val="27343E"/>
                <w:sz w:val="15"/>
              </w:rPr>
              <w:t>EV-GOV-12</w:t>
            </w:r>
          </w:p>
        </w:tc>
        <w:tc>
          <w:tcPr>
            <w:tcW w:type="dxa" w:w="7488"/>
            <w:vAlign w:val="center"/>
            <w:tcMar>
              <w:top w:w="70" w:type="dxa"/>
              <w:start w:w="85" w:type="dxa"/>
              <w:bottom w:w="70" w:type="dxa"/>
              <w:end w:w="85" w:type="dxa"/>
            </w:tcMar>
            <w:shd w:fill="F4F6F7"/>
          </w:tcPr>
          <w:p>
            <w:pPr>
              <w:spacing w:before="0" w:after="0"/>
            </w:pPr>
            <w:r/>
            <w:r>
              <w:rPr>
                <w:rFonts w:ascii="Aptos" w:hAnsi="Aptos"/>
                <w:b w:val="0"/>
                <w:color w:val="27343E"/>
                <w:sz w:val="15"/>
              </w:rPr>
              <w:t>Retirement / exit / deletion / closure evidence</w:t>
            </w:r>
          </w:p>
        </w:tc>
      </w:tr>
    </w:tbl>
    <w:p>
      <w:pPr>
        <w:spacing w:after="0"/>
      </w:pPr>
    </w:p>
    <w:p>
      <w:pPr>
        <w:pStyle w:val="Heading2"/>
      </w:pPr>
      <w:r>
        <w:t>20.1 Evidence quality rules</w:t>
      </w:r>
    </w:p>
    <w:p>
      <w:pPr>
        <w:pStyle w:val="ListBullet"/>
        <w:spacing w:after="52"/>
      </w:pPr>
      <w:r>
        <w:t>Evidence shall identify system/AI ID, relevant version, owner, scope, status and source.</w:t>
      </w:r>
    </w:p>
    <w:p>
      <w:pPr>
        <w:pStyle w:val="ListBullet"/>
        <w:spacing w:after="52"/>
      </w:pPr>
      <w:r>
        <w:t>Evidence that is missing, stale, unverified or based on assumption shall be labelled rather than treated as implemented proof.</w:t>
      </w:r>
    </w:p>
    <w:p>
      <w:pPr>
        <w:pStyle w:val="ListBullet"/>
        <w:spacing w:after="52"/>
      </w:pPr>
      <w:r>
        <w:t>Target-state controls shall remain distinguishable from currently operating controls.</w:t>
      </w:r>
    </w:p>
    <w:p>
      <w:pPr>
        <w:pStyle w:val="ListBullet"/>
        <w:spacing w:after="52"/>
      </w:pPr>
      <w:r>
        <w:t>Evidence retention shall follow legal, records, privacy, security, product/safety and contractual requirements; this policy does not impose one universal retention period.</w:t>
      </w:r>
    </w:p>
    <w:p>
      <w:r>
        <w:br w:type="page"/>
      </w:r>
    </w:p>
    <w:p>
      <w:pPr>
        <w:pStyle w:val="Heading1"/>
      </w:pPr>
      <w:r>
        <w:t>21. Exceptions, Risk Acceptance and Non-Compliance</w:t>
      </w:r>
    </w:p>
    <w:p>
      <w:pPr>
        <w:pStyle w:val="Heading2"/>
      </w:pPr>
      <w:r>
        <w:t>21.1 Policy exceptions</w:t>
      </w:r>
    </w:p>
    <w:p>
      <w:pPr>
        <w:pStyle w:val="ListBullet"/>
        <w:spacing w:after="52"/>
      </w:pPr>
      <w:r>
        <w:t>Exceptions must identify the policy requirement, reason, scope, risk, affected systems, compensating controls, owner, approver, expiry and monitoring.</w:t>
      </w:r>
    </w:p>
    <w:p>
      <w:pPr>
        <w:pStyle w:val="ListBullet"/>
        <w:spacing w:after="52"/>
      </w:pPr>
      <w:r>
        <w:t>Exceptions shall be time-bounded and reviewed before expiry.</w:t>
      </w:r>
    </w:p>
    <w:p>
      <w:pPr>
        <w:pStyle w:val="ListBullet"/>
        <w:spacing w:after="52"/>
      </w:pPr>
      <w:r>
        <w:t>An exception cannot authorize a breach of applicable law.</w:t>
      </w:r>
    </w:p>
    <w:p>
      <w:pPr>
        <w:pStyle w:val="ListBullet"/>
        <w:spacing w:after="52"/>
      </w:pPr>
      <w:r>
        <w:t>Material exceptions involving High/Critical risk or consequential rights/safety impact require AI Governance Committee / executive escalation according to delegated authority.</w:t>
      </w:r>
    </w:p>
    <w:p>
      <w:pPr>
        <w:pStyle w:val="Heading2"/>
      </w:pPr>
      <w:r>
        <w:t>21.2 Risk acceptance</w:t>
      </w:r>
    </w:p>
    <w:p>
      <w:pPr>
        <w:spacing w:after="100" w:line="247" w:lineRule="auto"/>
      </w:pPr>
      <w:r>
        <w:t>Risk acceptance follows the approved Duckworks risk methodology. Critical current residual risk is normally outside production tolerance; exceptional acceptance, where permitted at all, requires executive authority and separate legal/specialist review. Target residual risk shall not be presented as current residual risk.</w:t>
      </w:r>
    </w:p>
    <w:p>
      <w:pPr>
        <w:pStyle w:val="Heading2"/>
      </w:pPr>
      <w:r>
        <w:t>21.3 Policy violations</w:t>
      </w:r>
    </w:p>
    <w:p>
      <w:pPr>
        <w:spacing w:after="100" w:line="247" w:lineRule="auto"/>
      </w:pPr>
      <w:r>
        <w:t>Material or repeated violation may result in suspension of the AI system or access, remediation requirements, incident investigation, procurement/vendor action, disciplinary or contractual action subject to applicable law, and escalation to executive governance. Good-faith reporting of AI concerns must not be treated as misconduct and is protected under the Duckworks AI Whistleblower Policy and applicable law.</w:t>
      </w:r>
    </w:p>
    <w:p>
      <w:pPr>
        <w:pStyle w:val="Heading1"/>
      </w:pPr>
      <w:r>
        <w:t>22. Management Reporting and Metrics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tcMar>
              <w:top w:w="70" w:type="dxa"/>
              <w:start w:w="85" w:type="dxa"/>
              <w:bottom w:w="70" w:type="dxa"/>
              <w:end w:w="85" w:type="dxa"/>
            </w:tcMar>
            <w:shd w:fill="173B57"/>
          </w:tcPr>
          <w:p>
            <w:pPr>
              <w:spacing w:before="0" w:after="0"/>
            </w:pPr>
            <w:r/>
            <w:r>
              <w:rPr>
                <w:rFonts w:ascii="Aptos" w:hAnsi="Aptos"/>
                <w:b/>
                <w:color w:val="FFFFFF"/>
                <w:sz w:val="15"/>
              </w:rPr>
              <w:t>Reporting area</w:t>
            </w:r>
          </w:p>
        </w:tc>
        <w:tc>
          <w:tcPr>
            <w:tcW w:type="dxa" w:w="6912"/>
            <w:vAlign w:val="center"/>
            <w:tcMar>
              <w:top w:w="70" w:type="dxa"/>
              <w:start w:w="85" w:type="dxa"/>
              <w:bottom w:w="70" w:type="dxa"/>
              <w:end w:w="85" w:type="dxa"/>
            </w:tcMar>
            <w:shd w:fill="173B57"/>
          </w:tcPr>
          <w:p>
            <w:pPr>
              <w:spacing w:before="0" w:after="0"/>
            </w:pPr>
            <w:r/>
            <w:r>
              <w:rPr>
                <w:rFonts w:ascii="Aptos" w:hAnsi="Aptos"/>
                <w:b/>
                <w:color w:val="FFFFFF"/>
                <w:sz w:val="15"/>
              </w:rPr>
              <w:t>Minimum management information</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Inventory coverage</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Number of registered AI systems; unregistered/shadow AI discoveries.</w:t>
            </w:r>
          </w:p>
        </w:tc>
      </w:tr>
      <w:tr>
        <w:trPr>
          <w:cantSplit/>
        </w:trP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Lifecycle</w:t>
            </w:r>
          </w:p>
        </w:tc>
        <w:tc>
          <w:tcPr>
            <w:tcW w:type="dxa" w:w="6912"/>
            <w:vAlign w:val="center"/>
            <w:tcMar>
              <w:top w:w="70" w:type="dxa"/>
              <w:start w:w="85" w:type="dxa"/>
              <w:bottom w:w="70" w:type="dxa"/>
              <w:end w:w="85" w:type="dxa"/>
            </w:tcMar>
            <w:shd w:fill="F4F6F7"/>
          </w:tcPr>
          <w:p>
            <w:pPr>
              <w:spacing w:before="0" w:after="0"/>
            </w:pPr>
            <w:r/>
            <w:r>
              <w:rPr>
                <w:rFonts w:ascii="Aptos" w:hAnsi="Aptos"/>
                <w:b w:val="0"/>
                <w:color w:val="27343E"/>
                <w:sz w:val="15"/>
              </w:rPr>
              <w:t>Systems by concept, development, pilot, production, suspended and retired state.</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Risk</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Current residual risk distribution; High/Critical systems; target-risk actions.</w:t>
            </w:r>
          </w:p>
        </w:tc>
      </w:tr>
      <w:tr>
        <w:trPr>
          <w:cantSplit/>
        </w:trP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Assessment</w:t>
            </w:r>
          </w:p>
        </w:tc>
        <w:tc>
          <w:tcPr>
            <w:tcW w:type="dxa" w:w="6912"/>
            <w:vAlign w:val="center"/>
            <w:tcMar>
              <w:top w:w="70" w:type="dxa"/>
              <w:start w:w="85" w:type="dxa"/>
              <w:bottom w:w="70" w:type="dxa"/>
              <w:end w:w="85" w:type="dxa"/>
            </w:tcMar>
            <w:shd w:fill="F4F6F7"/>
          </w:tcPr>
          <w:p>
            <w:pPr>
              <w:spacing w:before="0" w:after="0"/>
            </w:pPr>
            <w:r/>
            <w:r>
              <w:rPr>
                <w:rFonts w:ascii="Aptos" w:hAnsi="Aptos"/>
                <w:b w:val="0"/>
                <w:color w:val="27343E"/>
                <w:sz w:val="15"/>
              </w:rPr>
              <w:t>Unassessed systems; overdue risk/impact/privacy/security/vendor reviews.</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Approval</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Systems blocked, conditionally approved, exceptioned or awaiting decision.</w:t>
            </w:r>
          </w:p>
        </w:tc>
      </w:tr>
      <w:tr>
        <w:trPr>
          <w:cantSplit/>
        </w:trP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Controls/evidence</w:t>
            </w:r>
          </w:p>
        </w:tc>
        <w:tc>
          <w:tcPr>
            <w:tcW w:type="dxa" w:w="6912"/>
            <w:vAlign w:val="center"/>
            <w:tcMar>
              <w:top w:w="70" w:type="dxa"/>
              <w:start w:w="85" w:type="dxa"/>
              <w:bottom w:w="70" w:type="dxa"/>
              <w:end w:w="85" w:type="dxa"/>
            </w:tcMar>
            <w:shd w:fill="F4F6F7"/>
          </w:tcPr>
          <w:p>
            <w:pPr>
              <w:spacing w:before="0" w:after="0"/>
            </w:pPr>
            <w:r/>
            <w:r>
              <w:rPr>
                <w:rFonts w:ascii="Aptos" w:hAnsi="Aptos"/>
                <w:b w:val="0"/>
                <w:color w:val="27343E"/>
                <w:sz w:val="15"/>
              </w:rPr>
              <w:t>Control implementation status, evidence completeness/staleness and overdue actions.</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Third party</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AI vendors, material vendor changes, due-diligence/contract gaps and exit risks.</w:t>
            </w:r>
          </w:p>
        </w:tc>
      </w:tr>
      <w:tr>
        <w:trPr>
          <w:cantSplit/>
        </w:trP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Incidents</w:t>
            </w:r>
          </w:p>
        </w:tc>
        <w:tc>
          <w:tcPr>
            <w:tcW w:type="dxa" w:w="6912"/>
            <w:vAlign w:val="center"/>
            <w:tcMar>
              <w:top w:w="70" w:type="dxa"/>
              <w:start w:w="85" w:type="dxa"/>
              <w:bottom w:w="70" w:type="dxa"/>
              <w:end w:w="85" w:type="dxa"/>
            </w:tcMar>
            <w:shd w:fill="F4F6F7"/>
          </w:tcPr>
          <w:p>
            <w:pPr>
              <w:spacing w:before="0" w:after="0"/>
            </w:pPr>
            <w:r/>
            <w:r>
              <w:rPr>
                <w:rFonts w:ascii="Aptos" w:hAnsi="Aptos"/>
                <w:b w:val="0"/>
                <w:color w:val="27343E"/>
                <w:sz w:val="15"/>
              </w:rPr>
              <w:t>Material AI/security/privacy/safety incidents, complaints, harmful outcomes and recurrence.</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Human oversight</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Override/escalation trends and material indications of ineffective human review.</w:t>
            </w:r>
          </w:p>
        </w:tc>
      </w:tr>
      <w:tr>
        <w:trPr>
          <w:cantSplit/>
        </w:trPr>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5"/>
              </w:rPr>
              <w:t>Change / reassessment</w:t>
            </w:r>
          </w:p>
        </w:tc>
        <w:tc>
          <w:tcPr>
            <w:tcW w:type="dxa" w:w="6912"/>
            <w:vAlign w:val="center"/>
            <w:tcMar>
              <w:top w:w="70" w:type="dxa"/>
              <w:start w:w="85" w:type="dxa"/>
              <w:bottom w:w="70" w:type="dxa"/>
              <w:end w:w="85" w:type="dxa"/>
            </w:tcMar>
            <w:shd w:fill="F4F6F7"/>
          </w:tcPr>
          <w:p>
            <w:pPr>
              <w:spacing w:before="0" w:after="0"/>
            </w:pPr>
            <w:r/>
            <w:r>
              <w:rPr>
                <w:rFonts w:ascii="Aptos" w:hAnsi="Aptos"/>
                <w:b w:val="0"/>
                <w:color w:val="27343E"/>
                <w:sz w:val="15"/>
              </w:rPr>
              <w:t>Upcoming reviews, material changes, overdue reassessments and post-change incidents.</w:t>
            </w:r>
          </w:p>
        </w:tc>
      </w:tr>
      <w:tr>
        <w:trPr>
          <w:cantSplit/>
        </w:trPr>
        <w:tc>
          <w:tcPr>
            <w:tcW w:type="dxa" w:w="2448"/>
            <w:vAlign w:val="center"/>
            <w:tcMar>
              <w:top w:w="70" w:type="dxa"/>
              <w:start w:w="85" w:type="dxa"/>
              <w:bottom w:w="70" w:type="dxa"/>
              <w:end w:w="85" w:type="dxa"/>
            </w:tcMar>
          </w:tcPr>
          <w:p>
            <w:pPr>
              <w:spacing w:before="0" w:after="0"/>
            </w:pPr>
            <w:r/>
            <w:r>
              <w:rPr>
                <w:rFonts w:ascii="Aptos" w:hAnsi="Aptos"/>
                <w:b w:val="0"/>
                <w:color w:val="27343E"/>
                <w:sz w:val="15"/>
              </w:rPr>
              <w:t>Literacy</w:t>
            </w:r>
          </w:p>
        </w:tc>
        <w:tc>
          <w:tcPr>
            <w:tcW w:type="dxa" w:w="6912"/>
            <w:vAlign w:val="center"/>
            <w:tcMar>
              <w:top w:w="70" w:type="dxa"/>
              <w:start w:w="85" w:type="dxa"/>
              <w:bottom w:w="70" w:type="dxa"/>
              <w:end w:w="85" w:type="dxa"/>
            </w:tcMar>
          </w:tcPr>
          <w:p>
            <w:pPr>
              <w:spacing w:before="0" w:after="0"/>
            </w:pPr>
            <w:r/>
            <w:r>
              <w:rPr>
                <w:rFonts w:ascii="Aptos" w:hAnsi="Aptos"/>
                <w:b w:val="0"/>
                <w:color w:val="27343E"/>
                <w:sz w:val="15"/>
              </w:rPr>
              <w:t>Role-based AI literacy/training coverage for material AI roles.</w:t>
            </w:r>
          </w:p>
        </w:tc>
      </w:tr>
    </w:tbl>
    <w:p>
      <w:pPr>
        <w:spacing w:after="0"/>
      </w:pPr>
    </w:p>
    <w:p>
      <w:pPr>
        <w:pStyle w:val="Heading2"/>
      </w:pPr>
      <w:r>
        <w:t>22.1 Board / executive reporting principle</w:t>
      </w:r>
    </w:p>
    <w:p>
      <w:pPr>
        <w:spacing w:after="100" w:line="247" w:lineRule="auto"/>
      </w:pPr>
      <w:r>
        <w:t>Executive reporting shall support prioritization and decision-making rather than present technical metrics without context. Material uncertainty, blocked systems, overdue treatment, systemic vendor exposure, repeated incidents and evidence gaps shall be visible.</w:t>
      </w:r>
    </w:p>
    <w:p>
      <w:pPr>
        <w:pStyle w:val="Heading1"/>
      </w:pPr>
      <w:r>
        <w:t>23. Independent Assurance</w:t>
      </w:r>
    </w:p>
    <w:p>
      <w:pPr>
        <w:pStyle w:val="ListBullet"/>
        <w:spacing w:after="52"/>
      </w:pPr>
      <w:r>
        <w:t>Internal Audit may assess whether the AI governance framework is appropriately designed, implemented, operating consistently and supported by evidence.</w:t>
      </w:r>
    </w:p>
    <w:p>
      <w:pPr>
        <w:pStyle w:val="ListBullet"/>
        <w:spacing w:after="52"/>
      </w:pPr>
      <w:r>
        <w:t>Internal Audit shall not own the inventory, risk methodology, approval gates, remediation actions or operational controls it may later audit.</w:t>
      </w:r>
    </w:p>
    <w:p>
      <w:pPr>
        <w:pStyle w:val="ListBullet"/>
        <w:spacing w:after="52"/>
      </w:pPr>
      <w:r>
        <w:t>Second-line monitoring and challenge shall not be described as independent third-line assurance.</w:t>
      </w:r>
    </w:p>
    <w:p>
      <w:pPr>
        <w:pStyle w:val="ListBullet"/>
        <w:spacing w:after="52"/>
      </w:pPr>
      <w:r>
        <w:t>External assurance or certification may be used where useful but shall not replace Duckworks accountability for system-specific governance.</w:t>
      </w:r>
    </w:p>
    <w:p>
      <w:pPr>
        <w:pStyle w:val="Heading1"/>
      </w:pPr>
      <w:r>
        <w:t>24. Policy Architecture and Related Artifacts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72"/>
            <w:vAlign w:val="center"/>
            <w:tcMar>
              <w:top w:w="70" w:type="dxa"/>
              <w:start w:w="85" w:type="dxa"/>
              <w:bottom w:w="70" w:type="dxa"/>
              <w:end w:w="85" w:type="dxa"/>
            </w:tcMar>
            <w:shd w:fill="173B57"/>
          </w:tcPr>
          <w:p>
            <w:pPr>
              <w:spacing w:before="0" w:after="0"/>
            </w:pPr>
            <w:r/>
            <w:r>
              <w:rPr>
                <w:rFonts w:ascii="Aptos" w:hAnsi="Aptos"/>
                <w:b/>
                <w:color w:val="FFFFFF"/>
                <w:sz w:val="15"/>
              </w:rPr>
              <w:t>Artifact</w:t>
            </w:r>
          </w:p>
        </w:tc>
        <w:tc>
          <w:tcPr>
            <w:tcW w:type="dxa" w:w="5688"/>
            <w:vAlign w:val="center"/>
            <w:tcMar>
              <w:top w:w="70" w:type="dxa"/>
              <w:start w:w="85" w:type="dxa"/>
              <w:bottom w:w="70" w:type="dxa"/>
              <w:end w:w="85" w:type="dxa"/>
            </w:tcMar>
            <w:shd w:fill="173B57"/>
          </w:tcPr>
          <w:p>
            <w:pPr>
              <w:spacing w:before="0" w:after="0"/>
            </w:pPr>
            <w:r/>
            <w:r>
              <w:rPr>
                <w:rFonts w:ascii="Aptos" w:hAnsi="Aptos"/>
                <w:b/>
                <w:color w:val="FFFFFF"/>
                <w:sz w:val="15"/>
              </w:rPr>
              <w:t>Policy relationship</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Enterprise AI Governance Charter</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Top-level authority, principles, accountability and decision rights.</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Governance Policy - this document</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Mandatory enterprise governance requirements.</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AI Responsible Use Policy</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Mandatory behavioral and responsible-use requirements for users and teams.</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Governance Lifecycle SOP</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Operational intake-to-retirement workflow and evidence chain.</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AI Risk Classification &amp; Assessment Methodology</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Scenario-based risk scoring, control credit, current/target risk and approval thresholds.</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Impact Assessments / Ethical / Rights / Privacy assessments</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System-specific impact, rights, ethics and privacy evidence where required.</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Data Management Plan</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Data ownership, provenance, quality, RAG, retention and data-evidence controls.</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Change Management Process</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Change classes, reassessment, release, emergency change and rollback.</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AI Vendor Contract / AI DPA / Due Diligence</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Third-party AI contractual, privacy, security, change and exit controls.</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Governance Playbooks / Runbooks</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Operational scenario response, incidents, containment, monitoring and recovery.</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AI Whistleblower Policy</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Protected reporting, confidentiality, anti-retaliation and AI-specific escalation.</w:t>
            </w:r>
          </w:p>
        </w:tc>
      </w:tr>
      <w:tr>
        <w:trPr>
          <w:cantSplit/>
        </w:trPr>
        <w:tc>
          <w:tcPr>
            <w:tcW w:type="dxa" w:w="3672"/>
            <w:vAlign w:val="center"/>
            <w:tcMar>
              <w:top w:w="70" w:type="dxa"/>
              <w:start w:w="85" w:type="dxa"/>
              <w:bottom w:w="70" w:type="dxa"/>
              <w:end w:w="85" w:type="dxa"/>
            </w:tcMar>
            <w:shd w:fill="F4F6F7"/>
          </w:tcPr>
          <w:p>
            <w:pPr>
              <w:spacing w:before="0" w:after="0"/>
            </w:pPr>
            <w:r/>
            <w:r>
              <w:rPr>
                <w:rFonts w:ascii="Aptos" w:hAnsi="Aptos"/>
                <w:b w:val="0"/>
                <w:color w:val="27343E"/>
                <w:sz w:val="15"/>
              </w:rPr>
              <w:t>AI Bill of Materials Register</w:t>
            </w:r>
          </w:p>
        </w:tc>
        <w:tc>
          <w:tcPr>
            <w:tcW w:type="dxa" w:w="5688"/>
            <w:vAlign w:val="center"/>
            <w:tcMar>
              <w:top w:w="70" w:type="dxa"/>
              <w:start w:w="85" w:type="dxa"/>
              <w:bottom w:w="70" w:type="dxa"/>
              <w:end w:w="85" w:type="dxa"/>
            </w:tcMar>
            <w:shd w:fill="F4F6F7"/>
          </w:tcPr>
          <w:p>
            <w:pPr>
              <w:spacing w:before="0" w:after="0"/>
            </w:pPr>
            <w:r/>
            <w:r>
              <w:rPr>
                <w:rFonts w:ascii="Aptos" w:hAnsi="Aptos"/>
                <w:b w:val="0"/>
                <w:color w:val="27343E"/>
                <w:sz w:val="15"/>
              </w:rPr>
              <w:t>Model/service/software/data/integration dependency and evidence inventory.</w:t>
            </w:r>
          </w:p>
        </w:tc>
      </w:tr>
      <w:tr>
        <w:trPr>
          <w:cantSplit/>
        </w:trPr>
        <w:tc>
          <w:tcPr>
            <w:tcW w:type="dxa" w:w="3672"/>
            <w:vAlign w:val="center"/>
            <w:tcMar>
              <w:top w:w="70" w:type="dxa"/>
              <w:start w:w="85" w:type="dxa"/>
              <w:bottom w:w="70" w:type="dxa"/>
              <w:end w:w="85" w:type="dxa"/>
            </w:tcMar>
          </w:tcPr>
          <w:p>
            <w:pPr>
              <w:spacing w:before="0" w:after="0"/>
            </w:pPr>
            <w:r/>
            <w:r>
              <w:rPr>
                <w:rFonts w:ascii="Aptos" w:hAnsi="Aptos"/>
                <w:b w:val="0"/>
                <w:color w:val="27343E"/>
                <w:sz w:val="15"/>
              </w:rPr>
              <w:t>QuackTrack / RACI / dashboards / control library</w:t>
            </w:r>
          </w:p>
        </w:tc>
        <w:tc>
          <w:tcPr>
            <w:tcW w:type="dxa" w:w="5688"/>
            <w:vAlign w:val="center"/>
            <w:tcMar>
              <w:top w:w="70" w:type="dxa"/>
              <w:start w:w="85" w:type="dxa"/>
              <w:bottom w:w="70" w:type="dxa"/>
              <w:end w:w="85" w:type="dxa"/>
            </w:tcMar>
          </w:tcPr>
          <w:p>
            <w:pPr>
              <w:spacing w:before="0" w:after="0"/>
            </w:pPr>
            <w:r/>
            <w:r>
              <w:rPr>
                <w:rFonts w:ascii="Aptos" w:hAnsi="Aptos"/>
                <w:b w:val="0"/>
                <w:color w:val="27343E"/>
                <w:sz w:val="15"/>
              </w:rPr>
              <w:t>System state, ownership, accountability, control evidence and management reporting.</w:t>
            </w:r>
          </w:p>
        </w:tc>
      </w:tr>
    </w:tbl>
    <w:p>
      <w:pPr>
        <w:spacing w:after="0"/>
      </w:pPr>
    </w:p>
    <w:p>
      <w:pPr>
        <w:pStyle w:val="Heading1"/>
      </w:pPr>
      <w:r>
        <w:t>25. Standards and Framework Alignment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4"/>
              </w:rPr>
              <w:t>Source</w:t>
            </w:r>
          </w:p>
        </w:tc>
        <w:tc>
          <w:tcPr>
            <w:tcW w:type="dxa" w:w="2592"/>
            <w:vAlign w:val="center"/>
            <w:tcMar>
              <w:top w:w="70" w:type="dxa"/>
              <w:start w:w="85" w:type="dxa"/>
              <w:bottom w:w="70" w:type="dxa"/>
              <w:end w:w="85" w:type="dxa"/>
            </w:tcMar>
            <w:shd w:fill="173B57"/>
          </w:tcPr>
          <w:p>
            <w:pPr>
              <w:spacing w:before="0" w:after="0"/>
            </w:pPr>
            <w:r/>
            <w:r>
              <w:rPr>
                <w:rFonts w:ascii="Aptos" w:hAnsi="Aptos"/>
                <w:b/>
                <w:color w:val="FFFFFF"/>
                <w:sz w:val="14"/>
              </w:rPr>
              <w:t>Classification</w:t>
            </w:r>
          </w:p>
        </w:tc>
        <w:tc>
          <w:tcPr>
            <w:tcW w:type="dxa" w:w="4464"/>
            <w:vAlign w:val="center"/>
            <w:tcMar>
              <w:top w:w="70" w:type="dxa"/>
              <w:start w:w="85" w:type="dxa"/>
              <w:bottom w:w="70" w:type="dxa"/>
              <w:end w:w="85" w:type="dxa"/>
            </w:tcMar>
            <w:shd w:fill="173B57"/>
          </w:tcPr>
          <w:p>
            <w:pPr>
              <w:spacing w:before="0" w:after="0"/>
            </w:pPr>
            <w:r/>
            <w:r>
              <w:rPr>
                <w:rFonts w:ascii="Aptos" w:hAnsi="Aptos"/>
                <w:b/>
                <w:color w:val="FFFFFF"/>
                <w:sz w:val="14"/>
              </w:rPr>
              <w:t>Duckworks use</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4"/>
              </w:rPr>
              <w:t>NIST AI RMF 1.0</w:t>
            </w:r>
          </w:p>
        </w:tc>
        <w:tc>
          <w:tcPr>
            <w:tcW w:type="dxa" w:w="2592"/>
            <w:vAlign w:val="center"/>
            <w:tcMar>
              <w:top w:w="70" w:type="dxa"/>
              <w:start w:w="85" w:type="dxa"/>
              <w:bottom w:w="70" w:type="dxa"/>
              <w:end w:w="85" w:type="dxa"/>
            </w:tcMar>
          </w:tcPr>
          <w:p>
            <w:pPr>
              <w:spacing w:before="0" w:after="0"/>
            </w:pPr>
            <w:r/>
            <w:r>
              <w:rPr>
                <w:rFonts w:ascii="Aptos" w:hAnsi="Aptos"/>
                <w:b w:val="0"/>
                <w:color w:val="27343E"/>
                <w:sz w:val="14"/>
              </w:rPr>
              <w:t>Voluntary</w:t>
            </w:r>
          </w:p>
        </w:tc>
        <w:tc>
          <w:tcPr>
            <w:tcW w:type="dxa" w:w="4464"/>
            <w:vAlign w:val="center"/>
            <w:tcMar>
              <w:top w:w="70" w:type="dxa"/>
              <w:start w:w="85" w:type="dxa"/>
              <w:bottom w:w="70" w:type="dxa"/>
              <w:end w:w="85" w:type="dxa"/>
            </w:tcMar>
          </w:tcPr>
          <w:p>
            <w:pPr>
              <w:spacing w:before="0" w:after="0"/>
            </w:pPr>
            <w:r/>
            <w:r>
              <w:rPr>
                <w:rFonts w:ascii="Aptos" w:hAnsi="Aptos"/>
                <w:b w:val="0"/>
                <w:color w:val="27343E"/>
                <w:sz w:val="14"/>
              </w:rPr>
              <w:t>Govern -&gt; policy, accountability and culture; Map -&gt; context/intended purpose/affected parties; Measure -&gt; testing/impact/risk evidence; Manage -&gt; treatment, monitoring, incident, change and retirement.</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4"/>
              </w:rPr>
              <w:t>ISO/IEC 42001:2023</w:t>
            </w:r>
          </w:p>
        </w:tc>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4"/>
              </w:rPr>
              <w:t>Voluntary management-system standard</w:t>
            </w:r>
          </w:p>
        </w:tc>
        <w:tc>
          <w:tcPr>
            <w:tcW w:type="dxa" w:w="4464"/>
            <w:vAlign w:val="center"/>
            <w:tcMar>
              <w:top w:w="70" w:type="dxa"/>
              <w:start w:w="85" w:type="dxa"/>
              <w:bottom w:w="70" w:type="dxa"/>
              <w:end w:w="85" w:type="dxa"/>
            </w:tcMar>
            <w:shd w:fill="F4F6F7"/>
          </w:tcPr>
          <w:p>
            <w:pPr>
              <w:spacing w:before="0" w:after="0"/>
            </w:pPr>
            <w:r/>
            <w:r>
              <w:rPr>
                <w:rFonts w:ascii="Aptos" w:hAnsi="Aptos"/>
                <w:b w:val="0"/>
                <w:color w:val="27343E"/>
                <w:sz w:val="14"/>
              </w:rPr>
              <w:t>Policy is designed to support an AI management-system approach to policies/objectives, risk/opportunity management, operation, performance evaluation and continual improvement. No conformity claim.</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4"/>
              </w:rPr>
              <w:t>ISO/IEC 23894:2023</w:t>
            </w:r>
          </w:p>
        </w:tc>
        <w:tc>
          <w:tcPr>
            <w:tcW w:type="dxa" w:w="2592"/>
            <w:vAlign w:val="center"/>
            <w:tcMar>
              <w:top w:w="70" w:type="dxa"/>
              <w:start w:w="85" w:type="dxa"/>
              <w:bottom w:w="70" w:type="dxa"/>
              <w:end w:w="85" w:type="dxa"/>
            </w:tcMar>
          </w:tcPr>
          <w:p>
            <w:pPr>
              <w:spacing w:before="0" w:after="0"/>
            </w:pPr>
            <w:r/>
            <w:r>
              <w:rPr>
                <w:rFonts w:ascii="Aptos" w:hAnsi="Aptos"/>
                <w:b w:val="0"/>
                <w:color w:val="27343E"/>
                <w:sz w:val="14"/>
              </w:rPr>
              <w:t>Voluntary guidance</w:t>
            </w:r>
          </w:p>
        </w:tc>
        <w:tc>
          <w:tcPr>
            <w:tcW w:type="dxa" w:w="4464"/>
            <w:vAlign w:val="center"/>
            <w:tcMar>
              <w:top w:w="70" w:type="dxa"/>
              <w:start w:w="85" w:type="dxa"/>
              <w:bottom w:w="70" w:type="dxa"/>
              <w:end w:w="85" w:type="dxa"/>
            </w:tcMar>
          </w:tcPr>
          <w:p>
            <w:pPr>
              <w:spacing w:before="0" w:after="0"/>
            </w:pPr>
            <w:r/>
            <w:r>
              <w:rPr>
                <w:rFonts w:ascii="Aptos" w:hAnsi="Aptos"/>
                <w:b w:val="0"/>
                <w:color w:val="27343E"/>
                <w:sz w:val="14"/>
              </w:rPr>
              <w:t>Supports integration of AI-specific risk management into organizational activities.</w:t>
            </w:r>
          </w:p>
        </w:tc>
      </w:tr>
      <w:tr>
        <w:trPr>
          <w:cantSplit/>
        </w:trPr>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4"/>
              </w:rPr>
              <w:t>ISO/IEC 42005:2025</w:t>
            </w:r>
          </w:p>
        </w:tc>
        <w:tc>
          <w:tcPr>
            <w:tcW w:type="dxa" w:w="2592"/>
            <w:vAlign w:val="center"/>
            <w:tcMar>
              <w:top w:w="70" w:type="dxa"/>
              <w:start w:w="85" w:type="dxa"/>
              <w:bottom w:w="70" w:type="dxa"/>
              <w:end w:w="85" w:type="dxa"/>
            </w:tcMar>
            <w:shd w:fill="F4F6F7"/>
          </w:tcPr>
          <w:p>
            <w:pPr>
              <w:spacing w:before="0" w:after="0"/>
            </w:pPr>
            <w:r/>
            <w:r>
              <w:rPr>
                <w:rFonts w:ascii="Aptos" w:hAnsi="Aptos"/>
                <w:b w:val="0"/>
                <w:color w:val="27343E"/>
                <w:sz w:val="14"/>
              </w:rPr>
              <w:t>Voluntary guidance</w:t>
            </w:r>
          </w:p>
        </w:tc>
        <w:tc>
          <w:tcPr>
            <w:tcW w:type="dxa" w:w="4464"/>
            <w:vAlign w:val="center"/>
            <w:tcMar>
              <w:top w:w="70" w:type="dxa"/>
              <w:start w:w="85" w:type="dxa"/>
              <w:bottom w:w="70" w:type="dxa"/>
              <w:end w:w="85" w:type="dxa"/>
            </w:tcMar>
            <w:shd w:fill="F4F6F7"/>
          </w:tcPr>
          <w:p>
            <w:pPr>
              <w:spacing w:before="0" w:after="0"/>
            </w:pPr>
            <w:r/>
            <w:r>
              <w:rPr>
                <w:rFonts w:ascii="Aptos" w:hAnsi="Aptos"/>
                <w:b w:val="0"/>
                <w:color w:val="27343E"/>
                <w:sz w:val="14"/>
              </w:rPr>
              <w:t>Supports lifecycle AI system impact assessment for individuals, groups and society.</w:t>
            </w:r>
          </w:p>
        </w:tc>
      </w:tr>
      <w:tr>
        <w:trPr>
          <w:cantSplit/>
        </w:trPr>
        <w:tc>
          <w:tcPr>
            <w:tcW w:type="dxa" w:w="2592"/>
            <w:vAlign w:val="center"/>
            <w:tcMar>
              <w:top w:w="70" w:type="dxa"/>
              <w:start w:w="85" w:type="dxa"/>
              <w:bottom w:w="70" w:type="dxa"/>
              <w:end w:w="85" w:type="dxa"/>
            </w:tcMar>
          </w:tcPr>
          <w:p>
            <w:pPr>
              <w:spacing w:before="0" w:after="0"/>
            </w:pPr>
            <w:r/>
            <w:r>
              <w:rPr>
                <w:rFonts w:ascii="Aptos" w:hAnsi="Aptos"/>
                <w:b w:val="0"/>
                <w:color w:val="27343E"/>
                <w:sz w:val="14"/>
              </w:rPr>
              <w:t>ISO/IEC 27001:2022</w:t>
            </w:r>
          </w:p>
        </w:tc>
        <w:tc>
          <w:tcPr>
            <w:tcW w:type="dxa" w:w="2592"/>
            <w:vAlign w:val="center"/>
            <w:tcMar>
              <w:top w:w="70" w:type="dxa"/>
              <w:start w:w="85" w:type="dxa"/>
              <w:bottom w:w="70" w:type="dxa"/>
              <w:end w:w="85" w:type="dxa"/>
            </w:tcMar>
          </w:tcPr>
          <w:p>
            <w:pPr>
              <w:spacing w:before="0" w:after="0"/>
            </w:pPr>
            <w:r/>
            <w:r>
              <w:rPr>
                <w:rFonts w:ascii="Aptos" w:hAnsi="Aptos"/>
                <w:b w:val="0"/>
                <w:color w:val="27343E"/>
                <w:sz w:val="14"/>
              </w:rPr>
              <w:t>Voluntary certifiable management-system standard</w:t>
            </w:r>
          </w:p>
        </w:tc>
        <w:tc>
          <w:tcPr>
            <w:tcW w:type="dxa" w:w="4464"/>
            <w:vAlign w:val="center"/>
            <w:tcMar>
              <w:top w:w="70" w:type="dxa"/>
              <w:start w:w="85" w:type="dxa"/>
              <w:bottom w:w="70" w:type="dxa"/>
              <w:end w:w="85" w:type="dxa"/>
            </w:tcMar>
          </w:tcPr>
          <w:p>
            <w:pPr>
              <w:spacing w:before="0" w:after="0"/>
            </w:pPr>
            <w:r/>
            <w:r>
              <w:rPr>
                <w:rFonts w:ascii="Aptos" w:hAnsi="Aptos"/>
                <w:b w:val="0"/>
                <w:color w:val="27343E"/>
                <w:sz w:val="14"/>
              </w:rPr>
              <w:t>AI security requirements integrate with the ISMS and information-security risk treatment rather than creating a separate security silo.</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EAF1F6"/>
            <w:tcMar>
              <w:top w:w="118" w:type="dxa"/>
              <w:start w:w="140" w:type="dxa"/>
              <w:bottom w:w="118" w:type="dxa"/>
              <w:end w:w="140" w:type="dxa"/>
            </w:tcMar>
            <w:tcBorders>
              <w:left w:val="single" w:sz="18" w:color="2D6F6D"/>
            </w:tcBorders>
          </w:tcPr>
          <w:p>
            <w:pPr>
              <w:spacing w:after="60"/>
            </w:pPr>
            <w:r>
              <w:rPr>
                <w:b/>
                <w:color w:val="173B57"/>
                <w:sz w:val="20"/>
              </w:rPr>
              <w:t>No standards overclaim</w:t>
            </w:r>
          </w:p>
          <w:p>
            <w:pPr>
              <w:spacing w:after="0"/>
            </w:pPr>
            <w:r>
              <w:rPr>
                <w:color w:val="27343E"/>
                <w:sz w:val="18"/>
              </w:rPr>
              <w:t>This policy is informed by public descriptions and framework guidance. It does not reproduce protected ISO clause text, prove ISO conformity, or establish NIST 'compliance'.</w:t>
            </w:r>
          </w:p>
        </w:tc>
      </w:tr>
    </w:tbl>
    <w:p>
      <w:pPr>
        <w:spacing w:after="0"/>
      </w:pPr>
    </w:p>
    <w:p>
      <w:pPr>
        <w:pStyle w:val="Heading1"/>
      </w:pPr>
      <w:r>
        <w:t>26. Minimum Policy Compliance Checklist</w:t>
      </w:r>
    </w:p>
    <w:p>
      <w:pPr>
        <w:spacing w:after="40"/>
      </w:pPr>
      <w:r>
        <w:t>☐ AI use is registered and linked to a valid AI ID.</w:t>
      </w:r>
    </w:p>
    <w:p>
      <w:pPr>
        <w:spacing w:after="40"/>
      </w:pPr>
      <w:r>
        <w:t>☐ Intended purpose, decision role, users, affected groups, data, provider/model and integrations are documented.</w:t>
      </w:r>
    </w:p>
    <w:p>
      <w:pPr>
        <w:spacing w:after="40"/>
      </w:pPr>
      <w:r>
        <w:t>☐ Business Owner and Technical Owner are assigned.</w:t>
      </w:r>
    </w:p>
    <w:p>
      <w:pPr>
        <w:spacing w:after="40"/>
      </w:pPr>
      <w:r>
        <w:t>☐ Current lifecycle gate and internal risk status are explicit.</w:t>
      </w:r>
    </w:p>
    <w:p>
      <w:pPr>
        <w:spacing w:after="40"/>
      </w:pPr>
      <w:r>
        <w:t>☐ Legal/regulatory screening is separate from internal risk classification.</w:t>
      </w:r>
    </w:p>
    <w:p>
      <w:pPr>
        <w:spacing w:after="40"/>
      </w:pPr>
      <w:r>
        <w:t>☐ Required risk and impact assessments are complete.</w:t>
      </w:r>
    </w:p>
    <w:p>
      <w:pPr>
        <w:spacing w:after="40"/>
      </w:pPr>
      <w:r>
        <w:t>☐ Required specialist reviews are complete.</w:t>
      </w:r>
    </w:p>
    <w:p>
      <w:pPr>
        <w:spacing w:after="40"/>
      </w:pPr>
      <w:r>
        <w:t>☐ Human oversight is meaningful and evidenced where consequential.</w:t>
      </w:r>
    </w:p>
    <w:p>
      <w:pPr>
        <w:spacing w:after="40"/>
      </w:pPr>
      <w:r>
        <w:t>☐ Data and privacy requirements are met for the actual processing.</w:t>
      </w:r>
    </w:p>
    <w:p>
      <w:pPr>
        <w:spacing w:after="40"/>
      </w:pPr>
      <w:r>
        <w:t>☐ Security and AI-specific threat controls are validated.</w:t>
      </w:r>
    </w:p>
    <w:p>
      <w:pPr>
        <w:spacing w:after="40"/>
      </w:pPr>
      <w:r>
        <w:t>☐ Third-party due diligence/contract/DPA evidence is complete where applicable.</w:t>
      </w:r>
    </w:p>
    <w:p>
      <w:pPr>
        <w:spacing w:after="40"/>
      </w:pPr>
      <w:r>
        <w:t>☐ Validation acceptance criteria are met.</w:t>
      </w:r>
    </w:p>
    <w:p>
      <w:pPr>
        <w:spacing w:after="40"/>
      </w:pPr>
      <w:r>
        <w:t>☐ Transparency and AI literacy requirements are addressed.</w:t>
      </w:r>
    </w:p>
    <w:p>
      <w:pPr>
        <w:spacing w:after="40"/>
      </w:pPr>
      <w:r>
        <w:t>☐ Approval decision, conditions and exceptions are documented.</w:t>
      </w:r>
    </w:p>
    <w:p>
      <w:pPr>
        <w:spacing w:after="40"/>
      </w:pPr>
      <w:r>
        <w:t>☐ Monitoring and reassessment triggers are defined.</w:t>
      </w:r>
    </w:p>
    <w:p>
      <w:pPr>
        <w:spacing w:after="40"/>
      </w:pPr>
      <w:r>
        <w:t>☐ Change/rollback/suspension routes are established.</w:t>
      </w:r>
    </w:p>
    <w:p>
      <w:pPr>
        <w:spacing w:after="40"/>
      </w:pPr>
      <w:r>
        <w:t>☐ Evidence is current, traceable and distinguishable from planned controls.</w:t>
      </w:r>
    </w:p>
    <w:p>
      <w:pPr>
        <w:spacing w:after="40"/>
      </w:pPr>
      <w:r>
        <w:t>☐ Independent assurance ownership remains separate from operational governance.</w:t>
      </w:r>
    </w:p>
    <w:p>
      <w:pPr>
        <w:pStyle w:val="Heading1"/>
      </w:pPr>
      <w:r>
        <w:t>27. Authoritative Source Register</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3528"/>
            <w:vAlign w:val="center"/>
            <w:tcMar>
              <w:top w:w="70" w:type="dxa"/>
              <w:start w:w="85" w:type="dxa"/>
              <w:bottom w:w="70" w:type="dxa"/>
              <w:end w:w="85" w:type="dxa"/>
            </w:tcMar>
            <w:shd w:fill="173B57"/>
          </w:tcPr>
          <w:p>
            <w:pPr>
              <w:spacing w:before="0" w:after="0"/>
            </w:pPr>
            <w:r/>
            <w:r>
              <w:rPr>
                <w:rFonts w:ascii="Aptos" w:hAnsi="Aptos"/>
                <w:b/>
                <w:color w:val="FFFFFF"/>
                <w:sz w:val="13"/>
              </w:rPr>
              <w:t>Source</w:t>
            </w:r>
          </w:p>
        </w:tc>
        <w:tc>
          <w:tcPr>
            <w:tcW w:type="dxa" w:w="2232"/>
            <w:vAlign w:val="center"/>
            <w:tcMar>
              <w:top w:w="70" w:type="dxa"/>
              <w:start w:w="85" w:type="dxa"/>
              <w:bottom w:w="70" w:type="dxa"/>
              <w:end w:w="85" w:type="dxa"/>
            </w:tcMar>
            <w:shd w:fill="173B57"/>
          </w:tcPr>
          <w:p>
            <w:pPr>
              <w:spacing w:before="0" w:after="0"/>
            </w:pPr>
            <w:r/>
            <w:r>
              <w:rPr>
                <w:rFonts w:ascii="Aptos" w:hAnsi="Aptos"/>
                <w:b/>
                <w:color w:val="FFFFFF"/>
                <w:sz w:val="13"/>
              </w:rPr>
              <w:t>Classification</w:t>
            </w:r>
          </w:p>
        </w:tc>
        <w:tc>
          <w:tcPr>
            <w:tcW w:type="dxa" w:w="4320"/>
            <w:vAlign w:val="center"/>
            <w:tcMar>
              <w:top w:w="70" w:type="dxa"/>
              <w:start w:w="85" w:type="dxa"/>
              <w:bottom w:w="70" w:type="dxa"/>
              <w:end w:w="85" w:type="dxa"/>
            </w:tcMar>
            <w:shd w:fill="173B57"/>
          </w:tcPr>
          <w:p>
            <w:pPr>
              <w:spacing w:before="0" w:after="0"/>
            </w:pPr>
            <w:r/>
            <w:r>
              <w:rPr>
                <w:rFonts w:ascii="Aptos" w:hAnsi="Aptos"/>
                <w:b/>
                <w:color w:val="FFFFFF"/>
                <w:sz w:val="13"/>
              </w:rPr>
              <w:t>Policy use</w:t>
            </w:r>
          </w:p>
        </w:tc>
        <w:tc>
          <w:tcPr>
            <w:tcW w:type="dxa" w:w="2448"/>
            <w:vAlign w:val="center"/>
            <w:tcMar>
              <w:top w:w="70" w:type="dxa"/>
              <w:start w:w="85" w:type="dxa"/>
              <w:bottom w:w="70" w:type="dxa"/>
              <w:end w:w="85" w:type="dxa"/>
            </w:tcMar>
            <w:shd w:fill="173B57"/>
          </w:tcPr>
          <w:p>
            <w:pPr>
              <w:spacing w:before="0" w:after="0"/>
            </w:pPr>
            <w:r/>
            <w:r>
              <w:rPr>
                <w:rFonts w:ascii="Aptos" w:hAnsi="Aptos"/>
                <w:b/>
                <w:color w:val="FFFFFF"/>
                <w:sz w:val="13"/>
              </w:rPr>
              <w:t>Official reference</w:t>
            </w:r>
          </w:p>
        </w:tc>
      </w:tr>
      <w:tr>
        <w:trPr>
          <w:cantSplit/>
        </w:trPr>
        <w:tc>
          <w:tcPr>
            <w:tcW w:type="dxa" w:w="3528"/>
            <w:vAlign w:val="center"/>
            <w:tcMar>
              <w:top w:w="70" w:type="dxa"/>
              <w:start w:w="85" w:type="dxa"/>
              <w:bottom w:w="70" w:type="dxa"/>
              <w:end w:w="85" w:type="dxa"/>
            </w:tcMar>
          </w:tcPr>
          <w:p>
            <w:pPr>
              <w:spacing w:before="0" w:after="0"/>
            </w:pPr>
            <w:r/>
            <w:r>
              <w:rPr>
                <w:rFonts w:ascii="Aptos" w:hAnsi="Aptos"/>
                <w:b w:val="0"/>
                <w:color w:val="27343E"/>
                <w:sz w:val="13"/>
              </w:rPr>
              <w:t>EU AI Act - Regulation (EU) 2024/1689, consolidated 27 July 2026</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3"/>
              </w:rPr>
              <w:t>Binding EU law where applicable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3"/>
              </w:rPr>
              <w:t>Current scope, definitions, AI literacy, prohibited practices, transparency, high-risk roles/obligations and application schedule.</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3"/>
              </w:rPr>
              <w:t>EUR-Lex consolidated text: CELEX 02024R1689-20260727</w:t>
            </w:r>
          </w:p>
        </w:tc>
      </w:tr>
      <w:tr>
        <w:trPr>
          <w:cantSplit/>
        </w:trPr>
        <w:tc>
          <w:tcPr>
            <w:tcW w:type="dxa" w:w="3528"/>
            <w:vAlign w:val="center"/>
            <w:tcMar>
              <w:top w:w="70" w:type="dxa"/>
              <w:start w:w="85" w:type="dxa"/>
              <w:bottom w:w="70" w:type="dxa"/>
              <w:end w:w="85" w:type="dxa"/>
            </w:tcMar>
            <w:shd w:fill="F4F6F7"/>
          </w:tcPr>
          <w:p>
            <w:pPr>
              <w:spacing w:before="0" w:after="0"/>
            </w:pPr>
            <w:r/>
            <w:r>
              <w:rPr>
                <w:rFonts w:ascii="Aptos" w:hAnsi="Aptos"/>
                <w:b w:val="0"/>
                <w:color w:val="27343E"/>
                <w:sz w:val="13"/>
              </w:rPr>
              <w:t>Regulation (EU) 2026/1744 - Digital Omnibus on AI</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Binding EU amending regulation</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3"/>
              </w:rPr>
              <w:t>Amended AI Act implementation, including current application schedule and revised provisions.</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3"/>
              </w:rPr>
              <w:t>EUR-Lex: Regulation (EU) 2026/1744</w:t>
            </w:r>
          </w:p>
        </w:tc>
      </w:tr>
      <w:tr>
        <w:trPr>
          <w:cantSplit/>
        </w:trPr>
        <w:tc>
          <w:tcPr>
            <w:tcW w:type="dxa" w:w="3528"/>
            <w:vAlign w:val="center"/>
            <w:tcMar>
              <w:top w:w="70" w:type="dxa"/>
              <w:start w:w="85" w:type="dxa"/>
              <w:bottom w:w="70" w:type="dxa"/>
              <w:end w:w="85" w:type="dxa"/>
            </w:tcMar>
          </w:tcPr>
          <w:p>
            <w:pPr>
              <w:spacing w:before="0" w:after="0"/>
            </w:pPr>
            <w:r/>
            <w:r>
              <w:rPr>
                <w:rFonts w:ascii="Aptos" w:hAnsi="Aptos"/>
                <w:b w:val="0"/>
                <w:color w:val="27343E"/>
                <w:sz w:val="13"/>
              </w:rPr>
              <w:t>GDPR - Regulation (EU) 2016/679</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3"/>
              </w:rPr>
              <w:t>Binding EU law where applicable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3"/>
              </w:rPr>
              <w:t>Personal-data principles, privacy by design/default, processors, security and DPIA obligations.</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3"/>
              </w:rPr>
              <w:t>EUR-Lex: Regulation (EU) 2016/679</w:t>
            </w:r>
          </w:p>
        </w:tc>
      </w:tr>
      <w:tr>
        <w:trPr>
          <w:cantSplit/>
        </w:trPr>
        <w:tc>
          <w:tcPr>
            <w:tcW w:type="dxa" w:w="3528"/>
            <w:vAlign w:val="center"/>
            <w:tcMar>
              <w:top w:w="70" w:type="dxa"/>
              <w:start w:w="85" w:type="dxa"/>
              <w:bottom w:w="70" w:type="dxa"/>
              <w:end w:w="85" w:type="dxa"/>
            </w:tcMar>
            <w:shd w:fill="F4F6F7"/>
          </w:tcPr>
          <w:p>
            <w:pPr>
              <w:spacing w:before="0" w:after="0"/>
            </w:pPr>
            <w:r/>
            <w:r>
              <w:rPr>
                <w:rFonts w:ascii="Aptos" w:hAnsi="Aptos"/>
                <w:b w:val="0"/>
                <w:color w:val="27343E"/>
                <w:sz w:val="13"/>
              </w:rPr>
              <w:t>NIST AI RMF 1.0</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Voluntary framework</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3"/>
              </w:rPr>
              <w:t>Govern, Map, Measure, Manage structure and trustworthy AI risk-management outcomes.</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3"/>
              </w:rPr>
              <w:t>NIST AI Resource Center</w:t>
            </w:r>
          </w:p>
        </w:tc>
      </w:tr>
      <w:tr>
        <w:trPr>
          <w:cantSplit/>
        </w:trPr>
        <w:tc>
          <w:tcPr>
            <w:tcW w:type="dxa" w:w="3528"/>
            <w:vAlign w:val="center"/>
            <w:tcMar>
              <w:top w:w="70" w:type="dxa"/>
              <w:start w:w="85" w:type="dxa"/>
              <w:bottom w:w="70" w:type="dxa"/>
              <w:end w:w="85" w:type="dxa"/>
            </w:tcMar>
          </w:tcPr>
          <w:p>
            <w:pPr>
              <w:spacing w:before="0" w:after="0"/>
            </w:pPr>
            <w:r/>
            <w:r>
              <w:rPr>
                <w:rFonts w:ascii="Aptos" w:hAnsi="Aptos"/>
                <w:b w:val="0"/>
                <w:color w:val="27343E"/>
                <w:sz w:val="13"/>
              </w:rPr>
              <w:t>NIST AI RMF Playbook</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3"/>
              </w:rPr>
              <w:t>Voluntary guidance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3"/>
              </w:rPr>
              <w:t>Suggested implementation actions; not a mandatory checklist.</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3"/>
              </w:rPr>
              <w:t>NIST AI Resource Center</w:t>
            </w:r>
          </w:p>
        </w:tc>
      </w:tr>
      <w:tr>
        <w:trPr>
          <w:cantSplit/>
        </w:trPr>
        <w:tc>
          <w:tcPr>
            <w:tcW w:type="dxa" w:w="3528"/>
            <w:vAlign w:val="center"/>
            <w:tcMar>
              <w:top w:w="70" w:type="dxa"/>
              <w:start w:w="85" w:type="dxa"/>
              <w:bottom w:w="70" w:type="dxa"/>
              <w:end w:w="85" w:type="dxa"/>
            </w:tcMar>
            <w:shd w:fill="F4F6F7"/>
          </w:tcPr>
          <w:p>
            <w:pPr>
              <w:spacing w:before="0" w:after="0"/>
            </w:pPr>
            <w:r/>
            <w:r>
              <w:rPr>
                <w:rFonts w:ascii="Aptos" w:hAnsi="Aptos"/>
                <w:b w:val="0"/>
                <w:color w:val="27343E"/>
                <w:sz w:val="13"/>
              </w:rPr>
              <w:t>ISO/IEC 42001:2023 public description</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Voluntary management-system standard</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3"/>
              </w:rPr>
              <w:t>AIMS establishment, implementation, maintenance and continual improvement.</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3"/>
              </w:rPr>
              <w:t>ISO official site</w:t>
            </w:r>
          </w:p>
        </w:tc>
      </w:tr>
      <w:tr>
        <w:trPr>
          <w:cantSplit/>
        </w:trPr>
        <w:tc>
          <w:tcPr>
            <w:tcW w:type="dxa" w:w="3528"/>
            <w:vAlign w:val="center"/>
            <w:tcMar>
              <w:top w:w="70" w:type="dxa"/>
              <w:start w:w="85" w:type="dxa"/>
              <w:bottom w:w="70" w:type="dxa"/>
              <w:end w:w="85" w:type="dxa"/>
            </w:tcMar>
          </w:tcPr>
          <w:p>
            <w:pPr>
              <w:spacing w:before="0" w:after="0"/>
            </w:pPr>
            <w:r/>
            <w:r>
              <w:rPr>
                <w:rFonts w:ascii="Aptos" w:hAnsi="Aptos"/>
                <w:b w:val="0"/>
                <w:color w:val="27343E"/>
                <w:sz w:val="13"/>
              </w:rPr>
              <w:t>ISO/IEC 23894:2023 public description</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3"/>
              </w:rPr>
              <w:t>Voluntary risk-management guidance</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3"/>
              </w:rPr>
              <w:t>AI risk management integration across organizational activities.</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3"/>
              </w:rPr>
              <w:t>ISO official site</w:t>
            </w:r>
          </w:p>
        </w:tc>
      </w:tr>
      <w:tr>
        <w:trPr>
          <w:cantSplit/>
        </w:trPr>
        <w:tc>
          <w:tcPr>
            <w:tcW w:type="dxa" w:w="3528"/>
            <w:vAlign w:val="center"/>
            <w:tcMar>
              <w:top w:w="70" w:type="dxa"/>
              <w:start w:w="85" w:type="dxa"/>
              <w:bottom w:w="70" w:type="dxa"/>
              <w:end w:w="85" w:type="dxa"/>
            </w:tcMar>
            <w:shd w:fill="F4F6F7"/>
          </w:tcPr>
          <w:p>
            <w:pPr>
              <w:spacing w:before="0" w:after="0"/>
            </w:pPr>
            <w:r/>
            <w:r>
              <w:rPr>
                <w:rFonts w:ascii="Aptos" w:hAnsi="Aptos"/>
                <w:b w:val="0"/>
                <w:color w:val="27343E"/>
                <w:sz w:val="13"/>
              </w:rPr>
              <w:t>ISO/IEC 42005:2025 public description</w:t>
            </w:r>
          </w:p>
        </w:tc>
        <w:tc>
          <w:tcPr>
            <w:tcW w:type="dxa" w:w="2232"/>
            <w:vAlign w:val="center"/>
            <w:tcMar>
              <w:top w:w="70" w:type="dxa"/>
              <w:start w:w="85" w:type="dxa"/>
              <w:bottom w:w="70" w:type="dxa"/>
              <w:end w:w="85" w:type="dxa"/>
            </w:tcMar>
            <w:shd w:fill="F4F6F7"/>
          </w:tcPr>
          <w:p>
            <w:pPr>
              <w:spacing w:before="0" w:after="0"/>
            </w:pPr>
            <w:r/>
            <w:r>
              <w:rPr>
                <w:rFonts w:ascii="Aptos" w:hAnsi="Aptos"/>
                <w:b w:val="0"/>
                <w:color w:val="27343E"/>
                <w:sz w:val="13"/>
              </w:rPr>
              <w:t>Voluntary impact-assessment guidance</w:t>
            </w:r>
          </w:p>
        </w:tc>
        <w:tc>
          <w:tcPr>
            <w:tcW w:type="dxa" w:w="4320"/>
            <w:vAlign w:val="center"/>
            <w:tcMar>
              <w:top w:w="70" w:type="dxa"/>
              <w:start w:w="85" w:type="dxa"/>
              <w:bottom w:w="70" w:type="dxa"/>
              <w:end w:w="85" w:type="dxa"/>
            </w:tcMar>
            <w:shd w:fill="F4F6F7"/>
          </w:tcPr>
          <w:p>
            <w:pPr>
              <w:spacing w:before="0" w:after="0"/>
            </w:pPr>
            <w:r/>
            <w:r>
              <w:rPr>
                <w:rFonts w:ascii="Aptos" w:hAnsi="Aptos"/>
                <w:b w:val="0"/>
                <w:color w:val="27343E"/>
                <w:sz w:val="13"/>
              </w:rPr>
              <w:t>AI system impacts on individuals, groups and society across lifecycle.</w:t>
            </w:r>
          </w:p>
        </w:tc>
        <w:tc>
          <w:tcPr>
            <w:tcW w:type="dxa" w:w="2448"/>
            <w:vAlign w:val="center"/>
            <w:tcMar>
              <w:top w:w="70" w:type="dxa"/>
              <w:start w:w="85" w:type="dxa"/>
              <w:bottom w:w="70" w:type="dxa"/>
              <w:end w:w="85" w:type="dxa"/>
            </w:tcMar>
            <w:shd w:fill="F4F6F7"/>
          </w:tcPr>
          <w:p>
            <w:pPr>
              <w:spacing w:before="0" w:after="0"/>
            </w:pPr>
            <w:r/>
            <w:r>
              <w:rPr>
                <w:rFonts w:ascii="Aptos" w:hAnsi="Aptos"/>
                <w:b w:val="0"/>
                <w:color w:val="27343E"/>
                <w:sz w:val="13"/>
              </w:rPr>
              <w:t>ISO official site</w:t>
            </w:r>
          </w:p>
        </w:tc>
      </w:tr>
      <w:tr>
        <w:trPr>
          <w:cantSplit/>
        </w:trPr>
        <w:tc>
          <w:tcPr>
            <w:tcW w:type="dxa" w:w="3528"/>
            <w:vAlign w:val="center"/>
            <w:tcMar>
              <w:top w:w="70" w:type="dxa"/>
              <w:start w:w="85" w:type="dxa"/>
              <w:bottom w:w="70" w:type="dxa"/>
              <w:end w:w="85" w:type="dxa"/>
            </w:tcMar>
          </w:tcPr>
          <w:p>
            <w:pPr>
              <w:spacing w:before="0" w:after="0"/>
            </w:pPr>
            <w:r/>
            <w:r>
              <w:rPr>
                <w:rFonts w:ascii="Aptos" w:hAnsi="Aptos"/>
                <w:b w:val="0"/>
                <w:color w:val="27343E"/>
                <w:sz w:val="13"/>
              </w:rPr>
              <w:t>ISO/IEC 27001:2022 public description</w:t>
            </w:r>
          </w:p>
        </w:tc>
        <w:tc>
          <w:tcPr>
            <w:tcW w:type="dxa" w:w="2232"/>
            <w:vAlign w:val="center"/>
            <w:tcMar>
              <w:top w:w="70" w:type="dxa"/>
              <w:start w:w="85" w:type="dxa"/>
              <w:bottom w:w="70" w:type="dxa"/>
              <w:end w:w="85" w:type="dxa"/>
            </w:tcMar>
          </w:tcPr>
          <w:p>
            <w:pPr>
              <w:spacing w:before="0" w:after="0"/>
            </w:pPr>
            <w:r/>
            <w:r>
              <w:rPr>
                <w:rFonts w:ascii="Aptos" w:hAnsi="Aptos"/>
                <w:b w:val="0"/>
                <w:color w:val="27343E"/>
                <w:sz w:val="13"/>
              </w:rPr>
              <w:t>Voluntary certifiable ISMS standard</w:t>
            </w:r>
          </w:p>
        </w:tc>
        <w:tc>
          <w:tcPr>
            <w:tcW w:type="dxa" w:w="4320"/>
            <w:vAlign w:val="center"/>
            <w:tcMar>
              <w:top w:w="70" w:type="dxa"/>
              <w:start w:w="85" w:type="dxa"/>
              <w:bottom w:w="70" w:type="dxa"/>
              <w:end w:w="85" w:type="dxa"/>
            </w:tcMar>
          </w:tcPr>
          <w:p>
            <w:pPr>
              <w:spacing w:before="0" w:after="0"/>
            </w:pPr>
            <w:r/>
            <w:r>
              <w:rPr>
                <w:rFonts w:ascii="Aptos" w:hAnsi="Aptos"/>
                <w:b w:val="0"/>
                <w:color w:val="27343E"/>
                <w:sz w:val="13"/>
              </w:rPr>
              <w:t>Information-security management-system requirements and continual improvement.</w:t>
            </w:r>
          </w:p>
        </w:tc>
        <w:tc>
          <w:tcPr>
            <w:tcW w:type="dxa" w:w="2448"/>
            <w:vAlign w:val="center"/>
            <w:tcMar>
              <w:top w:w="70" w:type="dxa"/>
              <w:start w:w="85" w:type="dxa"/>
              <w:bottom w:w="70" w:type="dxa"/>
              <w:end w:w="85" w:type="dxa"/>
            </w:tcMar>
          </w:tcPr>
          <w:p>
            <w:pPr>
              <w:spacing w:before="0" w:after="0"/>
            </w:pPr>
            <w:r/>
            <w:r>
              <w:rPr>
                <w:rFonts w:ascii="Aptos" w:hAnsi="Aptos"/>
                <w:b w:val="0"/>
                <w:color w:val="27343E"/>
                <w:sz w:val="13"/>
              </w:rPr>
              <w:t>ISO official site</w:t>
            </w:r>
          </w:p>
        </w:tc>
      </w:tr>
    </w:tbl>
    <w:p>
      <w:pPr>
        <w:spacing w:after="0"/>
      </w:pPr>
    </w:p>
    <w:p>
      <w:pPr>
        <w:pStyle w:val="Heading1"/>
      </w:pPr>
      <w:r>
        <w:t>28. Duckworks Project Source Basis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104"/>
            <w:vAlign w:val="center"/>
            <w:tcMar>
              <w:top w:w="70" w:type="dxa"/>
              <w:start w:w="85" w:type="dxa"/>
              <w:bottom w:w="70" w:type="dxa"/>
              <w:end w:w="85" w:type="dxa"/>
            </w:tcMar>
            <w:shd w:fill="173B57"/>
          </w:tcPr>
          <w:p>
            <w:pPr>
              <w:spacing w:before="0" w:after="0"/>
            </w:pPr>
            <w:r/>
            <w:r>
              <w:rPr>
                <w:rFonts w:ascii="Aptos" w:hAnsi="Aptos"/>
                <w:b/>
                <w:color w:val="FFFFFF"/>
                <w:sz w:val="14"/>
              </w:rPr>
              <w:t>Project artifact</w:t>
            </w:r>
          </w:p>
        </w:tc>
        <w:tc>
          <w:tcPr>
            <w:tcW w:type="dxa" w:w="5256"/>
            <w:vAlign w:val="center"/>
            <w:tcMar>
              <w:top w:w="70" w:type="dxa"/>
              <w:start w:w="85" w:type="dxa"/>
              <w:bottom w:w="70" w:type="dxa"/>
              <w:end w:w="85" w:type="dxa"/>
            </w:tcMar>
            <w:shd w:fill="173B57"/>
          </w:tcPr>
          <w:p>
            <w:pPr>
              <w:spacing w:before="0" w:after="0"/>
            </w:pPr>
            <w:r/>
            <w:r>
              <w:rPr>
                <w:rFonts w:ascii="Aptos" w:hAnsi="Aptos"/>
                <w:b/>
                <w:color w:val="FFFFFF"/>
                <w:sz w:val="14"/>
              </w:rPr>
              <w:t>Contribution to this policy</w:t>
            </w:r>
          </w:p>
        </w:tc>
      </w:tr>
      <w:tr>
        <w:trPr>
          <w:cantSplit/>
        </w:trPr>
        <w:tc>
          <w:tcPr>
            <w:tcW w:type="dxa" w:w="4104"/>
            <w:vAlign w:val="center"/>
            <w:tcMar>
              <w:top w:w="70" w:type="dxa"/>
              <w:start w:w="85" w:type="dxa"/>
              <w:bottom w:w="70" w:type="dxa"/>
              <w:end w:w="85" w:type="dxa"/>
            </w:tcMar>
          </w:tcPr>
          <w:p>
            <w:pPr>
              <w:spacing w:before="0" w:after="0"/>
            </w:pPr>
            <w:r/>
            <w:r>
              <w:rPr>
                <w:rFonts w:ascii="Aptos" w:hAnsi="Aptos"/>
                <w:b w:val="0"/>
                <w:color w:val="27343E"/>
                <w:sz w:val="14"/>
              </w:rPr>
              <w:t>Duckworks Enterprise AI Governance Charter v1.0</w:t>
            </w:r>
          </w:p>
        </w:tc>
        <w:tc>
          <w:tcPr>
            <w:tcW w:type="dxa" w:w="5256"/>
            <w:vAlign w:val="center"/>
            <w:tcMar>
              <w:top w:w="70" w:type="dxa"/>
              <w:start w:w="85" w:type="dxa"/>
              <w:bottom w:w="70" w:type="dxa"/>
              <w:end w:w="85" w:type="dxa"/>
            </w:tcMar>
          </w:tcPr>
          <w:p>
            <w:pPr>
              <w:spacing w:before="0" w:after="0"/>
            </w:pPr>
            <w:r/>
            <w:r>
              <w:rPr>
                <w:rFonts w:ascii="Aptos" w:hAnsi="Aptos"/>
                <w:b w:val="0"/>
                <w:color w:val="27343E"/>
                <w:sz w:val="14"/>
              </w:rPr>
              <w:t>Top-level authority, principles, roles, lifecycle gates and minimum governance records.</w:t>
            </w:r>
          </w:p>
        </w:tc>
      </w:tr>
      <w:tr>
        <w:trPr>
          <w:cantSplit/>
        </w:trPr>
        <w:tc>
          <w:tcPr>
            <w:tcW w:type="dxa" w:w="4104"/>
            <w:vAlign w:val="center"/>
            <w:tcMar>
              <w:top w:w="70" w:type="dxa"/>
              <w:start w:w="85" w:type="dxa"/>
              <w:bottom w:w="70" w:type="dxa"/>
              <w:end w:w="85" w:type="dxa"/>
            </w:tcMar>
            <w:shd w:fill="F4F6F7"/>
          </w:tcPr>
          <w:p>
            <w:pPr>
              <w:spacing w:before="0" w:after="0"/>
            </w:pPr>
            <w:r/>
            <w:r>
              <w:rPr>
                <w:rFonts w:ascii="Aptos" w:hAnsi="Aptos"/>
                <w:b w:val="0"/>
                <w:color w:val="27343E"/>
                <w:sz w:val="14"/>
              </w:rPr>
              <w:t>Duckworks AI Responsible Use Policy v1.0</w:t>
            </w:r>
          </w:p>
        </w:tc>
        <w:tc>
          <w:tcPr>
            <w:tcW w:type="dxa" w:w="5256"/>
            <w:vAlign w:val="center"/>
            <w:tcMar>
              <w:top w:w="70" w:type="dxa"/>
              <w:start w:w="85" w:type="dxa"/>
              <w:bottom w:w="70" w:type="dxa"/>
              <w:end w:w="85" w:type="dxa"/>
            </w:tcMar>
            <w:shd w:fill="F4F6F7"/>
          </w:tcPr>
          <w:p>
            <w:pPr>
              <w:spacing w:before="0" w:after="0"/>
            </w:pPr>
            <w:r/>
            <w:r>
              <w:rPr>
                <w:rFonts w:ascii="Aptos" w:hAnsi="Aptos"/>
                <w:b w:val="0"/>
                <w:color w:val="27343E"/>
                <w:sz w:val="14"/>
              </w:rPr>
              <w:t>Mandatory user/team responsible-use expectations, definitions, data/security/verification and shadow-AI treatment.</w:t>
            </w:r>
          </w:p>
        </w:tc>
      </w:tr>
      <w:tr>
        <w:trPr>
          <w:cantSplit/>
        </w:trPr>
        <w:tc>
          <w:tcPr>
            <w:tcW w:type="dxa" w:w="4104"/>
            <w:vAlign w:val="center"/>
            <w:tcMar>
              <w:top w:w="70" w:type="dxa"/>
              <w:start w:w="85" w:type="dxa"/>
              <w:bottom w:w="70" w:type="dxa"/>
              <w:end w:w="85" w:type="dxa"/>
            </w:tcMar>
          </w:tcPr>
          <w:p>
            <w:pPr>
              <w:spacing w:before="0" w:after="0"/>
            </w:pPr>
            <w:r/>
            <w:r>
              <w:rPr>
                <w:rFonts w:ascii="Aptos" w:hAnsi="Aptos"/>
                <w:b w:val="0"/>
                <w:color w:val="27343E"/>
                <w:sz w:val="14"/>
              </w:rPr>
              <w:t>Duckworks AI Governance Lifecycle SOP v1.0</w:t>
            </w:r>
          </w:p>
        </w:tc>
        <w:tc>
          <w:tcPr>
            <w:tcW w:type="dxa" w:w="5256"/>
            <w:vAlign w:val="center"/>
            <w:tcMar>
              <w:top w:w="70" w:type="dxa"/>
              <w:start w:w="85" w:type="dxa"/>
              <w:bottom w:w="70" w:type="dxa"/>
              <w:end w:w="85" w:type="dxa"/>
            </w:tcMar>
          </w:tcPr>
          <w:p>
            <w:pPr>
              <w:spacing w:before="0" w:after="0"/>
            </w:pPr>
            <w:r/>
            <w:r>
              <w:rPr>
                <w:rFonts w:ascii="Aptos" w:hAnsi="Aptos"/>
                <w:b w:val="0"/>
                <w:color w:val="27343E"/>
                <w:sz w:val="14"/>
              </w:rPr>
              <w:t>Operational lifecycle traceability, roles, evidence chain and decision process.</w:t>
            </w:r>
          </w:p>
        </w:tc>
      </w:tr>
      <w:tr>
        <w:trPr>
          <w:cantSplit/>
        </w:trPr>
        <w:tc>
          <w:tcPr>
            <w:tcW w:type="dxa" w:w="4104"/>
            <w:vAlign w:val="center"/>
            <w:tcMar>
              <w:top w:w="70" w:type="dxa"/>
              <w:start w:w="85" w:type="dxa"/>
              <w:bottom w:w="70" w:type="dxa"/>
              <w:end w:w="85" w:type="dxa"/>
            </w:tcMar>
            <w:shd w:fill="F4F6F7"/>
          </w:tcPr>
          <w:p>
            <w:pPr>
              <w:spacing w:before="0" w:after="0"/>
            </w:pPr>
            <w:r/>
            <w:r>
              <w:rPr>
                <w:rFonts w:ascii="Aptos" w:hAnsi="Aptos"/>
                <w:b w:val="0"/>
                <w:color w:val="27343E"/>
                <w:sz w:val="14"/>
              </w:rPr>
              <w:t>Duckworks AI RACI Chart v1.0</w:t>
            </w:r>
          </w:p>
        </w:tc>
        <w:tc>
          <w:tcPr>
            <w:tcW w:type="dxa" w:w="5256"/>
            <w:vAlign w:val="center"/>
            <w:tcMar>
              <w:top w:w="70" w:type="dxa"/>
              <w:start w:w="85" w:type="dxa"/>
              <w:bottom w:w="70" w:type="dxa"/>
              <w:end w:w="85" w:type="dxa"/>
            </w:tcMar>
            <w:shd w:fill="F4F6F7"/>
          </w:tcPr>
          <w:p>
            <w:pPr>
              <w:spacing w:before="0" w:after="0"/>
            </w:pPr>
            <w:r/>
            <w:r>
              <w:rPr>
                <w:rFonts w:ascii="Aptos" w:hAnsi="Aptos"/>
                <w:b w:val="0"/>
                <w:color w:val="27343E"/>
                <w:sz w:val="14"/>
              </w:rPr>
              <w:t>Activity-level accountability and three-lines independence.</w:t>
            </w:r>
          </w:p>
        </w:tc>
      </w:tr>
      <w:tr>
        <w:trPr>
          <w:cantSplit/>
        </w:trPr>
        <w:tc>
          <w:tcPr>
            <w:tcW w:type="dxa" w:w="4104"/>
            <w:vAlign w:val="center"/>
            <w:tcMar>
              <w:top w:w="70" w:type="dxa"/>
              <w:start w:w="85" w:type="dxa"/>
              <w:bottom w:w="70" w:type="dxa"/>
              <w:end w:w="85" w:type="dxa"/>
            </w:tcMar>
          </w:tcPr>
          <w:p>
            <w:pPr>
              <w:spacing w:before="0" w:after="0"/>
            </w:pPr>
            <w:r/>
            <w:r>
              <w:rPr>
                <w:rFonts w:ascii="Aptos" w:hAnsi="Aptos"/>
                <w:b w:val="0"/>
                <w:color w:val="27343E"/>
                <w:sz w:val="14"/>
              </w:rPr>
              <w:t>Duckworks Project Stakeholder Register v1.0</w:t>
            </w:r>
          </w:p>
        </w:tc>
        <w:tc>
          <w:tcPr>
            <w:tcW w:type="dxa" w:w="5256"/>
            <w:vAlign w:val="center"/>
            <w:tcMar>
              <w:top w:w="70" w:type="dxa"/>
              <w:start w:w="85" w:type="dxa"/>
              <w:bottom w:w="70" w:type="dxa"/>
              <w:end w:w="85" w:type="dxa"/>
            </w:tcMar>
          </w:tcPr>
          <w:p>
            <w:pPr>
              <w:spacing w:before="0" w:after="0"/>
            </w:pPr>
            <w:r/>
            <w:r>
              <w:rPr>
                <w:rFonts w:ascii="Aptos" w:hAnsi="Aptos"/>
                <w:b w:val="0"/>
                <w:color w:val="27343E"/>
                <w:sz w:val="14"/>
              </w:rPr>
              <w:t>Named governance roles, challenge/assurance model and escalation triggers.</w:t>
            </w:r>
          </w:p>
        </w:tc>
      </w:tr>
      <w:tr>
        <w:trPr>
          <w:cantSplit/>
        </w:trPr>
        <w:tc>
          <w:tcPr>
            <w:tcW w:type="dxa" w:w="4104"/>
            <w:vAlign w:val="center"/>
            <w:tcMar>
              <w:top w:w="70" w:type="dxa"/>
              <w:start w:w="85" w:type="dxa"/>
              <w:bottom w:w="70" w:type="dxa"/>
              <w:end w:w="85" w:type="dxa"/>
            </w:tcMar>
            <w:shd w:fill="F4F6F7"/>
          </w:tcPr>
          <w:p>
            <w:pPr>
              <w:spacing w:before="0" w:after="0"/>
            </w:pPr>
            <w:r/>
            <w:r>
              <w:rPr>
                <w:rFonts w:ascii="Aptos" w:hAnsi="Aptos"/>
                <w:b w:val="0"/>
                <w:color w:val="27343E"/>
                <w:sz w:val="14"/>
              </w:rPr>
              <w:t>Duckworks AI Risk Classification &amp; Assessment Methodology v1.0</w:t>
            </w:r>
          </w:p>
        </w:tc>
        <w:tc>
          <w:tcPr>
            <w:tcW w:type="dxa" w:w="5256"/>
            <w:vAlign w:val="center"/>
            <w:tcMar>
              <w:top w:w="70" w:type="dxa"/>
              <w:start w:w="85" w:type="dxa"/>
              <w:bottom w:w="70" w:type="dxa"/>
              <w:end w:w="85" w:type="dxa"/>
            </w:tcMar>
            <w:shd w:fill="F4F6F7"/>
          </w:tcPr>
          <w:p>
            <w:pPr>
              <w:spacing w:before="0" w:after="0"/>
            </w:pPr>
            <w:r/>
            <w:r>
              <w:rPr>
                <w:rFonts w:ascii="Aptos" w:hAnsi="Aptos"/>
                <w:b w:val="0"/>
                <w:color w:val="27343E"/>
                <w:sz w:val="14"/>
              </w:rPr>
              <w:t>Risk scoring, control evidence, current/target risk, approval and reassessment rules.</w:t>
            </w:r>
          </w:p>
        </w:tc>
      </w:tr>
      <w:tr>
        <w:trPr>
          <w:cantSplit/>
        </w:trPr>
        <w:tc>
          <w:tcPr>
            <w:tcW w:type="dxa" w:w="4104"/>
            <w:vAlign w:val="center"/>
            <w:tcMar>
              <w:top w:w="70" w:type="dxa"/>
              <w:start w:w="85" w:type="dxa"/>
              <w:bottom w:w="70" w:type="dxa"/>
              <w:end w:w="85" w:type="dxa"/>
            </w:tcMar>
          </w:tcPr>
          <w:p>
            <w:pPr>
              <w:spacing w:before="0" w:after="0"/>
            </w:pPr>
            <w:r/>
            <w:r>
              <w:rPr>
                <w:rFonts w:ascii="Aptos" w:hAnsi="Aptos"/>
                <w:b w:val="0"/>
                <w:color w:val="27343E"/>
                <w:sz w:val="14"/>
              </w:rPr>
              <w:t>Duckworks Project Objectives / Acceptance Criteria</w:t>
            </w:r>
          </w:p>
        </w:tc>
        <w:tc>
          <w:tcPr>
            <w:tcW w:type="dxa" w:w="5256"/>
            <w:vAlign w:val="center"/>
            <w:tcMar>
              <w:top w:w="70" w:type="dxa"/>
              <w:start w:w="85" w:type="dxa"/>
              <w:bottom w:w="70" w:type="dxa"/>
              <w:end w:w="85" w:type="dxa"/>
            </w:tcMar>
          </w:tcPr>
          <w:p>
            <w:pPr>
              <w:spacing w:before="0" w:after="0"/>
            </w:pPr>
            <w:r/>
            <w:r>
              <w:rPr>
                <w:rFonts w:ascii="Aptos" w:hAnsi="Aptos"/>
                <w:b w:val="0"/>
                <w:color w:val="27343E"/>
                <w:sz w:val="14"/>
              </w:rPr>
              <w:t>Inventory, evidence, impact, reporting, proportionality and assurance-readiness requirements.</w:t>
            </w:r>
          </w:p>
        </w:tc>
      </w:tr>
      <w:tr>
        <w:trPr>
          <w:cantSplit/>
        </w:trPr>
        <w:tc>
          <w:tcPr>
            <w:tcW w:type="dxa" w:w="4104"/>
            <w:vAlign w:val="center"/>
            <w:tcMar>
              <w:top w:w="70" w:type="dxa"/>
              <w:start w:w="85" w:type="dxa"/>
              <w:bottom w:w="70" w:type="dxa"/>
              <w:end w:w="85" w:type="dxa"/>
            </w:tcMar>
            <w:shd w:fill="F4F6F7"/>
          </w:tcPr>
          <w:p>
            <w:pPr>
              <w:spacing w:before="0" w:after="0"/>
            </w:pPr>
            <w:r/>
            <w:r>
              <w:rPr>
                <w:rFonts w:ascii="Aptos" w:hAnsi="Aptos"/>
                <w:b w:val="0"/>
                <w:color w:val="27343E"/>
                <w:sz w:val="14"/>
              </w:rPr>
              <w:t>Duckworks AI Change Management / Data Management / DPA / Vendor Contract / AIBOM / Whistleblower artifacts</w:t>
            </w:r>
          </w:p>
        </w:tc>
        <w:tc>
          <w:tcPr>
            <w:tcW w:type="dxa" w:w="5256"/>
            <w:vAlign w:val="center"/>
            <w:tcMar>
              <w:top w:w="70" w:type="dxa"/>
              <w:start w:w="85" w:type="dxa"/>
              <w:bottom w:w="70" w:type="dxa"/>
              <w:end w:w="85" w:type="dxa"/>
            </w:tcMar>
            <w:shd w:fill="F4F6F7"/>
          </w:tcPr>
          <w:p>
            <w:pPr>
              <w:spacing w:before="0" w:after="0"/>
            </w:pPr>
            <w:r/>
            <w:r>
              <w:rPr>
                <w:rFonts w:ascii="Aptos" w:hAnsi="Aptos"/>
                <w:b w:val="0"/>
                <w:color w:val="27343E"/>
                <w:sz w:val="14"/>
              </w:rPr>
              <w:t>Operational controls supporting lifecycle, data, supplier, dependency, change, protected reporting and auditability.</w:t>
            </w:r>
          </w:p>
        </w:tc>
      </w:tr>
    </w:tbl>
    <w:p>
      <w:pPr>
        <w:spacing w:after="0"/>
      </w:pPr>
    </w:p>
    <w:p>
      <w:pPr>
        <w:pStyle w:val="Heading1"/>
      </w:pPr>
      <w:r>
        <w:t>29. Policy Ownership, Review and Maintenance</w:t>
      </w:r>
    </w:p>
    <w:p>
      <w:pPr>
        <w:pStyle w:val="ListBullet"/>
        <w:spacing w:after="52"/>
      </w:pPr>
      <w:r>
        <w:t>The CRCO owns this policy and shall sponsor its approval and material revision.</w:t>
      </w:r>
    </w:p>
    <w:p>
      <w:pPr>
        <w:pStyle w:val="ListBullet"/>
        <w:spacing w:after="52"/>
      </w:pPr>
      <w:r>
        <w:t>The AI Governance Lead administers the policy, coordinates review and maintains traceability to subordinate artifacts.</w:t>
      </w:r>
    </w:p>
    <w:p>
      <w:pPr>
        <w:pStyle w:val="ListBullet"/>
        <w:spacing w:after="52"/>
      </w:pPr>
      <w:r>
        <w:t>CISO, General Counsel, DPO, CPO/HR, Head of Data &amp; AI, Procurement &amp; Vendor Assurance and Product Safety/Quality shall review changes relevant to their domains.</w:t>
      </w:r>
    </w:p>
    <w:p>
      <w:pPr>
        <w:pStyle w:val="ListBullet"/>
        <w:spacing w:after="52"/>
      </w:pPr>
      <w:r>
        <w:t>The policy shall be reviewed at least annually and after a material legal change, significant AI incident, systemic control failure, audit finding, major organizational change or material revision of the Enterprise AI Governance Charter.</w:t>
      </w:r>
    </w:p>
    <w:p>
      <w:pPr>
        <w:pStyle w:val="ListBullet"/>
        <w:spacing w:after="52"/>
      </w:pPr>
      <w:r>
        <w:t>Subordinate procedures and standards shall be updated when a policy revision changes their requirements.</w:t>
      </w:r>
    </w:p>
    <w:p>
      <w:pPr>
        <w:pStyle w:val="Heading2"/>
      </w:pPr>
      <w:r>
        <w:t>29.1 Version 1.0 implementation priorities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152"/>
            <w:vAlign w:val="center"/>
            <w:tcMar>
              <w:top w:w="70" w:type="dxa"/>
              <w:start w:w="85" w:type="dxa"/>
              <w:bottom w:w="70" w:type="dxa"/>
              <w:end w:w="85" w:type="dxa"/>
            </w:tcMar>
            <w:shd w:fill="173B57"/>
          </w:tcPr>
          <w:p>
            <w:pPr>
              <w:spacing w:before="0" w:after="0"/>
            </w:pPr>
            <w:r/>
            <w:r>
              <w:rPr>
                <w:rFonts w:ascii="Aptos" w:hAnsi="Aptos"/>
                <w:b/>
                <w:color w:val="FFFFFF"/>
                <w:sz w:val="15"/>
              </w:rPr>
              <w:t>Priority</w:t>
            </w:r>
          </w:p>
        </w:tc>
        <w:tc>
          <w:tcPr>
            <w:tcW w:type="dxa" w:w="8208"/>
            <w:vAlign w:val="center"/>
            <w:tcMar>
              <w:top w:w="70" w:type="dxa"/>
              <w:start w:w="85" w:type="dxa"/>
              <w:bottom w:w="70" w:type="dxa"/>
              <w:end w:w="85" w:type="dxa"/>
            </w:tcMar>
            <w:shd w:fill="173B57"/>
          </w:tcPr>
          <w:p>
            <w:pPr>
              <w:spacing w:before="0" w:after="0"/>
            </w:pPr>
            <w:r/>
            <w:r>
              <w:rPr>
                <w:rFonts w:ascii="Aptos" w:hAnsi="Aptos"/>
                <w:b/>
                <w:color w:val="FFFFFF"/>
                <w:sz w:val="15"/>
              </w:rPr>
              <w:t>Implementation action</w:t>
            </w:r>
          </w:p>
        </w:tc>
      </w:tr>
      <w:tr>
        <w:trPr>
          <w:cantSplit/>
        </w:trPr>
        <w:tc>
          <w:tcPr>
            <w:tcW w:type="dxa" w:w="1152"/>
            <w:vAlign w:val="center"/>
            <w:tcMar>
              <w:top w:w="70" w:type="dxa"/>
              <w:start w:w="85" w:type="dxa"/>
              <w:bottom w:w="70" w:type="dxa"/>
              <w:end w:w="85" w:type="dxa"/>
            </w:tcMar>
          </w:tcPr>
          <w:p>
            <w:pPr>
              <w:spacing w:before="0" w:after="0"/>
            </w:pPr>
            <w:r/>
            <w:r>
              <w:rPr>
                <w:rFonts w:ascii="Aptos" w:hAnsi="Aptos"/>
                <w:b w:val="0"/>
                <w:color w:val="27343E"/>
                <w:sz w:val="15"/>
              </w:rPr>
              <w:t>P1</w:t>
            </w:r>
          </w:p>
        </w:tc>
        <w:tc>
          <w:tcPr>
            <w:tcW w:type="dxa" w:w="8208"/>
            <w:vAlign w:val="center"/>
            <w:tcMar>
              <w:top w:w="70" w:type="dxa"/>
              <w:start w:w="85" w:type="dxa"/>
              <w:bottom w:w="70" w:type="dxa"/>
              <w:end w:w="85" w:type="dxa"/>
            </w:tcMar>
          </w:tcPr>
          <w:p>
            <w:pPr>
              <w:spacing w:before="0" w:after="0"/>
            </w:pPr>
            <w:r/>
            <w:r>
              <w:rPr>
                <w:rFonts w:ascii="Aptos" w:hAnsi="Aptos"/>
                <w:b w:val="0"/>
                <w:color w:val="27343E"/>
                <w:sz w:val="15"/>
              </w:rPr>
              <w:t>Approve policy hierarchy and decision authority; confirm that POL-02 sits below the Charter and alongside the Responsible Use Policy.</w:t>
            </w:r>
          </w:p>
        </w:tc>
      </w:tr>
      <w:tr>
        <w:trPr>
          <w:cantSplit/>
        </w:trPr>
        <w:tc>
          <w:tcPr>
            <w:tcW w:type="dxa" w:w="1152"/>
            <w:vAlign w:val="center"/>
            <w:tcMar>
              <w:top w:w="70" w:type="dxa"/>
              <w:start w:w="85" w:type="dxa"/>
              <w:bottom w:w="70" w:type="dxa"/>
              <w:end w:w="85" w:type="dxa"/>
            </w:tcMar>
            <w:shd w:fill="F4F6F7"/>
          </w:tcPr>
          <w:p>
            <w:pPr>
              <w:spacing w:before="0" w:after="0"/>
            </w:pPr>
            <w:r/>
            <w:r>
              <w:rPr>
                <w:rFonts w:ascii="Aptos" w:hAnsi="Aptos"/>
                <w:b w:val="0"/>
                <w:color w:val="27343E"/>
                <w:sz w:val="15"/>
              </w:rPr>
              <w:t>P1</w:t>
            </w:r>
          </w:p>
        </w:tc>
        <w:tc>
          <w:tcPr>
            <w:tcW w:type="dxa" w:w="8208"/>
            <w:vAlign w:val="center"/>
            <w:tcMar>
              <w:top w:w="70" w:type="dxa"/>
              <w:start w:w="85" w:type="dxa"/>
              <w:bottom w:w="70" w:type="dxa"/>
              <w:end w:w="85" w:type="dxa"/>
            </w:tcMar>
            <w:shd w:fill="F4F6F7"/>
          </w:tcPr>
          <w:p>
            <w:pPr>
              <w:spacing w:before="0" w:after="0"/>
            </w:pPr>
            <w:r/>
            <w:r>
              <w:rPr>
                <w:rFonts w:ascii="Aptos" w:hAnsi="Aptos"/>
                <w:b w:val="0"/>
                <w:color w:val="27343E"/>
                <w:sz w:val="15"/>
              </w:rPr>
              <w:t>Maintain QuackTrack inventory and current gates for all seven baseline entries; continue shadow-AI discovery/decomposition.</w:t>
            </w:r>
          </w:p>
        </w:tc>
      </w:tr>
      <w:tr>
        <w:trPr>
          <w:cantSplit/>
        </w:trPr>
        <w:tc>
          <w:tcPr>
            <w:tcW w:type="dxa" w:w="1152"/>
            <w:vAlign w:val="center"/>
            <w:tcMar>
              <w:top w:w="70" w:type="dxa"/>
              <w:start w:w="85" w:type="dxa"/>
              <w:bottom w:w="70" w:type="dxa"/>
              <w:end w:w="85" w:type="dxa"/>
            </w:tcMar>
          </w:tcPr>
          <w:p>
            <w:pPr>
              <w:spacing w:before="0" w:after="0"/>
            </w:pPr>
            <w:r/>
            <w:r>
              <w:rPr>
                <w:rFonts w:ascii="Aptos" w:hAnsi="Aptos"/>
                <w:b w:val="0"/>
                <w:color w:val="27343E"/>
                <w:sz w:val="15"/>
              </w:rPr>
              <w:t>P1</w:t>
            </w:r>
          </w:p>
        </w:tc>
        <w:tc>
          <w:tcPr>
            <w:tcW w:type="dxa" w:w="8208"/>
            <w:vAlign w:val="center"/>
            <w:tcMar>
              <w:top w:w="70" w:type="dxa"/>
              <w:start w:w="85" w:type="dxa"/>
              <w:bottom w:w="70" w:type="dxa"/>
              <w:end w:w="85" w:type="dxa"/>
            </w:tcMar>
          </w:tcPr>
          <w:p>
            <w:pPr>
              <w:spacing w:before="0" w:after="0"/>
            </w:pPr>
            <w:r/>
            <w:r>
              <w:rPr>
                <w:rFonts w:ascii="Aptos" w:hAnsi="Aptos"/>
                <w:b w:val="0"/>
                <w:color w:val="27343E"/>
                <w:sz w:val="15"/>
              </w:rPr>
              <w:t>Close blocking High/Critical system actions before broader release; do not use target-state controls as current evidence.</w:t>
            </w:r>
          </w:p>
        </w:tc>
      </w:tr>
      <w:tr>
        <w:trPr>
          <w:cantSplit/>
        </w:trPr>
        <w:tc>
          <w:tcPr>
            <w:tcW w:type="dxa" w:w="1152"/>
            <w:vAlign w:val="center"/>
            <w:tcMar>
              <w:top w:w="70" w:type="dxa"/>
              <w:start w:w="85" w:type="dxa"/>
              <w:bottom w:w="70" w:type="dxa"/>
              <w:end w:w="85" w:type="dxa"/>
            </w:tcMar>
            <w:shd w:fill="F4F6F7"/>
          </w:tcPr>
          <w:p>
            <w:pPr>
              <w:spacing w:before="0" w:after="0"/>
            </w:pPr>
            <w:r/>
            <w:r>
              <w:rPr>
                <w:rFonts w:ascii="Aptos" w:hAnsi="Aptos"/>
                <w:b w:val="0"/>
                <w:color w:val="27343E"/>
                <w:sz w:val="15"/>
              </w:rPr>
              <w:t>P1</w:t>
            </w:r>
          </w:p>
        </w:tc>
        <w:tc>
          <w:tcPr>
            <w:tcW w:type="dxa" w:w="8208"/>
            <w:vAlign w:val="center"/>
            <w:tcMar>
              <w:top w:w="70" w:type="dxa"/>
              <w:start w:w="85" w:type="dxa"/>
              <w:bottom w:w="70" w:type="dxa"/>
              <w:end w:w="85" w:type="dxa"/>
            </w:tcMar>
            <w:shd w:fill="F4F6F7"/>
          </w:tcPr>
          <w:p>
            <w:pPr>
              <w:spacing w:before="0" w:after="0"/>
            </w:pPr>
            <w:r/>
            <w:r>
              <w:rPr>
                <w:rFonts w:ascii="Aptos" w:hAnsi="Aptos"/>
                <w:b w:val="0"/>
                <w:color w:val="27343E"/>
                <w:sz w:val="15"/>
              </w:rPr>
              <w:t>Implement role-based AI literacy evidence and Article 50 transparency screening for relevant systems.</w:t>
            </w:r>
          </w:p>
        </w:tc>
      </w:tr>
      <w:tr>
        <w:trPr>
          <w:cantSplit/>
        </w:trPr>
        <w:tc>
          <w:tcPr>
            <w:tcW w:type="dxa" w:w="1152"/>
            <w:vAlign w:val="center"/>
            <w:tcMar>
              <w:top w:w="70" w:type="dxa"/>
              <w:start w:w="85" w:type="dxa"/>
              <w:bottom w:w="70" w:type="dxa"/>
              <w:end w:w="85" w:type="dxa"/>
            </w:tcMar>
          </w:tcPr>
          <w:p>
            <w:pPr>
              <w:spacing w:before="0" w:after="0"/>
            </w:pPr>
            <w:r/>
            <w:r>
              <w:rPr>
                <w:rFonts w:ascii="Aptos" w:hAnsi="Aptos"/>
                <w:b w:val="0"/>
                <w:color w:val="27343E"/>
                <w:sz w:val="15"/>
              </w:rPr>
              <w:t>P2</w:t>
            </w:r>
          </w:p>
        </w:tc>
        <w:tc>
          <w:tcPr>
            <w:tcW w:type="dxa" w:w="8208"/>
            <w:vAlign w:val="center"/>
            <w:tcMar>
              <w:top w:w="70" w:type="dxa"/>
              <w:start w:w="85" w:type="dxa"/>
              <w:bottom w:w="70" w:type="dxa"/>
              <w:end w:w="85" w:type="dxa"/>
            </w:tcMar>
          </w:tcPr>
          <w:p>
            <w:pPr>
              <w:spacing w:before="0" w:after="0"/>
            </w:pPr>
            <w:r/>
            <w:r>
              <w:rPr>
                <w:rFonts w:ascii="Aptos" w:hAnsi="Aptos"/>
                <w:b w:val="0"/>
                <w:color w:val="27343E"/>
                <w:sz w:val="15"/>
              </w:rPr>
              <w:t>Complete control-library mappings to policy IDs GOV-01 through GOV-25 and define evidence owners.</w:t>
            </w:r>
          </w:p>
        </w:tc>
      </w:tr>
      <w:tr>
        <w:trPr>
          <w:cantSplit/>
        </w:trPr>
        <w:tc>
          <w:tcPr>
            <w:tcW w:type="dxa" w:w="1152"/>
            <w:vAlign w:val="center"/>
            <w:tcMar>
              <w:top w:w="70" w:type="dxa"/>
              <w:start w:w="85" w:type="dxa"/>
              <w:bottom w:w="70" w:type="dxa"/>
              <w:end w:w="85" w:type="dxa"/>
            </w:tcMar>
            <w:shd w:fill="F4F6F7"/>
          </w:tcPr>
          <w:p>
            <w:pPr>
              <w:spacing w:before="0" w:after="0"/>
            </w:pPr>
            <w:r/>
            <w:r>
              <w:rPr>
                <w:rFonts w:ascii="Aptos" w:hAnsi="Aptos"/>
                <w:b w:val="0"/>
                <w:color w:val="27343E"/>
                <w:sz w:val="15"/>
              </w:rPr>
              <w:t>P2</w:t>
            </w:r>
          </w:p>
        </w:tc>
        <w:tc>
          <w:tcPr>
            <w:tcW w:type="dxa" w:w="8208"/>
            <w:vAlign w:val="center"/>
            <w:tcMar>
              <w:top w:w="70" w:type="dxa"/>
              <w:start w:w="85" w:type="dxa"/>
              <w:bottom w:w="70" w:type="dxa"/>
              <w:end w:w="85" w:type="dxa"/>
            </w:tcMar>
            <w:shd w:fill="F4F6F7"/>
          </w:tcPr>
          <w:p>
            <w:pPr>
              <w:spacing w:before="0" w:after="0"/>
            </w:pPr>
            <w:r/>
            <w:r>
              <w:rPr>
                <w:rFonts w:ascii="Aptos" w:hAnsi="Aptos"/>
                <w:b w:val="0"/>
                <w:color w:val="27343E"/>
                <w:sz w:val="15"/>
              </w:rPr>
              <w:t>Integrate vendor/DPA, AIBOM, data, change and incident evidence into the system assurance record.</w:t>
            </w:r>
          </w:p>
        </w:tc>
      </w:tr>
      <w:tr>
        <w:trPr>
          <w:cantSplit/>
        </w:trPr>
        <w:tc>
          <w:tcPr>
            <w:tcW w:type="dxa" w:w="1152"/>
            <w:vAlign w:val="center"/>
            <w:tcMar>
              <w:top w:w="70" w:type="dxa"/>
              <w:start w:w="85" w:type="dxa"/>
              <w:bottom w:w="70" w:type="dxa"/>
              <w:end w:w="85" w:type="dxa"/>
            </w:tcMar>
          </w:tcPr>
          <w:p>
            <w:pPr>
              <w:spacing w:before="0" w:after="0"/>
            </w:pPr>
            <w:r/>
            <w:r>
              <w:rPr>
                <w:rFonts w:ascii="Aptos" w:hAnsi="Aptos"/>
                <w:b w:val="0"/>
                <w:color w:val="27343E"/>
                <w:sz w:val="15"/>
              </w:rPr>
              <w:t>P2</w:t>
            </w:r>
          </w:p>
        </w:tc>
        <w:tc>
          <w:tcPr>
            <w:tcW w:type="dxa" w:w="8208"/>
            <w:vAlign w:val="center"/>
            <w:tcMar>
              <w:top w:w="70" w:type="dxa"/>
              <w:start w:w="85" w:type="dxa"/>
              <w:bottom w:w="70" w:type="dxa"/>
              <w:end w:w="85" w:type="dxa"/>
            </w:tcMar>
          </w:tcPr>
          <w:p>
            <w:pPr>
              <w:spacing w:before="0" w:after="0"/>
            </w:pPr>
            <w:r/>
            <w:r>
              <w:rPr>
                <w:rFonts w:ascii="Aptos" w:hAnsi="Aptos"/>
                <w:b w:val="0"/>
                <w:color w:val="27343E"/>
                <w:sz w:val="15"/>
              </w:rPr>
              <w:t>Establish management dashboard reporting for inventory, risk, blocked systems, evidence gaps, incidents and reassessments.</w:t>
            </w:r>
          </w:p>
        </w:tc>
      </w:tr>
      <w:tr>
        <w:trPr>
          <w:cantSplit/>
        </w:trPr>
        <w:tc>
          <w:tcPr>
            <w:tcW w:type="dxa" w:w="1152"/>
            <w:vAlign w:val="center"/>
            <w:tcMar>
              <w:top w:w="70" w:type="dxa"/>
              <w:start w:w="85" w:type="dxa"/>
              <w:bottom w:w="70" w:type="dxa"/>
              <w:end w:w="85" w:type="dxa"/>
            </w:tcMar>
            <w:shd w:fill="F4F6F7"/>
          </w:tcPr>
          <w:p>
            <w:pPr>
              <w:spacing w:before="0" w:after="0"/>
            </w:pPr>
            <w:r/>
            <w:r>
              <w:rPr>
                <w:rFonts w:ascii="Aptos" w:hAnsi="Aptos"/>
                <w:b w:val="0"/>
                <w:color w:val="27343E"/>
                <w:sz w:val="15"/>
              </w:rPr>
              <w:t>P3</w:t>
            </w:r>
          </w:p>
        </w:tc>
        <w:tc>
          <w:tcPr>
            <w:tcW w:type="dxa" w:w="8208"/>
            <w:vAlign w:val="center"/>
            <w:tcMar>
              <w:top w:w="70" w:type="dxa"/>
              <w:start w:w="85" w:type="dxa"/>
              <w:bottom w:w="70" w:type="dxa"/>
              <w:end w:w="85" w:type="dxa"/>
            </w:tcMar>
            <w:shd w:fill="F4F6F7"/>
          </w:tcPr>
          <w:p>
            <w:pPr>
              <w:spacing w:before="0" w:after="0"/>
            </w:pPr>
            <w:r/>
            <w:r>
              <w:rPr>
                <w:rFonts w:ascii="Aptos" w:hAnsi="Aptos"/>
                <w:b w:val="0"/>
                <w:color w:val="27343E"/>
                <w:sz w:val="15"/>
              </w:rPr>
              <w:t>Plan independent assurance after controls have sufficient operating history.</w:t>
            </w:r>
          </w:p>
        </w:tc>
      </w:tr>
    </w:tbl>
    <w:p>
      <w:pPr>
        <w:spacing w:after="0"/>
      </w:pPr>
    </w:p>
    <w:p>
      <w:pPr>
        <w:pStyle w:val="Heading1"/>
      </w:pPr>
      <w:r>
        <w:t>Portfolio Disclaimer</w:t>
      </w:r>
    </w:p>
    <w:p>
      <w:pPr>
        <w:spacing w:after="100" w:line="247" w:lineRule="auto"/>
      </w:pPr>
      <w:r>
        <w:t>Duckworks, Project W.I.N.G., all named personnel, AI systems, datasets, incidents, suppliers, decisions, controls, risks and evidence in this policy are fictional and created solely for educational and professional portfolio purposes. No real organization, personal data, production system, legal opinion, certification or regulatory filing is represented.</w:t>
      </w:r>
    </w:p>
    <w:p>
      <w:pPr>
        <w:spacing w:after="100" w:line="247" w:lineRule="auto"/>
      </w:pPr>
      <w:r>
        <w:t>This policy is not legal advice, an EU AI Act conformity assessment, a GDPR DPIA, product conformity evidence, ISO/IEC 42001 or ISO/IEC 27001 certification evidence, or a statement of NIST compliance. Real-world applicability must be validated against current law, jurisdiction, organizational role, intended purpose, system facts and actual operating evidence.</w:t>
      </w:r>
    </w:p>
    <w:sectPr w:rsidR="00FC693F" w:rsidRPr="0006063C" w:rsidSect="00034616">
      <w:headerReference w:type="default" r:id="rId9"/>
      <w:footerReference w:type="default" r:id="rId10"/>
      <w:pgSz w:w="12240" w:h="15840"/>
      <w:pgMar w:top="922" w:right="1008" w:bottom="864" w:left="1008"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DW-WING-POL-02  |  Version 1.0  |  Fictional portfolio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D6F6D"/>
        <w:sz w:val="16"/>
      </w:rPr>
      <w:t>DUCKWORKS  |  PROJECT W.I.N.G.  |  AI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7" w:lineRule="auto"/>
    </w:pPr>
    <w:rPr>
      <w:rFonts w:ascii="Aptos" w:hAnsi="Aptos"/>
      <w:color w:val="2734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70" w:after="100"/>
      <w:outlineLvl w:val="0"/>
    </w:pPr>
    <w:rPr>
      <w:rFonts w:asciiTheme="majorHAnsi" w:eastAsiaTheme="majorEastAsia" w:hAnsiTheme="majorHAnsi" w:cstheme="majorBidi" w:ascii="Aptos Display" w:hAnsi="Aptos Display"/>
      <w:b/>
      <w:bCs/>
      <w:color w:val="173B57"/>
      <w:sz w:val="31"/>
      <w:szCs w:val="28"/>
    </w:rPr>
  </w:style>
  <w:style w:type="paragraph" w:styleId="Heading2">
    <w:name w:val="heading 2"/>
    <w:basedOn w:val="Normal"/>
    <w:next w:val="Normal"/>
    <w:link w:val="Heading2Char"/>
    <w:uiPriority w:val="9"/>
    <w:unhideWhenUsed/>
    <w:qFormat/>
    <w:rsid w:val="00FC693F"/>
    <w:pPr>
      <w:keepNext/>
      <w:keepLines/>
      <w:spacing w:before="170" w:after="100"/>
      <w:outlineLvl w:val="1"/>
    </w:pPr>
    <w:rPr>
      <w:rFonts w:asciiTheme="majorHAnsi" w:eastAsiaTheme="majorEastAsia" w:hAnsiTheme="majorHAnsi" w:cstheme="majorBidi" w:ascii="Aptos Display" w:hAnsi="Aptos Display"/>
      <w:b/>
      <w:bCs/>
      <w:color w:val="2D6F6D"/>
      <w:sz w:val="24"/>
      <w:szCs w:val="26"/>
    </w:rPr>
  </w:style>
  <w:style w:type="paragraph" w:styleId="Heading3">
    <w:name w:val="heading 3"/>
    <w:basedOn w:val="Normal"/>
    <w:next w:val="Normal"/>
    <w:link w:val="Heading3Char"/>
    <w:uiPriority w:val="9"/>
    <w:unhideWhenUsed/>
    <w:qFormat/>
    <w:rsid w:val="00FC693F"/>
    <w:pPr>
      <w:keepNext/>
      <w:keepLines/>
      <w:spacing w:before="170" w:after="10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70"/>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Governance Policy</dc:title>
  <dc:subject>Enterprise AI governance policy for Project W.I.N.G.</dc:subject>
  <dc:creator>Duckworks (fictional)</dc:creator>
  <cp:keywords>Duckworks, Project W.I.N.G., AI governance policy, AI risk, EU AI Act, NIST AI RMF, ISO 42001, AI lifecycle, auditability</cp:keywords>
  <dc:description>Fictional portfolio document using synthetic data and public sources.</dc:description>
  <cp:lastModifiedBy/>
  <cp:revision>1</cp:revision>
  <dcterms:created xsi:type="dcterms:W3CDTF">2013-12-23T23:15:00Z</dcterms:created>
  <dcterms:modified xsi:type="dcterms:W3CDTF">2013-12-23T23:15:00Z</dcterms:modified>
  <cp:category/>
</cp:coreProperties>
</file>