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ptos Display" w:hAnsi="Aptos Display"/>
          <w:b/>
          <w:color w:val="2F6B66"/>
          <w:sz w:val="30"/>
        </w:rPr>
        <w:t>DUCKWORKS</w:t>
      </w:r>
    </w:p>
    <w:p>
      <w:pPr>
        <w:spacing w:after="60"/>
      </w:pPr>
      <w:r>
        <w:rPr>
          <w:rFonts w:ascii="Aptos Display" w:hAnsi="Aptos Display"/>
          <w:b/>
          <w:color w:val="17365D"/>
          <w:sz w:val="54"/>
        </w:rPr>
        <w:t>AI Responsible Use Policy</w:t>
      </w:r>
    </w:p>
    <w:p>
      <w:pPr>
        <w:spacing w:after="360"/>
      </w:pPr>
      <w:r>
        <w:rPr>
          <w:rFonts w:ascii="Aptos" w:hAnsi="Aptos"/>
          <w:color w:val="365F91"/>
          <w:sz w:val="23"/>
        </w:rPr>
        <w:t>Project W.I.N.G. - Workflows, Intelligence, Next-Generation Governance</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Document ID</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DW-WING-POL-01</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Version</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1.0</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Status</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Draft for Executive Approval</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Policy Owner</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Reginald Duckman - Chief Risk &amp; Compliance Officer</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Policy Administrator</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Eleanor Duckford - AI Governance Lead</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Effective Date</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Upon approval</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Review Cycle</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At least annually and after material trigger events</w:t>
            </w:r>
          </w:p>
        </w:tc>
      </w:tr>
      <w:tr>
        <w:trPr>
          <w:cantSplit/>
        </w:trPr>
        <w:tc>
          <w:tcPr>
            <w:tcW w:type="dxa" w:w="5198"/>
            <w:shd w:fill="EAF0F6"/>
            <w:vAlign w:val="center"/>
            <w:tcMar>
              <w:top w:w="80" w:type="dxa"/>
              <w:start w:w="90" w:type="dxa"/>
              <w:bottom w:w="80" w:type="dxa"/>
              <w:end w:w="90" w:type="dxa"/>
            </w:tcMar>
          </w:tcPr>
          <w:p>
            <w:pPr>
              <w:keepLines/>
              <w:spacing w:after="0" w:before="0"/>
            </w:pPr>
            <w:r/>
            <w:r>
              <w:rPr>
                <w:rFonts w:ascii="Aptos" w:hAnsi="Aptos"/>
                <w:b/>
                <w:color w:val="17365D"/>
                <w:sz w:val="17"/>
              </w:rPr>
              <w:t>Classification</w:t>
            </w:r>
          </w:p>
        </w:tc>
        <w:tc>
          <w:tcPr>
            <w:tcW w:type="dxa" w:w="5198"/>
            <w:vAlign w:val="center"/>
            <w:tcMar>
              <w:top w:w="80" w:type="dxa"/>
              <w:start w:w="90" w:type="dxa"/>
              <w:bottom w:w="80" w:type="dxa"/>
              <w:end w:w="90" w:type="dxa"/>
            </w:tcMar>
          </w:tcPr>
          <w:p>
            <w:pPr>
              <w:keepLines/>
              <w:spacing w:after="0" w:before="0"/>
            </w:pPr>
            <w:r/>
            <w:r>
              <w:rPr>
                <w:rFonts w:ascii="Aptos" w:hAnsi="Aptos"/>
                <w:b w:val="0"/>
                <w:sz w:val="17"/>
              </w:rPr>
              <w:t>Internal Policy / Fictional Portfolio / Synthetic</w:t>
            </w:r>
          </w:p>
        </w:tc>
      </w:tr>
    </w:tbl>
    <w:p>
      <w:pPr>
        <w:spacing w:before="360" w:after="100"/>
      </w:pPr>
      <w:r>
        <w:rPr>
          <w:rFonts w:ascii="Aptos" w:hAnsi="Aptos"/>
          <w:b/>
          <w:color w:val="17365D"/>
          <w:sz w:val="21"/>
        </w:rPr>
        <w:t>Policy statement</w:t>
      </w:r>
    </w:p>
    <w:tbl>
      <w:tblPr>
        <w:tblW w:type="auto" w:w="0"/>
        <w:tblLayout w:type="fixed"/>
        <w:tblLook w:firstColumn="1" w:firstRow="1" w:lastColumn="0" w:lastRow="0" w:noHBand="0" w:noVBand="1" w:val="04A0"/>
        <w:jc w:val="center"/>
        <w:tblBorders>
          <w:top w:val="single" w:sz="0" w:space="0" w:color="EAF0F6"/>
          <w:left w:val="single" w:sz="0" w:space="0" w:color="EAF0F6"/>
          <w:bottom w:val="single" w:sz="0" w:space="0" w:color="EAF0F6"/>
          <w:right w:val="single" w:sz="0" w:space="0" w:color="EAF0F6"/>
          <w:insideH w:val="single" w:sz="0" w:space="0" w:color="EAF0F6"/>
          <w:insideV w:val="single" w:sz="0" w:space="0" w:color="EAF0F6"/>
        </w:tblBorders>
      </w:tblPr>
      <w:tblGrid>
        <w:gridCol w:w="10152"/>
      </w:tblGrid>
      <w:tr>
        <w:tc>
          <w:tcPr>
            <w:tcW w:type="dxa" w:w="10396"/>
            <w:shd w:fill="EAF0F6"/>
            <w:tcMar>
              <w:top w:w="120" w:type="dxa"/>
              <w:start w:w="140" w:type="dxa"/>
              <w:bottom w:w="120" w:type="dxa"/>
              <w:end w:w="140" w:type="dxa"/>
            </w:tcMar>
          </w:tcPr>
          <w:p>
            <w:pPr>
              <w:keepLines/>
              <w:spacing w:after="40"/>
            </w:pPr>
            <w:r>
              <w:rPr>
                <w:rFonts w:ascii="Aptos" w:hAnsi="Aptos"/>
                <w:b/>
                <w:color w:val="17365D"/>
                <w:sz w:val="19"/>
              </w:rPr>
              <w:t>Duckworks responsible-use rule</w:t>
            </w:r>
          </w:p>
          <w:p>
            <w:pPr>
              <w:keepLines/>
              <w:spacing w:after="0"/>
            </w:pPr>
            <w:r>
              <w:rPr>
                <w:rFonts w:ascii="Aptos" w:hAnsi="Aptos"/>
                <w:color w:val="253746"/>
                <w:sz w:val="18"/>
              </w:rPr>
              <w:t>Use AI only for authorized purposes, with appropriate human accountability, data protection, security, verification, and evidence. Higher-impact use requires stronger review. If the user cannot explain what the AI is doing, what data it uses, who is accountable, and what could go wrong, the use is not ready to proceed.</w:t>
            </w:r>
          </w:p>
        </w:tc>
      </w:tr>
    </w:tbl>
    <w:p>
      <w:pPr>
        <w:spacing w:after="0"/>
      </w:pPr>
    </w:p>
    <w:p>
      <w:pPr>
        <w:spacing w:before="160"/>
      </w:pPr>
      <w:r>
        <w:rPr>
          <w:rFonts w:ascii="Aptos" w:hAnsi="Aptos"/>
          <w:b/>
          <w:sz w:val="17"/>
        </w:rPr>
        <w:t xml:space="preserve">Portfolio disclaimer. </w:t>
      </w:r>
      <w:r>
        <w:rPr>
          <w:rFonts w:ascii="Aptos" w:hAnsi="Aptos"/>
          <w:sz w:val="17"/>
        </w:rPr>
        <w:t>Duckworks, Project W.I.N.G., all personnel, AI systems, data, incidents, decisions, and controls in this policy are fictional and created solely for educational and professional portfolio purposes.</w:t>
      </w:r>
    </w:p>
    <w:p>
      <w:r>
        <w:br w:type="page"/>
      </w:r>
    </w:p>
    <w:p>
      <w:pPr>
        <w:pStyle w:val="Heading1"/>
        <w:keepNext/>
      </w:pPr>
      <w:r>
        <w:t>1. Purpose</w:t>
      </w:r>
    </w:p>
    <w:p>
      <w:pPr>
        <w:spacing w:after="100" w:line="259" w:lineRule="auto"/>
      </w:pPr>
      <w:r>
        <w:rPr>
          <w:rFonts w:ascii="Aptos" w:hAnsi="Aptos"/>
          <w:sz w:val="19"/>
        </w:rPr>
        <w:t>This policy establishes mandatory internal rules for the responsible use of artificial intelligence at Duckworks. It is intended to enable useful experimentation and business value while preventing unmanaged legal, security, privacy, fairness, safety, operational, and reputational exposure.</w:t>
      </w:r>
    </w:p>
    <w:p>
      <w:pPr>
        <w:spacing w:after="100" w:line="259" w:lineRule="auto"/>
      </w:pPr>
      <w:r>
        <w:rPr>
          <w:rFonts w:ascii="Aptos" w:hAnsi="Aptos"/>
          <w:sz w:val="19"/>
        </w:rPr>
        <w:t>The policy translates the Duckworks AI Governance Framework into practical expectations for employees, contractors, business owners, technical teams, and other authorized users of AI. It applies across the AI lifecycle, including experimentation, acquisition, development, deployment, use, monitoring, material change, incident response, and retirement.</w:t>
      </w:r>
    </w:p>
    <w:tbl>
      <w:tblPr>
        <w:tblW w:type="auto" w:w="0"/>
        <w:tblLayout w:type="fixed"/>
        <w:tblLook w:firstColumn="1" w:firstRow="1" w:lastColumn="0" w:lastRow="0" w:noHBand="0" w:noVBand="1" w:val="04A0"/>
        <w:jc w:val="center"/>
        <w:tblBorders>
          <w:top w:val="single" w:sz="0" w:space="0" w:color="EEF5F4"/>
          <w:left w:val="single" w:sz="0" w:space="0" w:color="EEF5F4"/>
          <w:bottom w:val="single" w:sz="0" w:space="0" w:color="EEF5F4"/>
          <w:right w:val="single" w:sz="0" w:space="0" w:color="EEF5F4"/>
          <w:insideH w:val="single" w:sz="0" w:space="0" w:color="EEF5F4"/>
          <w:insideV w:val="single" w:sz="0" w:space="0" w:color="EEF5F4"/>
        </w:tblBorders>
      </w:tblPr>
      <w:tblGrid>
        <w:gridCol w:w="10152"/>
      </w:tblGrid>
      <w:tr>
        <w:tc>
          <w:tcPr>
            <w:tcW w:type="dxa" w:w="10396"/>
            <w:shd w:fill="EEF5F4"/>
            <w:tcMar>
              <w:top w:w="120" w:type="dxa"/>
              <w:start w:w="140" w:type="dxa"/>
              <w:bottom w:w="120" w:type="dxa"/>
              <w:end w:w="140" w:type="dxa"/>
            </w:tcMar>
          </w:tcPr>
          <w:p>
            <w:pPr>
              <w:keepLines/>
              <w:spacing w:after="40"/>
            </w:pPr>
            <w:r>
              <w:rPr>
                <w:rFonts w:ascii="Aptos" w:hAnsi="Aptos"/>
                <w:b/>
                <w:color w:val="2F6B66"/>
                <w:sz w:val="19"/>
              </w:rPr>
              <w:t>Policy outcome</w:t>
            </w:r>
          </w:p>
          <w:p>
            <w:pPr>
              <w:keepLines/>
              <w:spacing w:after="0"/>
            </w:pPr>
            <w:r>
              <w:rPr>
                <w:rFonts w:ascii="Aptos" w:hAnsi="Aptos"/>
                <w:color w:val="253746"/>
                <w:sz w:val="18"/>
              </w:rPr>
              <w:t>Every material AI use should be known, owned, assessed, controlled, monitored, and evidenced in proportion to its potential impact.</w:t>
            </w:r>
          </w:p>
        </w:tc>
      </w:tr>
    </w:tbl>
    <w:p>
      <w:pPr>
        <w:spacing w:after="0"/>
      </w:pPr>
    </w:p>
    <w:p>
      <w:pPr>
        <w:pStyle w:val="Heading1"/>
        <w:keepNext/>
      </w:pPr>
      <w:r>
        <w:t>2. Scope</w:t>
      </w:r>
    </w:p>
    <w:p>
      <w:pPr>
        <w:spacing w:after="100" w:line="259" w:lineRule="auto"/>
      </w:pPr>
      <w:r>
        <w:rPr>
          <w:rFonts w:ascii="Aptos" w:hAnsi="Aptos"/>
          <w:sz w:val="19"/>
        </w:rPr>
        <w:t>This policy applies to all Duckworks personnel, contractors, temporary staff, and third parties using AI on behalf of Duckworks or using Duckworks information, systems, credentials, devices, code, data, or customer-facing channels.</w:t>
      </w:r>
    </w:p>
    <w:p>
      <w:pPr>
        <w:spacing w:after="100" w:line="259" w:lineRule="auto"/>
      </w:pPr>
      <w:r>
        <w:rPr>
          <w:rFonts w:ascii="Aptos" w:hAnsi="Aptos"/>
          <w:sz w:val="19"/>
        </w:rPr>
        <w:t>For internal governance purposes, the policy covers AI-enabled capabilities whether internally developed or externally provided, including generative AI, predictive machine learning, computer vision, AI-enabled SaaS features, AI APIs, coding assistants, browser extensions, embedded AI, and agentic or automated workflows.</w:t>
      </w:r>
    </w:p>
    <w:p>
      <w:pPr>
        <w:pStyle w:val="ListBullet"/>
        <w:keepLines/>
        <w:spacing w:after="50"/>
      </w:pPr>
      <w:r>
        <w:rPr>
          <w:rFonts w:ascii="Aptos" w:hAnsi="Aptos"/>
          <w:sz w:val="19"/>
        </w:rPr>
        <w:t>Approved production systems, restricted pilots, proofs of concept, and experiments.</w:t>
      </w:r>
    </w:p>
    <w:p>
      <w:pPr>
        <w:pStyle w:val="ListBullet"/>
        <w:keepLines/>
        <w:spacing w:after="50"/>
      </w:pPr>
      <w:r>
        <w:rPr>
          <w:rFonts w:ascii="Aptos" w:hAnsi="Aptos"/>
          <w:sz w:val="19"/>
        </w:rPr>
        <w:t>Third-party AI services and AI functionality embedded within existing SaaS or software products.</w:t>
      </w:r>
    </w:p>
    <w:p>
      <w:pPr>
        <w:pStyle w:val="ListBullet"/>
        <w:keepLines/>
        <w:spacing w:after="50"/>
      </w:pPr>
      <w:r>
        <w:rPr>
          <w:rFonts w:ascii="Aptos" w:hAnsi="Aptos"/>
          <w:sz w:val="19"/>
        </w:rPr>
        <w:t>Public or consumer generative-AI tools used for Duckworks-related work.</w:t>
      </w:r>
    </w:p>
    <w:p>
      <w:pPr>
        <w:pStyle w:val="ListBullet"/>
        <w:keepLines/>
        <w:spacing w:after="50"/>
      </w:pPr>
      <w:r>
        <w:rPr>
          <w:rFonts w:ascii="Aptos" w:hAnsi="Aptos"/>
          <w:sz w:val="19"/>
        </w:rPr>
        <w:t>AI used in engineering, manufacturing, customer operations, supply chain, HR, software development, productivity, or other business functions.</w:t>
      </w:r>
    </w:p>
    <w:p>
      <w:pPr>
        <w:pStyle w:val="ListBullet"/>
        <w:keepLines/>
        <w:spacing w:after="50"/>
      </w:pPr>
      <w:r>
        <w:rPr>
          <w:rFonts w:ascii="Aptos" w:hAnsi="Aptos"/>
          <w:sz w:val="19"/>
        </w:rPr>
        <w:t>Unregistered or discovered "shadow AI" use, which remains subject to this policy even if it has not been formally approved.</w:t>
      </w:r>
    </w:p>
    <w:p>
      <w:pPr>
        <w:spacing w:after="100" w:line="259" w:lineRule="auto"/>
      </w:pPr>
      <w:r>
        <w:rPr>
          <w:rFonts w:ascii="Aptos" w:hAnsi="Aptos"/>
          <w:sz w:val="19"/>
        </w:rPr>
        <w:t>This policy does not itself perform legal classification, a GDPR Data Protection Impact Assessment, product conformity assessment, certification, penetration test, or formal statistical fairness validation. Those activities must be performed separately when applicable.</w:t>
      </w:r>
    </w:p>
    <w:p>
      <w:pPr>
        <w:pStyle w:val="Heading1"/>
        <w:keepNext/>
      </w:pPr>
      <w:r>
        <w:t>3. Authority and Interpretation</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Requirement Type</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Interpretation</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Binding legal requirements</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Where a law applies to a Duckworks activity, compliance is mandatory. Legal and Privacy determine applicability and interpretation. Potentially relevant areas include AI regulation, data protection, employment/equality, product safety, consumer protection, cybersecurity, intellectual property, and national implementing law.</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Duckworks internal requirements</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Statements using "must", "must not", or "shall" in this policy are mandatory Duckworks policy rules once approved. They are internal controls and must not be presented as legal requirements unless Legal has confirmed that status.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Standards and framework guidance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NIST AI RMF, ISO/IEC 42001, ISO/IEC 23894, ISO/IEC 42005, ISO/IEC 27001, ENISA guidance, MITRE ATLAS, and OWASP GenAI guidance may inform implementation. Alignment does not by itself establish legal compliance, certification, or conformity.</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Project assumptions</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Scenario assumptions - including human decision authority, system data access, provider arrangements, and geographic deployment - remain subject to validation. A material assumption change may trigger reassessment.</w:t>
            </w:r>
          </w:p>
        </w:tc>
      </w:tr>
    </w:tbl>
    <w:p>
      <w:pPr>
        <w:spacing w:after="0"/>
      </w:pPr>
    </w:p>
    <w:p>
      <w:pPr>
        <w:pStyle w:val="Heading1"/>
        <w:keepNext/>
      </w:pPr>
      <w:r>
        <w:t>4. Definitions</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Term</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Duckworks Meaning</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AI system</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For this policy, any software or service that uses AI/ML techniques to generate, predict, classify, rank, recommend, detect, summarize, automate, or support decisions. This is an internal scope definition, not a legal classification.</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Material AI use</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Use that can materially affect people, safety, confidential or personal data, significant financial/operational decisions, customer outcomes, legal obligations, or product quality; or that creates meaningful third-party or security dependency.</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Approved AI</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An AI tool or use case that has completed the required Duckworks intake, risk/impact review, security/privacy/legal review as applicable, and received authorization for its stated purpose and lifecycle stage.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Public AI service</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An externally hosted AI service made broadly available to individuals or organizations, where Duckworks may not control data handling, model training, retention, access, or contract terms.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Shadow AI</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AI use occurring outside the approved Duckworks intake, procurement, security, privacy, or governance process.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Human oversight</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Meaningful review by a competent person who understands the AI role and limitations, can challenge or override outputs, has authority to stop or escalate use, and is accountable for the consequential decision.</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Material change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 change to intended purpose, model/provider, data, affected population, permissions, integration, autonomy, deployment geography, decision authority, or other factor that can change risk or legal applicability.</w:t>
            </w:r>
          </w:p>
        </w:tc>
      </w:tr>
    </w:tbl>
    <w:p>
      <w:pPr>
        <w:spacing w:after="0"/>
      </w:pPr>
    </w:p>
    <w:p>
      <w:pPr>
        <w:pStyle w:val="Heading1"/>
        <w:keepNext/>
      </w:pPr>
      <w:r>
        <w:t>5. Responsible AI Principles</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Principle</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Duckworks Rule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Authorized purpose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Use AI only for a documented and permitted purpose, within the approved lifecycle gate and scope.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Human accountability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AI may support work, but accountable humans retain decision responsibility unless a specifically approved automated process states otherwise.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Proportional governance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Governance intensity increases with impact, risk, autonomy, affected persons, safety relevance, and legal significance.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Data responsibility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Use only data that the user and system are authorized to access and process. Apply classification, privacy, confidentiality, retention, and minimization controls.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Security by design</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Use approved tools, access controls, secure integrations, logging, testing, and threat-informed controls appropriate to the use case.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Fairness and respect</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Do not use AI in ways that intentionally discriminate, exploit, harass, manipulate, or unfairly disadvantage people.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Verification and reliability</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Treat AI output as potentially incorrect. Verify outputs to a level appropriate to the consequence of error.</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Transparency and traceability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Disclose AI involvement where required by law, policy, customer design, or material decision context, and preserve evidence for material governance decisions.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Safe experimentation</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Experimentation is encouraged within defined boundaries; it does not exempt a user from data, security, legal, or registration requirements.</w:t>
            </w:r>
          </w:p>
        </w:tc>
      </w:tr>
    </w:tbl>
    <w:p>
      <w:pPr>
        <w:spacing w:after="0"/>
      </w:pPr>
    </w:p>
    <w:p>
      <w:pPr>
        <w:pStyle w:val="Heading1"/>
        <w:keepNext/>
      </w:pPr>
      <w:r>
        <w:t>6. General Responsible-Use Requirements</w:t>
      </w:r>
    </w:p>
    <w:p>
      <w:pPr>
        <w:pStyle w:val="ListBullet"/>
        <w:keepLines/>
        <w:spacing w:after="50"/>
      </w:pPr>
      <w:r>
        <w:rPr>
          <w:rFonts w:ascii="Aptos" w:hAnsi="Aptos"/>
          <w:sz w:val="19"/>
        </w:rPr>
        <w:t>Users must use only AI services, features, models, plugins, extensions, and integrations that are approved for the intended Duckworks purpose or explicitly authorized for controlled experimentation.</w:t>
      </w:r>
    </w:p>
    <w:p>
      <w:pPr>
        <w:pStyle w:val="ListBullet"/>
        <w:keepLines/>
        <w:spacing w:after="50"/>
      </w:pPr>
      <w:r>
        <w:rPr>
          <w:rFonts w:ascii="Aptos" w:hAnsi="Aptos"/>
          <w:sz w:val="19"/>
        </w:rPr>
        <w:t>Users must understand the intended purpose, known limitations, data restrictions, and required human review before relying on AI output.</w:t>
      </w:r>
    </w:p>
    <w:p>
      <w:pPr>
        <w:pStyle w:val="ListBullet"/>
        <w:keepLines/>
        <w:spacing w:after="50"/>
      </w:pPr>
      <w:r>
        <w:rPr>
          <w:rFonts w:ascii="Aptos" w:hAnsi="Aptos"/>
          <w:sz w:val="19"/>
        </w:rPr>
        <w:t>Material AI use must have a named business owner and, where applicable, a technical owner. Users must not create a de facto production dependency around an unowned AI tool.</w:t>
      </w:r>
    </w:p>
    <w:p>
      <w:pPr>
        <w:pStyle w:val="ListBullet"/>
        <w:keepLines/>
        <w:spacing w:after="50"/>
      </w:pPr>
      <w:r>
        <w:rPr>
          <w:rFonts w:ascii="Aptos" w:hAnsi="Aptos"/>
          <w:sz w:val="19"/>
        </w:rPr>
        <w:t>Users must apply the minimum necessary data principle: do not provide AI more information, access, permissions, documents, or context than is reasonably required for the approved task.</w:t>
      </w:r>
    </w:p>
    <w:p>
      <w:pPr>
        <w:pStyle w:val="ListBullet"/>
        <w:keepLines/>
        <w:spacing w:after="50"/>
      </w:pPr>
      <w:r>
        <w:rPr>
          <w:rFonts w:ascii="Aptos" w:hAnsi="Aptos"/>
          <w:sz w:val="19"/>
        </w:rPr>
        <w:t>AI output must not be represented as verified fact, validated engineering advice, legal advice, HR determination, safety determination, or approved business decision unless the required competent review has occurred.</w:t>
      </w:r>
    </w:p>
    <w:p>
      <w:pPr>
        <w:pStyle w:val="ListBullet"/>
        <w:keepLines/>
        <w:spacing w:after="50"/>
      </w:pPr>
      <w:r>
        <w:rPr>
          <w:rFonts w:ascii="Aptos" w:hAnsi="Aptos"/>
          <w:sz w:val="19"/>
        </w:rPr>
        <w:t>Users must not bypass security, privacy, procurement, approval, logging, monitoring, or human-oversight controls in order to obtain a faster AI result.</w:t>
      </w:r>
    </w:p>
    <w:p>
      <w:pPr>
        <w:pStyle w:val="ListBullet"/>
        <w:keepLines/>
        <w:spacing w:after="50"/>
      </w:pPr>
      <w:r>
        <w:rPr>
          <w:rFonts w:ascii="Aptos" w:hAnsi="Aptos"/>
          <w:sz w:val="19"/>
        </w:rPr>
        <w:t>AI-generated code, analysis, designs, recommendations, summaries, translations, and customer responses must receive review proportionate to their potential impact before use or release.</w:t>
      </w:r>
    </w:p>
    <w:p>
      <w:pPr>
        <w:pStyle w:val="ListBullet"/>
        <w:keepLines/>
        <w:spacing w:after="50"/>
      </w:pPr>
      <w:r>
        <w:rPr>
          <w:rFonts w:ascii="Aptos" w:hAnsi="Aptos"/>
          <w:sz w:val="19"/>
        </w:rPr>
        <w:t>Material errors, unsafe outputs, suspected data disclosures, prompt-injection events, model compromise, discriminatory outcomes, or loss of intended human oversight must be reported promptly through the defined incident or governance channel.</w:t>
      </w:r>
    </w:p>
    <w:p>
      <w:pPr>
        <w:pStyle w:val="Heading1"/>
        <w:keepNext/>
      </w:pPr>
      <w:r>
        <w:t>7. Permitted, Conditional, and Prohibited Uses</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465"/>
        <w:gridCol w:w="3465"/>
        <w:gridCol w:w="3465"/>
      </w:tblGrid>
      <w:tr>
        <w:trPr>
          <w:tblHeader w:val="true"/>
        </w:trPr>
        <w:tc>
          <w:tcPr>
            <w:tcW w:type="dxa" w:w="1872"/>
            <w:shd w:fill="17365D"/>
            <w:vAlign w:val="center"/>
            <w:tcMar>
              <w:top w:w="80" w:type="dxa"/>
              <w:start w:w="90" w:type="dxa"/>
              <w:bottom w:w="80" w:type="dxa"/>
              <w:end w:w="90" w:type="dxa"/>
            </w:tcMar>
          </w:tcPr>
          <w:p>
            <w:pPr>
              <w:keepLines/>
              <w:spacing w:after="0" w:before="0"/>
            </w:pPr>
            <w:r/>
            <w:r>
              <w:rPr>
                <w:rFonts w:ascii="Aptos" w:hAnsi="Aptos"/>
                <w:b/>
                <w:color w:val="FFFFFF"/>
                <w:sz w:val="17"/>
              </w:rPr>
              <w:t>Category</w:t>
            </w:r>
          </w:p>
        </w:tc>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Rule</w:t>
            </w:r>
          </w:p>
        </w:tc>
        <w:tc>
          <w:tcPr>
            <w:tcW w:type="dxa" w:w="5400"/>
            <w:shd w:fill="17365D"/>
            <w:vAlign w:val="center"/>
            <w:tcMar>
              <w:top w:w="80" w:type="dxa"/>
              <w:start w:w="90" w:type="dxa"/>
              <w:bottom w:w="80" w:type="dxa"/>
              <w:end w:w="90" w:type="dxa"/>
            </w:tcMar>
          </w:tcPr>
          <w:p>
            <w:pPr>
              <w:keepLines/>
              <w:spacing w:after="0" w:before="0"/>
            </w:pPr>
            <w:r/>
            <w:r>
              <w:rPr>
                <w:rFonts w:ascii="Aptos" w:hAnsi="Aptos"/>
                <w:b/>
                <w:color w:val="FFFFFF"/>
                <w:sz w:val="17"/>
              </w:rPr>
              <w:t>Examples / Notes</w:t>
            </w:r>
          </w:p>
        </w:tc>
      </w:tr>
      <w:tr>
        <w:trPr>
          <w:cantSplit/>
        </w:trPr>
        <w:tc>
          <w:tcPr>
            <w:tcW w:type="dxa" w:w="3465"/>
            <w:vAlign w:val="center"/>
            <w:tcMar>
              <w:top w:w="80" w:type="dxa"/>
              <w:start w:w="90" w:type="dxa"/>
              <w:bottom w:w="80" w:type="dxa"/>
              <w:end w:w="90" w:type="dxa"/>
            </w:tcMar>
          </w:tcPr>
          <w:p>
            <w:pPr>
              <w:keepLines/>
              <w:spacing w:after="0" w:before="0"/>
            </w:pPr>
            <w:r/>
            <w:r>
              <w:rPr>
                <w:rFonts w:ascii="Aptos" w:hAnsi="Aptos"/>
                <w:b w:val="0"/>
                <w:sz w:val="16"/>
              </w:rPr>
              <w:t>Generally permitted within approved tools</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Low-impact drafting, brainstorming, formatting, summarization, translation, knowledge retrieval, and similar productivity support using information that the user is authorized to process.</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The user remains responsible for checking accuracy, confidentiality, and appropriateness.</w:t>
            </w:r>
          </w:p>
        </w:tc>
      </w:tr>
      <w:tr>
        <w:trPr>
          <w:cantSplit/>
        </w:trPr>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Conditional - enhanced review required</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Use involving personal data, customer-facing content, employment decisions, engineering/product design, safety or quality decisions, sensitive repositories, production code, significant financial commitments, or automated actions.</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Requires the applicable intake, owner approval, specialist review, human oversight, testing, evidence, and monitoring.</w:t>
            </w:r>
          </w:p>
        </w:tc>
      </w:tr>
      <w:tr>
        <w:trPr>
          <w:cantSplit/>
        </w:trPr>
        <w:tc>
          <w:tcPr>
            <w:tcW w:type="dxa" w:w="3465"/>
            <w:vAlign w:val="center"/>
            <w:tcMar>
              <w:top w:w="80" w:type="dxa"/>
              <w:start w:w="90" w:type="dxa"/>
              <w:bottom w:w="80" w:type="dxa"/>
              <w:end w:w="90" w:type="dxa"/>
            </w:tcMar>
          </w:tcPr>
          <w:p>
            <w:pPr>
              <w:keepLines/>
              <w:spacing w:after="0" w:before="0"/>
            </w:pPr>
            <w:r/>
            <w:r>
              <w:rPr>
                <w:rFonts w:ascii="Aptos" w:hAnsi="Aptos"/>
                <w:b w:val="0"/>
                <w:sz w:val="16"/>
              </w:rPr>
              <w:t>Duckworks prohibited use</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Entering confidential, restricted, personal, applicant, customer, security-sensitive, proprietary source code, or other protected information into an unapproved public AI service.</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Applies even when the user intends only temporary experimentation or convenience.</w:t>
            </w:r>
          </w:p>
        </w:tc>
      </w:tr>
      <w:tr>
        <w:trPr>
          <w:cantSplit/>
        </w:trPr>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Duckworks prohibited use</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Allowing unapproved AI to make or execute consequential employment, product-release, safety, quality, financial, legal, or customer decisions without the required accountable human or approved automation authority.</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Human review cannot be nominal or rubber-stamping.</w:t>
            </w:r>
          </w:p>
        </w:tc>
      </w:tr>
      <w:tr>
        <w:trPr>
          <w:cantSplit/>
        </w:trPr>
        <w:tc>
          <w:tcPr>
            <w:tcW w:type="dxa" w:w="3465"/>
            <w:vAlign w:val="center"/>
            <w:tcMar>
              <w:top w:w="80" w:type="dxa"/>
              <w:start w:w="90" w:type="dxa"/>
              <w:bottom w:w="80" w:type="dxa"/>
              <w:end w:w="90" w:type="dxa"/>
            </w:tcMar>
          </w:tcPr>
          <w:p>
            <w:pPr>
              <w:keepLines/>
              <w:spacing w:after="0" w:before="0"/>
            </w:pPr>
            <w:r/>
            <w:r>
              <w:rPr>
                <w:rFonts w:ascii="Aptos" w:hAnsi="Aptos"/>
                <w:b w:val="0"/>
                <w:sz w:val="16"/>
              </w:rPr>
              <w:t>Duckworks prohibited use</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Using AI to circumvent access controls, security restrictions, licensing restrictions, procurement, governance gates, monitoring, or evidence requirements.</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Includes unapproved plugins, browser extensions, API keys, agents, and integrations.</w:t>
            </w:r>
          </w:p>
        </w:tc>
      </w:tr>
      <w:tr>
        <w:trPr>
          <w:cantSplit/>
        </w:trPr>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Duckworks prohibited use</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Presenting fabricated, hallucinated, manipulated, or unverified AI output as an official Duckworks record, test result, audit evidence, management approval, customer commitment, or factual source.</w:t>
            </w:r>
          </w:p>
        </w:tc>
        <w:tc>
          <w:tcPr>
            <w:tcW w:type="dxa" w:w="3465"/>
            <w:vAlign w:val="center"/>
            <w:tcMar>
              <w:top w:w="80" w:type="dxa"/>
              <w:start w:w="90" w:type="dxa"/>
              <w:bottom w:w="80" w:type="dxa"/>
              <w:end w:w="90" w:type="dxa"/>
            </w:tcMar>
            <w:shd w:fill="F3F5F7"/>
          </w:tcPr>
          <w:p>
            <w:pPr>
              <w:keepLines/>
              <w:spacing w:after="0" w:before="0"/>
            </w:pPr>
            <w:r/>
            <w:r>
              <w:rPr>
                <w:rFonts w:ascii="Aptos" w:hAnsi="Aptos"/>
                <w:b w:val="0"/>
                <w:sz w:val="16"/>
              </w:rPr>
              <w:t>Synthetic or illustrative content must be clearly identified where it could otherwise be mistaken for evidence.</w:t>
            </w:r>
          </w:p>
        </w:tc>
      </w:tr>
      <w:tr>
        <w:trPr>
          <w:cantSplit/>
        </w:trPr>
        <w:tc>
          <w:tcPr>
            <w:tcW w:type="dxa" w:w="3465"/>
            <w:vAlign w:val="center"/>
            <w:tcMar>
              <w:top w:w="80" w:type="dxa"/>
              <w:start w:w="90" w:type="dxa"/>
              <w:bottom w:w="80" w:type="dxa"/>
              <w:end w:w="90" w:type="dxa"/>
            </w:tcMar>
          </w:tcPr>
          <w:p>
            <w:pPr>
              <w:keepLines/>
              <w:spacing w:after="0" w:before="0"/>
            </w:pPr>
            <w:r/>
            <w:r>
              <w:rPr>
                <w:rFonts w:ascii="Aptos" w:hAnsi="Aptos"/>
                <w:b w:val="0"/>
                <w:sz w:val="16"/>
              </w:rPr>
              <w:t>Duckworks prohibited use</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Using AI to intentionally discriminate, harass, deceive, exploit, impersonate without authorization, or create unlawful or malicious content or actions.</w:t>
            </w:r>
          </w:p>
        </w:tc>
        <w:tc>
          <w:tcPr>
            <w:tcW w:type="dxa" w:w="3465"/>
            <w:vAlign w:val="center"/>
            <w:tcMar>
              <w:top w:w="80" w:type="dxa"/>
              <w:start w:w="90" w:type="dxa"/>
              <w:bottom w:w="80" w:type="dxa"/>
              <w:end w:w="90" w:type="dxa"/>
            </w:tcMar>
          </w:tcPr>
          <w:p>
            <w:pPr>
              <w:keepLines/>
              <w:spacing w:after="0" w:before="0"/>
            </w:pPr>
            <w:r/>
            <w:r>
              <w:rPr>
                <w:rFonts w:ascii="Aptos" w:hAnsi="Aptos"/>
                <w:b w:val="0"/>
                <w:sz w:val="16"/>
              </w:rPr>
              <w:t>This is an internal prohibition and does not attempt to reproduce any statutory list of prohibited AI practices.</w:t>
            </w:r>
          </w:p>
        </w:tc>
      </w:tr>
    </w:tbl>
    <w:p>
      <w:pPr>
        <w:spacing w:after="0"/>
      </w:pPr>
    </w:p>
    <w:p>
      <w:pPr>
        <w:pStyle w:val="Heading1"/>
        <w:keepNext/>
      </w:pPr>
      <w:r>
        <w:t>8. Data, Confidentiality, Privacy, and Intellectual Property</w:t>
      </w:r>
    </w:p>
    <w:p>
      <w:pPr>
        <w:pStyle w:val="ListBullet"/>
        <w:keepLines/>
        <w:spacing w:after="50"/>
      </w:pPr>
      <w:r>
        <w:rPr>
          <w:rFonts w:ascii="Aptos" w:hAnsi="Aptos"/>
          <w:sz w:val="19"/>
        </w:rPr>
        <w:t>Users must follow Duckworks information-classification and access-control rules when selecting data for AI use.</w:t>
      </w:r>
    </w:p>
    <w:p>
      <w:pPr>
        <w:pStyle w:val="ListBullet"/>
        <w:keepLines/>
        <w:spacing w:after="50"/>
      </w:pPr>
      <w:r>
        <w:rPr>
          <w:rFonts w:ascii="Aptos" w:hAnsi="Aptos"/>
          <w:sz w:val="19"/>
        </w:rPr>
        <w:t>Personal data must only be processed in AI where the use is approved and the relevant Privacy requirements have been assessed. Users must not assume that removing obvious names makes information anonymous.</w:t>
      </w:r>
    </w:p>
    <w:p>
      <w:pPr>
        <w:pStyle w:val="ListBullet"/>
        <w:keepLines/>
        <w:spacing w:after="50"/>
      </w:pPr>
      <w:r>
        <w:rPr>
          <w:rFonts w:ascii="Aptos" w:hAnsi="Aptos"/>
          <w:sz w:val="19"/>
        </w:rPr>
        <w:t>Confidential engineering designs, proprietary algorithms, credentials, security information, customer data, employee/applicant data, supplier-confidential information, or regulated data must not be submitted to public AI services unless specifically approved for that data class and purpose.</w:t>
      </w:r>
    </w:p>
    <w:p>
      <w:pPr>
        <w:pStyle w:val="ListBullet"/>
        <w:keepLines/>
        <w:spacing w:after="50"/>
      </w:pPr>
      <w:r>
        <w:rPr>
          <w:rFonts w:ascii="Aptos" w:hAnsi="Aptos"/>
          <w:sz w:val="19"/>
        </w:rPr>
        <w:t>Where a third-party AI provider may retain prompts, use content for model improvement/training, share data with subprocessors, or transfer data across jurisdictions, these arrangements must be reviewed through the applicable vendor, privacy, security, and contractual process before material use.</w:t>
      </w:r>
    </w:p>
    <w:p>
      <w:pPr>
        <w:pStyle w:val="ListBullet"/>
        <w:keepLines/>
        <w:spacing w:after="50"/>
      </w:pPr>
      <w:r>
        <w:rPr>
          <w:rFonts w:ascii="Aptos" w:hAnsi="Aptos"/>
          <w:sz w:val="19"/>
        </w:rPr>
        <w:t>Users must respect copyright, database rights, trade secrets, software licenses, contractual restrictions, and other intellectual-property obligations when providing inputs or using AI-generated outputs.</w:t>
      </w:r>
    </w:p>
    <w:p>
      <w:pPr>
        <w:pStyle w:val="ListBullet"/>
        <w:keepLines/>
        <w:spacing w:after="50"/>
      </w:pPr>
      <w:r>
        <w:rPr>
          <w:rFonts w:ascii="Aptos" w:hAnsi="Aptos"/>
          <w:sz w:val="19"/>
        </w:rPr>
        <w:t>AI-generated content does not remove the user or business owner's responsibility to confirm that the output can lawfully and appropriately be used, published, distributed, or incorporated into a Duckworks product or deliverable.</w:t>
      </w:r>
    </w:p>
    <w:p>
      <w:pPr>
        <w:pStyle w:val="Heading1"/>
        <w:keepNext/>
      </w:pPr>
      <w:r>
        <w:t>9. Accuracy, Reliability, and Human Oversight</w:t>
      </w:r>
    </w:p>
    <w:p>
      <w:pPr>
        <w:spacing w:after="100" w:line="259" w:lineRule="auto"/>
      </w:pPr>
      <w:r>
        <w:rPr>
          <w:rFonts w:ascii="Aptos" w:hAnsi="Aptos"/>
          <w:sz w:val="19"/>
        </w:rPr>
        <w:t>AI output is not presumed correct. Verification effort must be proportional to the consequence of error. Material use cases must define who reviews outputs, what the reviewer checks, when an override or escalation is required, and when the AI should be stopped or bypassed.</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Use Context</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Minimum Oversight Expectation</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Low-impact productivity</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User checks factual accuracy, tone, confidentiality, and suitability before use.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Customer-facing support</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Approved content boundaries, uncertainty handling, escalation to human support, complaint monitoring, and review of safety-relevant or sensitive responses.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Engineering/product design</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Competent engineer validates assumptions, calculations, design implications, and traceability before prototype or production use.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Manufacturing quality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Qualified inspector retains final acceptance/rejection authority unless a separately approved autonomous process exists; false-negative risk and fallback must be monitored.</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Recruitment/workforce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Competent human reviewer must be able to understand, challenge, disregard, and override the AI recommendation; automation bias, fairness, transparency, privacy, and contestability must be addressed.</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Financial/operational planning</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Authorized manager remains accountable for material purchasing, production, supplier, or budget commitments supported by AI forecasts.</w:t>
            </w:r>
          </w:p>
        </w:tc>
      </w:tr>
    </w:tbl>
    <w:p>
      <w:pPr>
        <w:spacing w:after="0"/>
      </w:pPr>
    </w:p>
    <w:p>
      <w:pPr>
        <w:pStyle w:val="Heading1"/>
        <w:keepNext/>
      </w:pPr>
      <w:r>
        <w:t>10. Fairness, Workforce, and People-Related AI</w:t>
      </w:r>
    </w:p>
    <w:p>
      <w:pPr>
        <w:pStyle w:val="ListBullet"/>
        <w:keepLines/>
        <w:spacing w:after="50"/>
      </w:pPr>
      <w:r>
        <w:rPr>
          <w:rFonts w:ascii="Aptos" w:hAnsi="Aptos"/>
          <w:sz w:val="19"/>
        </w:rPr>
        <w:t>AI used to screen, rank, recommend, assess, monitor, or otherwise influence people requires enhanced governance because errors or biased patterns can materially affect individuals.</w:t>
      </w:r>
    </w:p>
    <w:p>
      <w:pPr>
        <w:pStyle w:val="ListBullet"/>
        <w:keepLines/>
        <w:spacing w:after="50"/>
      </w:pPr>
      <w:r>
        <w:rPr>
          <w:rFonts w:ascii="Aptos" w:hAnsi="Aptos"/>
          <w:sz w:val="19"/>
        </w:rPr>
        <w:t>Duckworks must not use AI to make final applicant rejection or hiring decisions under the current DuckTalent scenario. DuckTalent remains subject to its approved governance gate and must not be used with real applicants until required legal, privacy, fairness, human-oversight, transparency, and testing conditions are satisfied.</w:t>
      </w:r>
    </w:p>
    <w:p>
      <w:pPr>
        <w:pStyle w:val="ListBullet"/>
        <w:keepLines/>
        <w:spacing w:after="50"/>
      </w:pPr>
      <w:r>
        <w:rPr>
          <w:rFonts w:ascii="Aptos" w:hAnsi="Aptos"/>
          <w:sz w:val="19"/>
        </w:rPr>
        <w:t>Users must not introduce protected or proxy characteristics into ranking, scoring, or recommendation logic without explicit lawful and governance justification.</w:t>
      </w:r>
    </w:p>
    <w:p>
      <w:pPr>
        <w:pStyle w:val="ListBullet"/>
        <w:keepLines/>
        <w:spacing w:after="50"/>
      </w:pPr>
      <w:r>
        <w:rPr>
          <w:rFonts w:ascii="Aptos" w:hAnsi="Aptos"/>
          <w:sz w:val="19"/>
        </w:rPr>
        <w:t>Recruiters and managers must not treat an AI ranking or summary as a neutral or objective fact. They must consider source-data quality, missing context, accessibility, error, and automation bias.</w:t>
      </w:r>
    </w:p>
    <w:p>
      <w:pPr>
        <w:pStyle w:val="ListBullet"/>
        <w:keepLines/>
        <w:spacing w:after="50"/>
      </w:pPr>
      <w:r>
        <w:rPr>
          <w:rFonts w:ascii="Aptos" w:hAnsi="Aptos"/>
          <w:sz w:val="19"/>
        </w:rPr>
        <w:t>Where people are materially affected, the process should provide an appropriate route for questions, correction, challenge, or escalation as defined by the business owner and Legal/HR/Privacy.</w:t>
      </w:r>
    </w:p>
    <w:p>
      <w:pPr>
        <w:pStyle w:val="Heading1"/>
        <w:keepNext/>
      </w:pPr>
      <w:r>
        <w:t>11. Security, Integrations, Agents, and AI-Generated Code</w:t>
      </w:r>
    </w:p>
    <w:p>
      <w:pPr>
        <w:pStyle w:val="ListBullet"/>
        <w:keepLines/>
        <w:spacing w:after="50"/>
      </w:pPr>
      <w:r>
        <w:rPr>
          <w:rFonts w:ascii="Aptos" w:hAnsi="Aptos"/>
          <w:sz w:val="19"/>
        </w:rPr>
        <w:t>AI systems must follow least-privilege access. An AI assistant must not gain access to repositories, systems, secrets, or records that the requesting user could not otherwise access.</w:t>
      </w:r>
    </w:p>
    <w:p>
      <w:pPr>
        <w:pStyle w:val="ListBullet"/>
        <w:keepLines/>
        <w:spacing w:after="50"/>
      </w:pPr>
      <w:r>
        <w:rPr>
          <w:rFonts w:ascii="Aptos" w:hAnsi="Aptos"/>
          <w:sz w:val="19"/>
        </w:rPr>
        <w:t>Untrusted content retrieved from websites, documents, messages, repositories, or external sources must be treated as potentially malicious input. Prompt injection, indirect prompt injection, retrieval poisoning, data exfiltration, and unsafe tool execution must be considered where relevant.</w:t>
      </w:r>
    </w:p>
    <w:p>
      <w:pPr>
        <w:pStyle w:val="ListBullet"/>
        <w:keepLines/>
        <w:spacing w:after="50"/>
      </w:pPr>
      <w:r>
        <w:rPr>
          <w:rFonts w:ascii="Aptos" w:hAnsi="Aptos"/>
          <w:sz w:val="19"/>
        </w:rPr>
        <w:t>AI agents, plugins, tools, connectors, or automation that can send messages, modify records, deploy code, make purchases, change configurations, access production systems, or take other external actions require explicit approval, scoped permissions, logging, and defined human control.</w:t>
      </w:r>
    </w:p>
    <w:p>
      <w:pPr>
        <w:pStyle w:val="ListBullet"/>
        <w:keepLines/>
        <w:spacing w:after="50"/>
      </w:pPr>
      <w:r>
        <w:rPr>
          <w:rFonts w:ascii="Aptos" w:hAnsi="Aptos"/>
          <w:sz w:val="19"/>
        </w:rPr>
        <w:t>AI-generated code must be reviewed, tested, scanned, and handled under the applicable secure-development and change-management process before production use. Users must not paste secrets, credentials, production data, or restricted source code into unapproved coding assistants.</w:t>
      </w:r>
    </w:p>
    <w:p>
      <w:pPr>
        <w:pStyle w:val="ListBullet"/>
        <w:keepLines/>
        <w:spacing w:after="50"/>
      </w:pPr>
      <w:r>
        <w:rPr>
          <w:rFonts w:ascii="Aptos" w:hAnsi="Aptos"/>
          <w:sz w:val="19"/>
        </w:rPr>
        <w:t>Users must not rely on AI to disable, evade, weaken, or reinterpret security controls. Suspected model, prompt, retrieval, API, or supply-chain compromise must be treated as a security event and escalated.</w:t>
      </w:r>
    </w:p>
    <w:p>
      <w:pPr>
        <w:pStyle w:val="Heading1"/>
        <w:keepNext/>
      </w:pPr>
      <w:r>
        <w:t>12. Customer, Engineering, Manufacturing, and Safety-Relevant Use</w:t>
      </w:r>
    </w:p>
    <w:p>
      <w:pPr>
        <w:spacing w:after="100" w:line="259" w:lineRule="auto"/>
      </w:pPr>
      <w:r>
        <w:rPr>
          <w:rFonts w:ascii="Aptos" w:hAnsi="Aptos"/>
          <w:sz w:val="19"/>
        </w:rPr>
        <w:t>AI that can influence customer commitments, product design, manufacturing quality, or product safety is subject to enhanced review. The existence of a human in the process is not sufficient unless that person has competence, time, information, and authority to challenge the AI output.</w:t>
      </w:r>
    </w:p>
    <w:p>
      <w:pPr>
        <w:pStyle w:val="ListBullet"/>
        <w:keepLines/>
        <w:spacing w:after="50"/>
      </w:pPr>
      <w:r>
        <w:rPr>
          <w:rFonts w:ascii="Aptos" w:hAnsi="Aptos"/>
          <w:sz w:val="19"/>
        </w:rPr>
        <w:t>QuackBot must not be placed into unrestricted production until its approved release gates are satisfied, including security testing, safe escalation, content boundaries, monitoring, and customer-impact safeguards.</w:t>
      </w:r>
    </w:p>
    <w:p>
      <w:pPr>
        <w:pStyle w:val="ListBullet"/>
        <w:keepLines/>
        <w:spacing w:after="50"/>
      </w:pPr>
      <w:r>
        <w:rPr>
          <w:rFonts w:ascii="Aptos" w:hAnsi="Aptos"/>
          <w:sz w:val="19"/>
        </w:rPr>
        <w:t>DuckDesign AI may be used only within the approved restricted pilot until competent engineering review, design validation, IP/data controls, and release boundaries are evidenced.</w:t>
      </w:r>
    </w:p>
    <w:p>
      <w:pPr>
        <w:pStyle w:val="ListBullet"/>
        <w:keepLines/>
        <w:spacing w:after="50"/>
      </w:pPr>
      <w:r>
        <w:rPr>
          <w:rFonts w:ascii="Aptos" w:hAnsi="Aptos"/>
          <w:sz w:val="19"/>
        </w:rPr>
        <w:t>WingInspect Vision may be used only within the approved restricted pilot while a qualified human inspector remains final authority and false-negative/safety-related performance has been adequately validated.</w:t>
      </w:r>
    </w:p>
    <w:p>
      <w:pPr>
        <w:pStyle w:val="ListBullet"/>
        <w:keepLines/>
        <w:spacing w:after="50"/>
      </w:pPr>
      <w:r>
        <w:rPr>
          <w:rFonts w:ascii="Aptos" w:hAnsi="Aptos"/>
          <w:sz w:val="19"/>
        </w:rPr>
        <w:t>AI-generated troubleshooting, warranty, engineering, or safety information must not create unauthorized customer commitments or replace required specialist advice or product procedures.</w:t>
      </w:r>
    </w:p>
    <w:p>
      <w:pPr>
        <w:pStyle w:val="ListBullet"/>
        <w:keepLines/>
        <w:spacing w:after="50"/>
      </w:pPr>
      <w:r>
        <w:rPr>
          <w:rFonts w:ascii="Aptos" w:hAnsi="Aptos"/>
          <w:sz w:val="19"/>
        </w:rPr>
        <w:t>Any proposal to allow AI to directly control mechanical movement, perform a safety function, autonomously accept/reject products, or bypass existing product-release authority is a material change requiring reassessment before implementation.</w:t>
      </w:r>
    </w:p>
    <w:p>
      <w:pPr>
        <w:pStyle w:val="Heading1"/>
        <w:keepNext/>
      </w:pPr>
      <w:r>
        <w:t>13. Third-Party AI and Procurement</w:t>
      </w:r>
    </w:p>
    <w:p>
      <w:pPr>
        <w:spacing w:after="100" w:line="259" w:lineRule="auto"/>
      </w:pPr>
      <w:r>
        <w:rPr>
          <w:rFonts w:ascii="Aptos" w:hAnsi="Aptos"/>
          <w:sz w:val="19"/>
        </w:rPr>
        <w:t>Material third-party AI must not bypass vendor due diligence because it is accessed through an API, embedded feature, browser extension, free trial, or existing SaaS subscription. Procurement and the relevant specialist functions must evaluate the provider and intended use before material adoption.</w:t>
      </w:r>
    </w:p>
    <w:p>
      <w:pPr>
        <w:pStyle w:val="ListBullet"/>
        <w:keepLines/>
        <w:spacing w:after="50"/>
      </w:pPr>
      <w:r>
        <w:rPr>
          <w:rFonts w:ascii="Aptos" w:hAnsi="Aptos"/>
          <w:sz w:val="19"/>
        </w:rPr>
        <w:t>At minimum, the review should consider security, privacy, data use, retention, model training practices, subprocessors, service changes, incident notification, availability/resilience, intellectual-property terms, audit/evidence availability, and exit arrangements as relevant.</w:t>
      </w:r>
    </w:p>
    <w:p>
      <w:pPr>
        <w:pStyle w:val="ListBullet"/>
        <w:keepLines/>
        <w:spacing w:after="50"/>
      </w:pPr>
      <w:r>
        <w:rPr>
          <w:rFonts w:ascii="Aptos" w:hAnsi="Aptos"/>
          <w:sz w:val="19"/>
        </w:rPr>
        <w:t>Business owners must identify material dependency on a provider or model and maintain an appropriate fallback, transition, or exit approach where service failure could materially disrupt Duckworks.</w:t>
      </w:r>
    </w:p>
    <w:p>
      <w:pPr>
        <w:pStyle w:val="ListBullet"/>
        <w:keepLines/>
        <w:spacing w:after="50"/>
      </w:pPr>
      <w:r>
        <w:rPr>
          <w:rFonts w:ascii="Aptos" w:hAnsi="Aptos"/>
          <w:sz w:val="19"/>
        </w:rPr>
        <w:t>A provider's marketing claims, certifications, benchmark results, or contractual disclaimers do not replace Duckworks' own risk assessment or approval decision.</w:t>
      </w:r>
    </w:p>
    <w:p>
      <w:pPr>
        <w:pStyle w:val="ListBullet"/>
        <w:keepLines/>
        <w:spacing w:after="50"/>
      </w:pPr>
      <w:r>
        <w:rPr>
          <w:rFonts w:ascii="Aptos" w:hAnsi="Aptos"/>
          <w:sz w:val="19"/>
        </w:rPr>
        <w:t>Material provider, model, terms-of-service, data-use, hosting, or subprocessor changes must be evaluated as potential reassessment triggers.</w:t>
      </w:r>
    </w:p>
    <w:p>
      <w:pPr>
        <w:pStyle w:val="Heading1"/>
        <w:keepNext/>
      </w:pPr>
      <w:r>
        <w:t>14. Shadow AI and Employee Experimentation</w:t>
      </w:r>
    </w:p>
    <w:p>
      <w:pPr>
        <w:spacing w:after="100" w:line="259" w:lineRule="auto"/>
      </w:pPr>
      <w:r>
        <w:rPr>
          <w:rFonts w:ascii="Aptos" w:hAnsi="Aptos"/>
          <w:sz w:val="19"/>
        </w:rPr>
        <w:t>Duckworks supports experimentation, but experimentation must occur within defined boundaries. The use of unapproved public AI services, plugins, extensions, or AI-enabled SaaS for Duckworks work is not exempt from governance merely because it is informal, temporary, free, or initiated by an individual employee.</w:t>
      </w:r>
    </w:p>
    <w:p>
      <w:pPr>
        <w:pStyle w:val="ListBullet"/>
        <w:keepLines/>
        <w:spacing w:after="50"/>
      </w:pPr>
      <w:r>
        <w:rPr>
          <w:rFonts w:ascii="Aptos" w:hAnsi="Aptos"/>
          <w:sz w:val="19"/>
        </w:rPr>
        <w:t>Employees must use the approved enterprise AI environment for Duckworks content where one is available and suitable.</w:t>
      </w:r>
    </w:p>
    <w:p>
      <w:pPr>
        <w:pStyle w:val="ListBullet"/>
        <w:keepLines/>
        <w:spacing w:after="50"/>
      </w:pPr>
      <w:r>
        <w:rPr>
          <w:rFonts w:ascii="Aptos" w:hAnsi="Aptos"/>
          <w:sz w:val="19"/>
        </w:rPr>
        <w:t>Users must not upload sensitive Duckworks information to unapproved public AI services.</w:t>
      </w:r>
    </w:p>
    <w:p>
      <w:pPr>
        <w:pStyle w:val="ListBullet"/>
        <w:keepLines/>
        <w:spacing w:after="50"/>
      </w:pPr>
      <w:r>
        <w:rPr>
          <w:rFonts w:ascii="Aptos" w:hAnsi="Aptos"/>
          <w:sz w:val="19"/>
        </w:rPr>
        <w:t>Employees discovering an unregistered AI use case that is already relied upon for business operations must report it so it can be decomposed, inventoried, and assessed rather than concealed or normalized.</w:t>
      </w:r>
    </w:p>
    <w:p>
      <w:pPr>
        <w:pStyle w:val="ListBullet"/>
        <w:keepLines/>
        <w:spacing w:after="50"/>
      </w:pPr>
      <w:r>
        <w:rPr>
          <w:rFonts w:ascii="Aptos" w:hAnsi="Aptos"/>
          <w:sz w:val="19"/>
        </w:rPr>
        <w:t>IT and Security may use proportionate discovery, access-control, network, endpoint, browser, or SaaS-management measures to identify and contain unapproved AI use, subject to applicable privacy and employment requirements.</w:t>
      </w:r>
    </w:p>
    <w:p>
      <w:pPr>
        <w:pStyle w:val="ListBullet"/>
        <w:keepLines/>
        <w:spacing w:after="50"/>
      </w:pPr>
      <w:r>
        <w:rPr>
          <w:rFonts w:ascii="Aptos" w:hAnsi="Aptos"/>
          <w:sz w:val="19"/>
        </w:rPr>
        <w:t>Unregistered GenAI Usage is treated as an organizational condition containing multiple individual use cases. Each material use case must be identified and governed separately.</w:t>
      </w:r>
    </w:p>
    <w:p>
      <w:pPr>
        <w:pStyle w:val="Heading1"/>
        <w:keepNext/>
      </w:pPr>
      <w:r>
        <w:t>15. Transparency and AI-Generated Content</w:t>
      </w:r>
    </w:p>
    <w:p>
      <w:pPr>
        <w:pStyle w:val="ListBullet"/>
        <w:keepLines/>
        <w:spacing w:after="50"/>
      </w:pPr>
      <w:r>
        <w:rPr>
          <w:rFonts w:ascii="Aptos" w:hAnsi="Aptos"/>
          <w:sz w:val="19"/>
        </w:rPr>
        <w:t>AI involvement must be disclosed where required by applicable law, contractual obligation, customer design, or Duckworks process.</w:t>
      </w:r>
    </w:p>
    <w:p>
      <w:pPr>
        <w:pStyle w:val="ListBullet"/>
        <w:keepLines/>
        <w:spacing w:after="50"/>
      </w:pPr>
      <w:r>
        <w:rPr>
          <w:rFonts w:ascii="Aptos" w:hAnsi="Aptos"/>
          <w:sz w:val="19"/>
        </w:rPr>
        <w:t>Users must not intentionally misrepresent AI-generated content as a human-authored expert opinion, validated test result, audited evidence, or independently verified analysis where that distinction is material.</w:t>
      </w:r>
    </w:p>
    <w:p>
      <w:pPr>
        <w:pStyle w:val="ListBullet"/>
        <w:keepLines/>
        <w:spacing w:after="50"/>
      </w:pPr>
      <w:r>
        <w:rPr>
          <w:rFonts w:ascii="Aptos" w:hAnsi="Aptos"/>
          <w:sz w:val="19"/>
        </w:rPr>
        <w:t>Externally published AI-generated or AI-assisted content must follow the same review, approval, confidentiality, brand, legal, and intellectual-property requirements as other Duckworks content.</w:t>
      </w:r>
    </w:p>
    <w:p>
      <w:pPr>
        <w:pStyle w:val="ListBullet"/>
        <w:keepLines/>
        <w:spacing w:after="50"/>
      </w:pPr>
      <w:r>
        <w:rPr>
          <w:rFonts w:ascii="Aptos" w:hAnsi="Aptos"/>
          <w:sz w:val="19"/>
        </w:rPr>
        <w:t>Material system records should preserve sufficient information to reconstruct the approved purpose, model/provider or version, key inputs/data sources where appropriate, human decision role, testing, approvals, incidents, and monitoring. The policy does not require indiscriminate retention of every user prompt.</w:t>
      </w:r>
    </w:p>
    <w:p>
      <w:pPr>
        <w:pStyle w:val="Heading1"/>
        <w:keepNext/>
      </w:pPr>
      <w:r>
        <w:t>16. Records, Evidence, Monitoring, and Reassessment</w:t>
      </w:r>
    </w:p>
    <w:p>
      <w:pPr>
        <w:spacing w:after="100" w:line="259" w:lineRule="auto"/>
      </w:pPr>
      <w:r>
        <w:rPr>
          <w:rFonts w:ascii="Aptos" w:hAnsi="Aptos"/>
          <w:sz w:val="19"/>
        </w:rPr>
        <w:t>Duckworks must be able to demonstrate how material AI governance decisions were made and whether required controls operate. Evidence depth should be proportionate to impact and risk.</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Evidence Area</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Examples of Required Evidence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Inventory and purpose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AI ID, owner, lifecycle state, intended purpose, users/affected parties, data categories, provider/model, integrations, human-oversight boundary.</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Assessment</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Risk classification, risk scenarios, impact assessment, legal/privacy/security/safety reviews where applicable, current and target risk.</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Approval and treatment</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Approval decision, conditions, exceptions, risk acceptance, assigned actions, owners, due dates.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Testing and validation</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Relevant performance, security, fairness, quality, safety, fallback, or user-acceptance evidence.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Monitoring</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KPIs/KRIs, drift/error trends, complaints, overrides, incidents, vendor/model changes, control failures, review dates.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Change and retirement</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Material-change assessment, reassessment decision, suspension, decommissioning, data/credential cleanup, retained evidence.</w:t>
            </w:r>
          </w:p>
        </w:tc>
      </w:tr>
    </w:tbl>
    <w:p>
      <w:pPr>
        <w:spacing w:after="0"/>
      </w:pPr>
    </w:p>
    <w:p>
      <w:pPr>
        <w:spacing w:after="100" w:line="259" w:lineRule="auto"/>
      </w:pPr>
      <w:r>
        <w:rPr>
          <w:rFonts w:ascii="Aptos" w:hAnsi="Aptos"/>
          <w:sz w:val="19"/>
        </w:rPr>
        <w:t>Reassessment is required when a material change could affect intended purpose, autonomy, decision authority, provider/model, data, affected population, permissions, integration, geography, risk, control effectiveness, or legal applicability; or after a significant incident, complaint, performance threshold breach, or control failure.</w:t>
      </w:r>
    </w:p>
    <w:p>
      <w:pPr>
        <w:pStyle w:val="Heading1"/>
        <w:keepNext/>
      </w:pPr>
      <w:r>
        <w:t>17. Incident Reporting and Stop-Use Criteria</w:t>
      </w:r>
    </w:p>
    <w:p>
      <w:pPr>
        <w:spacing w:after="100" w:line="259" w:lineRule="auto"/>
      </w:pPr>
      <w:r>
        <w:rPr>
          <w:rFonts w:ascii="Aptos" w:hAnsi="Aptos"/>
          <w:sz w:val="19"/>
        </w:rPr>
        <w:t>Users must promptly stop, contain, or escalate AI use when continued operation could cause material harm or worsen an incident. Where immediate shutdown would itself create safety or operational risk, the responsible owner must use the approved fallback and escalation procedure.</w:t>
      </w:r>
    </w:p>
    <w:p>
      <w:pPr>
        <w:pStyle w:val="ListBullet"/>
        <w:keepLines/>
        <w:spacing w:after="50"/>
      </w:pPr>
      <w:r>
        <w:rPr>
          <w:rFonts w:ascii="Aptos" w:hAnsi="Aptos"/>
          <w:sz w:val="19"/>
        </w:rPr>
        <w:t>Suspected confidential or personal data leakage, unauthorized access, credential exposure, or cross-user information disclosure.</w:t>
      </w:r>
    </w:p>
    <w:p>
      <w:pPr>
        <w:pStyle w:val="ListBullet"/>
        <w:keepLines/>
        <w:spacing w:after="50"/>
      </w:pPr>
      <w:r>
        <w:rPr>
          <w:rFonts w:ascii="Aptos" w:hAnsi="Aptos"/>
          <w:sz w:val="19"/>
        </w:rPr>
        <w:t>Successful or suspected prompt injection, retrieval poisoning, malicious tool execution, model/service compromise, or abnormal unauthorized behavior.</w:t>
      </w:r>
    </w:p>
    <w:p>
      <w:pPr>
        <w:pStyle w:val="ListBullet"/>
        <w:keepLines/>
        <w:spacing w:after="50"/>
      </w:pPr>
      <w:r>
        <w:rPr>
          <w:rFonts w:ascii="Aptos" w:hAnsi="Aptos"/>
          <w:sz w:val="19"/>
        </w:rPr>
        <w:t>Repeated or material hallucinations, dangerous recommendations, incorrect customer commitments, or unsafe engineering/manufacturing outputs.</w:t>
      </w:r>
    </w:p>
    <w:p>
      <w:pPr>
        <w:pStyle w:val="ListBullet"/>
        <w:keepLines/>
        <w:spacing w:after="50"/>
      </w:pPr>
      <w:r>
        <w:rPr>
          <w:rFonts w:ascii="Aptos" w:hAnsi="Aptos"/>
          <w:sz w:val="19"/>
        </w:rPr>
        <w:t>Discriminatory or materially unfair outcomes, complaints involving employment or other consequential decisions, or loss of meaningful human review.</w:t>
      </w:r>
    </w:p>
    <w:p>
      <w:pPr>
        <w:pStyle w:val="ListBullet"/>
        <w:keepLines/>
        <w:spacing w:after="50"/>
      </w:pPr>
      <w:r>
        <w:rPr>
          <w:rFonts w:ascii="Aptos" w:hAnsi="Aptos"/>
          <w:sz w:val="19"/>
        </w:rPr>
        <w:t>Significant model drift, sudden performance degradation, vendor/model change, expired evidence, or control failure that invalidates the approved risk assessment.</w:t>
      </w:r>
    </w:p>
    <w:p>
      <w:pPr>
        <w:pStyle w:val="ListBullet"/>
        <w:keepLines/>
        <w:spacing w:after="50"/>
      </w:pPr>
      <w:r>
        <w:rPr>
          <w:rFonts w:ascii="Aptos" w:hAnsi="Aptos"/>
          <w:sz w:val="19"/>
        </w:rPr>
        <w:t>Any AI use discovered in production without the required owner, registration, assessment, approval, or controls.</w:t>
      </w:r>
    </w:p>
    <w:p>
      <w:pPr>
        <w:pStyle w:val="Heading1"/>
        <w:keepNext/>
      </w:pPr>
      <w:r>
        <w:t>18. Roles and Responsibilities</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Role</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Responsibility</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CEO / Executive Management</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Set AI ambition and risk appetite, resolve enterprise-level conflicts, and decide exceptional escalations outside delegated authority.</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Chief Risk &amp; Compliance Officer</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Own this policy and the AI governance framework; chair or sponsor governance decisions, methodology, escalation, and aggregate risk oversight.</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AI Governance Lead</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Administer the inventory, intake, assessments, committee packs, evidence expectations, policy maintenance, metrics, and day-to-day governance workflow.</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Business / AI System Owner</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Own intended purpose, business value, affected stakeholders, operating controls, treatment actions, monitoring, and use within the approved boundary.</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Technical Owner / Data &amp; AI</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Own architecture, implementation, model/service configuration, testing, technical evidence, monitoring design, and material-change notification.</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CISO / Information Security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Set AI security requirements, perform security challenge, assess integrations and data leakage risk, support incident response, and define security acceptance criteria.</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Legal / DPO / HR / Product Safety</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Provide specialist review for applicable legal, privacy, employment, equality, product, safety, rights, or contractual issues. Their review is required where the relevant domain is materially affected.</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Procurement / Vendor Assurance</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Perform AI supplier due diligence, contractual review coordination, renewal checks, and exit/change governance.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Internal Audit</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Provide independent assurance over design and operating effectiveness. Internal Audit must not own or operate first- or second-line controls it may later assess.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All users</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Follow this policy, use approved tools, protect information, verify outputs, maintain human accountability, complete required training, and report incidents or unregistered use.</w:t>
            </w:r>
          </w:p>
        </w:tc>
      </w:tr>
    </w:tbl>
    <w:p>
      <w:pPr>
        <w:spacing w:after="0"/>
      </w:pPr>
    </w:p>
    <w:p>
      <w:pPr>
        <w:pStyle w:val="Heading1"/>
        <w:keepNext/>
      </w:pPr>
      <w:r>
        <w:t>19. Exceptions</w:t>
      </w:r>
    </w:p>
    <w:p>
      <w:pPr>
        <w:spacing w:after="100" w:line="259" w:lineRule="auto"/>
      </w:pPr>
      <w:r>
        <w:rPr>
          <w:rFonts w:ascii="Aptos" w:hAnsi="Aptos"/>
          <w:sz w:val="19"/>
        </w:rPr>
        <w:t>An exception may be granted only where the proposed use is not unlawful, the business need is documented, risk is assessed, compensating controls are defined, and the approving authority has the necessary delegated risk authority.</w:t>
      </w:r>
    </w:p>
    <w:p>
      <w:pPr>
        <w:pStyle w:val="ListBullet"/>
        <w:keepLines/>
        <w:spacing w:after="50"/>
      </w:pPr>
      <w:r>
        <w:rPr>
          <w:rFonts w:ascii="Aptos" w:hAnsi="Aptos"/>
          <w:sz w:val="19"/>
        </w:rPr>
        <w:t>Exceptions must identify the system/use case, purpose, owner, scope, rationale, risk, data involved, compensating controls, approver, start date, expiry date, and monitoring requirements.</w:t>
      </w:r>
    </w:p>
    <w:p>
      <w:pPr>
        <w:pStyle w:val="ListBullet"/>
        <w:keepLines/>
        <w:spacing w:after="50"/>
      </w:pPr>
      <w:r>
        <w:rPr>
          <w:rFonts w:ascii="Aptos" w:hAnsi="Aptos"/>
          <w:sz w:val="19"/>
        </w:rPr>
        <w:t>High or Critical residual-risk exceptions require escalation under the Duckworks risk methodology and cannot be approved solely by the requesting business owner.</w:t>
      </w:r>
    </w:p>
    <w:p>
      <w:pPr>
        <w:pStyle w:val="ListBullet"/>
        <w:keepLines/>
        <w:spacing w:after="50"/>
      </w:pPr>
      <w:r>
        <w:rPr>
          <w:rFonts w:ascii="Aptos" w:hAnsi="Aptos"/>
          <w:sz w:val="19"/>
        </w:rPr>
        <w:t>No exception may authorize deliberate circumvention of a binding legal requirement or remove required specialist review where law or Duckworks governance requires it.</w:t>
      </w:r>
    </w:p>
    <w:p>
      <w:pPr>
        <w:pStyle w:val="ListBullet"/>
        <w:keepLines/>
        <w:spacing w:after="50"/>
      </w:pPr>
      <w:r>
        <w:rPr>
          <w:rFonts w:ascii="Aptos" w:hAnsi="Aptos"/>
          <w:sz w:val="19"/>
        </w:rPr>
        <w:t>Exceptions expire when the approved period ends or when a material assumption, provider/model, data scope, use, or control changes.</w:t>
      </w:r>
    </w:p>
    <w:p>
      <w:pPr>
        <w:pStyle w:val="Heading1"/>
        <w:keepNext/>
      </w:pPr>
      <w:r>
        <w:t>20. Training and AI Literacy</w:t>
      </w:r>
    </w:p>
    <w:p>
      <w:pPr>
        <w:spacing w:after="100" w:line="259" w:lineRule="auto"/>
      </w:pPr>
      <w:r>
        <w:rPr>
          <w:rFonts w:ascii="Aptos" w:hAnsi="Aptos"/>
          <w:sz w:val="19"/>
        </w:rPr>
        <w:t>Duckworks requires role-appropriate AI training as an internal governance practice. Training depth must reflect the user's authority and the potential impact of the systems they use or oversee.</w:t>
      </w:r>
    </w:p>
    <w:p>
      <w:pPr>
        <w:pStyle w:val="ListBullet"/>
        <w:keepLines/>
        <w:spacing w:after="50"/>
      </w:pPr>
      <w:r>
        <w:rPr>
          <w:rFonts w:ascii="Aptos" w:hAnsi="Aptos"/>
          <w:sz w:val="19"/>
        </w:rPr>
        <w:t>All users: approved tools, data restrictions, hallucination/error awareness, prompt confidentiality, reporting, and prohibited uses.</w:t>
      </w:r>
    </w:p>
    <w:p>
      <w:pPr>
        <w:pStyle w:val="ListBullet"/>
        <w:keepLines/>
        <w:spacing w:after="50"/>
      </w:pPr>
      <w:r>
        <w:rPr>
          <w:rFonts w:ascii="Aptos" w:hAnsi="Aptos"/>
          <w:sz w:val="19"/>
        </w:rPr>
        <w:t>System owners: intended-purpose discipline, risk and impact assessment, approval conditions, monitoring, evidence, and reassessment triggers.</w:t>
      </w:r>
    </w:p>
    <w:p>
      <w:pPr>
        <w:pStyle w:val="ListBullet"/>
        <w:keepLines/>
        <w:spacing w:after="50"/>
      </w:pPr>
      <w:r>
        <w:rPr>
          <w:rFonts w:ascii="Aptos" w:hAnsi="Aptos"/>
          <w:sz w:val="19"/>
        </w:rPr>
        <w:t>Developers and technical teams: AI security, data/model lifecycle, evaluation, change control, logging, testing, and third-party/model supply-chain risk.</w:t>
      </w:r>
    </w:p>
    <w:p>
      <w:pPr>
        <w:pStyle w:val="ListBullet"/>
        <w:keepLines/>
        <w:spacing w:after="50"/>
      </w:pPr>
      <w:r>
        <w:rPr>
          <w:rFonts w:ascii="Aptos" w:hAnsi="Aptos"/>
          <w:sz w:val="19"/>
        </w:rPr>
        <w:t>Recruiters, inspectors, engineers, customer support, and other consequential users: automation bias, override authority, error patterns, escalation, and domain-specific review responsibilities.</w:t>
      </w:r>
    </w:p>
    <w:p>
      <w:pPr>
        <w:pStyle w:val="ListBullet"/>
        <w:keepLines/>
        <w:spacing w:after="50"/>
      </w:pPr>
      <w:r>
        <w:rPr>
          <w:rFonts w:ascii="Aptos" w:hAnsi="Aptos"/>
          <w:sz w:val="19"/>
        </w:rPr>
        <w:t>Governance and assurance functions: legal/regulatory triage, risk methodology, control evidence, monitoring, incident governance, and independent assurance boundaries.</w:t>
      </w:r>
    </w:p>
    <w:p>
      <w:pPr>
        <w:pStyle w:val="Heading1"/>
        <w:keepNext/>
      </w:pPr>
      <w:r>
        <w:t>21. Compliance, Enforcement, and Review</w:t>
      </w:r>
    </w:p>
    <w:p>
      <w:pPr>
        <w:spacing w:after="100" w:line="259" w:lineRule="auto"/>
      </w:pPr>
      <w:r>
        <w:rPr>
          <w:rFonts w:ascii="Aptos" w:hAnsi="Aptos"/>
          <w:sz w:val="19"/>
        </w:rPr>
        <w:t>Use of Duckworks AI resources is conditional on compliance with this policy and related security, privacy, HR, procurement, engineering, development, and records requirements. Suspected non-compliance should be handled proportionately through the applicable management, HR, security, legal, or risk process.</w:t>
      </w:r>
    </w:p>
    <w:p>
      <w:pPr>
        <w:spacing w:after="100" w:line="259" w:lineRule="auto"/>
      </w:pPr>
      <w:r>
        <w:rPr>
          <w:rFonts w:ascii="Aptos" w:hAnsi="Aptos"/>
          <w:sz w:val="19"/>
        </w:rPr>
        <w:t>The policy owner must review this policy at least annually and earlier when there is a material change to Duckworks AI use, risk appetite, organizational roles, legal context, major provider/model architecture, significant incident, or control/assurance finding. Policy changes must be version-controlled and communicated to affected users.</w:t>
      </w:r>
    </w:p>
    <w:tbl>
      <w:tblPr>
        <w:tblW w:type="auto" w:w="0"/>
        <w:tblLayout w:type="fixed"/>
        <w:tblLook w:firstColumn="1" w:firstRow="1" w:lastColumn="0" w:lastRow="0" w:noHBand="0" w:noVBand="1" w:val="04A0"/>
        <w:jc w:val="center"/>
        <w:tblBorders>
          <w:top w:val="single" w:sz="0" w:space="0" w:color="FFF7E6"/>
          <w:left w:val="single" w:sz="0" w:space="0" w:color="FFF7E6"/>
          <w:bottom w:val="single" w:sz="0" w:space="0" w:color="FFF7E6"/>
          <w:right w:val="single" w:sz="0" w:space="0" w:color="FFF7E6"/>
          <w:insideH w:val="single" w:sz="0" w:space="0" w:color="FFF7E6"/>
          <w:insideV w:val="single" w:sz="0" w:space="0" w:color="FFF7E6"/>
        </w:tblBorders>
      </w:tblPr>
      <w:tblGrid>
        <w:gridCol w:w="10152"/>
      </w:tblGrid>
      <w:tr>
        <w:tc>
          <w:tcPr>
            <w:tcW w:type="dxa" w:w="10396"/>
            <w:shd w:fill="FFF7E6"/>
            <w:tcMar>
              <w:top w:w="120" w:type="dxa"/>
              <w:start w:w="140" w:type="dxa"/>
              <w:bottom w:w="120" w:type="dxa"/>
              <w:end w:w="140" w:type="dxa"/>
            </w:tcMar>
          </w:tcPr>
          <w:p>
            <w:pPr>
              <w:keepLines/>
              <w:spacing w:after="40"/>
            </w:pPr>
            <w:r>
              <w:rPr>
                <w:rFonts w:ascii="Aptos" w:hAnsi="Aptos"/>
                <w:b/>
                <w:color w:val="8A5A00"/>
                <w:sz w:val="19"/>
              </w:rPr>
              <w:t>Important boundary</w:t>
            </w:r>
          </w:p>
          <w:p>
            <w:pPr>
              <w:keepLines/>
              <w:spacing w:after="0"/>
            </w:pPr>
            <w:r>
              <w:rPr>
                <w:rFonts w:ascii="Aptos" w:hAnsi="Aptos"/>
                <w:color w:val="253746"/>
                <w:sz w:val="18"/>
              </w:rPr>
              <w:t>Approval of this policy does not approve every AI system for production. Each material use case remains subject to its own lifecycle gate, risk/impact assessment, specialist review, controls, evidence, and monitoring requirements.</w:t>
            </w:r>
          </w:p>
        </w:tc>
      </w:tr>
    </w:tbl>
    <w:p>
      <w:pPr>
        <w:spacing w:after="0"/>
      </w:pPr>
    </w:p>
    <w:p>
      <w:pPr>
        <w:pStyle w:val="Heading1"/>
        <w:keepNext/>
      </w:pPr>
      <w:r>
        <w:t>Appendix A - Quick Responsible-Use Decision Check</w:t>
      </w:r>
    </w:p>
    <w:p>
      <w:pPr>
        <w:spacing w:after="100" w:line="259" w:lineRule="auto"/>
      </w:pPr>
      <w:r>
        <w:rPr>
          <w:rFonts w:ascii="Aptos" w:hAnsi="Aptos"/>
          <w:sz w:val="19"/>
        </w:rPr>
        <w:t>Before using AI for Duckworks work, the user should be able to answer the following questions. A "No" or "Unknown" answer to a material question requires clarification or escalation before proceeding.</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792"/>
            <w:shd w:fill="17365D"/>
            <w:vAlign w:val="center"/>
            <w:tcMar>
              <w:top w:w="80" w:type="dxa"/>
              <w:start w:w="90" w:type="dxa"/>
              <w:bottom w:w="80" w:type="dxa"/>
              <w:end w:w="90" w:type="dxa"/>
            </w:tcMar>
          </w:tcPr>
          <w:p>
            <w:pPr>
              <w:keepLines/>
              <w:spacing w:after="0" w:before="0"/>
            </w:pPr>
            <w:r/>
            <w:r>
              <w:rPr>
                <w:rFonts w:ascii="Aptos" w:hAnsi="Aptos"/>
                <w:b/>
                <w:color w:val="FFFFFF"/>
                <w:sz w:val="17"/>
              </w:rPr>
              <w:t>Check</w:t>
            </w:r>
          </w:p>
        </w:tc>
        <w:tc>
          <w:tcPr>
            <w:tcW w:type="dxa" w:w="9288"/>
            <w:shd w:fill="17365D"/>
            <w:vAlign w:val="center"/>
            <w:tcMar>
              <w:top w:w="80" w:type="dxa"/>
              <w:start w:w="90" w:type="dxa"/>
              <w:bottom w:w="80" w:type="dxa"/>
              <w:end w:w="90" w:type="dxa"/>
            </w:tcMar>
          </w:tcPr>
          <w:p>
            <w:pPr>
              <w:keepLines/>
              <w:spacing w:after="0" w:before="0"/>
            </w:pPr>
            <w:r/>
            <w:r>
              <w:rPr>
                <w:rFonts w:ascii="Aptos" w:hAnsi="Aptos"/>
                <w:b/>
                <w:color w:val="FFFFFF"/>
                <w:sz w:val="17"/>
              </w:rPr>
              <w:t>Question</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1</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Is the AI tool/service approved for this intended purpose and lifecycle stage?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2</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Am I authorized to provide the data, documents, code, repositories, or context I plan to use?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3</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Could the use materially affect a person, customer, product, safety, employment, financial commitment, or legal obligation? If yes, has enhanced review occurred?</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4</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Do I know who is accountable for the output and who can review, override, escalate, or stop it?</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5</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Have I considered accuracy, hallucination, fairness, security, privacy, IP, and third-party risks proportionate to the task?</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6</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Will the output be independently checked before it becomes a material decision, external communication, production change, or evidence record?</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7</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If something goes wrong, do I know the escalation path and fallback?</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8</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Is this use registered and evidenced at the level required by its risk and impact?</w:t>
            </w:r>
          </w:p>
        </w:tc>
      </w:tr>
    </w:tbl>
    <w:p>
      <w:pPr>
        <w:spacing w:after="0"/>
      </w:pPr>
    </w:p>
    <w:p>
      <w:pPr>
        <w:pStyle w:val="Heading1"/>
        <w:keepNext/>
      </w:pPr>
      <w:r>
        <w:t>Appendix B - Current Duckworks System Governance Gates</w:t>
      </w:r>
    </w:p>
    <w:p>
      <w:pPr>
        <w:spacing w:after="100" w:line="259" w:lineRule="auto"/>
      </w:pPr>
      <w:r>
        <w:rPr>
          <w:rFonts w:ascii="Aptos" w:hAnsi="Aptos"/>
          <w:sz w:val="19"/>
        </w:rPr>
        <w:t>The following gates reflect the existing Project W.I.N.G. portfolio baseline. They are internal governance decisions, not statutory legal classifications. A later reassessment may change them.</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599"/>
        <w:gridCol w:w="2599"/>
        <w:gridCol w:w="2599"/>
        <w:gridCol w:w="2599"/>
      </w:tblGrid>
      <w:tr>
        <w:trPr>
          <w:tblHeader w:val="true"/>
        </w:trPr>
        <w:tc>
          <w:tcPr>
            <w:tcW w:type="dxa" w:w="936"/>
            <w:shd w:fill="17365D"/>
            <w:vAlign w:val="center"/>
            <w:tcMar>
              <w:top w:w="80" w:type="dxa"/>
              <w:start w:w="90" w:type="dxa"/>
              <w:bottom w:w="80" w:type="dxa"/>
              <w:end w:w="90" w:type="dxa"/>
            </w:tcMar>
          </w:tcPr>
          <w:p>
            <w:pPr>
              <w:keepLines/>
              <w:spacing w:after="0" w:before="0"/>
            </w:pPr>
            <w:r/>
            <w:r>
              <w:rPr>
                <w:rFonts w:ascii="Aptos" w:hAnsi="Aptos"/>
                <w:b/>
                <w:color w:val="FFFFFF"/>
                <w:sz w:val="16"/>
              </w:rPr>
              <w:t>ID</w:t>
            </w:r>
          </w:p>
        </w:tc>
        <w:tc>
          <w:tcPr>
            <w:tcW w:type="dxa" w:w="1944"/>
            <w:shd w:fill="17365D"/>
            <w:vAlign w:val="center"/>
            <w:tcMar>
              <w:top w:w="80" w:type="dxa"/>
              <w:start w:w="90" w:type="dxa"/>
              <w:bottom w:w="80" w:type="dxa"/>
              <w:end w:w="90" w:type="dxa"/>
            </w:tcMar>
          </w:tcPr>
          <w:p>
            <w:pPr>
              <w:keepLines/>
              <w:spacing w:after="0" w:before="0"/>
            </w:pPr>
            <w:r/>
            <w:r>
              <w:rPr>
                <w:rFonts w:ascii="Aptos" w:hAnsi="Aptos"/>
                <w:b/>
                <w:color w:val="FFFFFF"/>
                <w:sz w:val="16"/>
              </w:rPr>
              <w:t>System</w:t>
            </w:r>
          </w:p>
        </w:tc>
        <w:tc>
          <w:tcPr>
            <w:tcW w:type="dxa" w:w="2448"/>
            <w:shd w:fill="17365D"/>
            <w:vAlign w:val="center"/>
            <w:tcMar>
              <w:top w:w="80" w:type="dxa"/>
              <w:start w:w="90" w:type="dxa"/>
              <w:bottom w:w="80" w:type="dxa"/>
              <w:end w:w="90" w:type="dxa"/>
            </w:tcMar>
          </w:tcPr>
          <w:p>
            <w:pPr>
              <w:keepLines/>
              <w:spacing w:after="0" w:before="0"/>
            </w:pPr>
            <w:r/>
            <w:r>
              <w:rPr>
                <w:rFonts w:ascii="Aptos" w:hAnsi="Aptos"/>
                <w:b/>
                <w:color w:val="FFFFFF"/>
                <w:sz w:val="16"/>
              </w:rPr>
              <w:t>Current Gate</w:t>
            </w:r>
          </w:p>
        </w:tc>
        <w:tc>
          <w:tcPr>
            <w:tcW w:type="dxa" w:w="4680"/>
            <w:shd w:fill="17365D"/>
            <w:vAlign w:val="center"/>
            <w:tcMar>
              <w:top w:w="80" w:type="dxa"/>
              <w:start w:w="90" w:type="dxa"/>
              <w:bottom w:w="80" w:type="dxa"/>
              <w:end w:w="90" w:type="dxa"/>
            </w:tcMar>
          </w:tcPr>
          <w:p>
            <w:pPr>
              <w:keepLines/>
              <w:spacing w:after="0" w:before="0"/>
            </w:pPr>
            <w:r/>
            <w:r>
              <w:rPr>
                <w:rFonts w:ascii="Aptos" w:hAnsi="Aptos"/>
                <w:b/>
                <w:color w:val="FFFFFF"/>
                <w:sz w:val="16"/>
              </w:rPr>
              <w:t>Minimum Conditions</w:t>
            </w:r>
          </w:p>
        </w:tc>
      </w:tr>
      <w:tr>
        <w:trPr>
          <w:cantSplit/>
        </w:trPr>
        <w:tc>
          <w:tcPr>
            <w:tcW w:type="dxa" w:w="2599"/>
            <w:vAlign w:val="center"/>
            <w:tcMar>
              <w:top w:w="80" w:type="dxa"/>
              <w:start w:w="90" w:type="dxa"/>
              <w:bottom w:w="80" w:type="dxa"/>
              <w:end w:w="90" w:type="dxa"/>
            </w:tcMar>
          </w:tcPr>
          <w:p>
            <w:pPr>
              <w:keepLines/>
              <w:spacing w:after="0" w:before="0"/>
            </w:pPr>
            <w:r/>
            <w:r>
              <w:rPr>
                <w:rFonts w:ascii="Aptos" w:hAnsi="Aptos"/>
                <w:b w:val="0"/>
                <w:sz w:val="15"/>
              </w:rPr>
              <w:t>AI-001</w:t>
            </w:r>
          </w:p>
        </w:tc>
        <w:tc>
          <w:tcPr>
            <w:tcW w:type="dxa" w:w="2599"/>
            <w:vAlign w:val="center"/>
            <w:tcMar>
              <w:top w:w="80" w:type="dxa"/>
              <w:start w:w="90" w:type="dxa"/>
              <w:bottom w:w="80" w:type="dxa"/>
              <w:end w:w="90" w:type="dxa"/>
            </w:tcMar>
          </w:tcPr>
          <w:p>
            <w:pPr>
              <w:keepLines/>
              <w:spacing w:after="0" w:before="0"/>
            </w:pPr>
            <w:r/>
            <w:r>
              <w:rPr>
                <w:rFonts w:ascii="Aptos" w:hAnsi="Aptos"/>
                <w:b/>
                <w:color w:val="17365D"/>
                <w:sz w:val="15"/>
              </w:rPr>
              <w:t>DuckDesign AI</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Restricted pilot only</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Competent engineer review; design validation; IP/data controls; no autonomous release to production design.</w:t>
            </w:r>
          </w:p>
        </w:tc>
      </w:tr>
      <w:tr>
        <w:trPr>
          <w:cantSplit/>
        </w:trPr>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AI-002</w:t>
            </w:r>
          </w:p>
        </w:tc>
        <w:tc>
          <w:tcPr>
            <w:tcW w:type="dxa" w:w="2599"/>
            <w:vAlign w:val="center"/>
            <w:tcMar>
              <w:top w:w="80" w:type="dxa"/>
              <w:start w:w="90" w:type="dxa"/>
              <w:bottom w:w="80" w:type="dxa"/>
              <w:end w:w="90" w:type="dxa"/>
            </w:tcMar>
            <w:shd w:fill="F3F5F7"/>
          </w:tcPr>
          <w:p>
            <w:pPr>
              <w:keepLines/>
              <w:spacing w:after="0" w:before="0"/>
            </w:pPr>
            <w:r/>
            <w:r>
              <w:rPr>
                <w:rFonts w:ascii="Aptos" w:hAnsi="Aptos"/>
                <w:b/>
                <w:color w:val="17365D"/>
                <w:sz w:val="15"/>
              </w:rPr>
              <w:t>QuackBot</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Production blocked pending gates</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Prompt/RAG security testing; safe escalation; content boundaries; monitoring; customer-impact safeguards.</w:t>
            </w:r>
          </w:p>
        </w:tc>
      </w:tr>
      <w:tr>
        <w:trPr>
          <w:cantSplit/>
        </w:trPr>
        <w:tc>
          <w:tcPr>
            <w:tcW w:type="dxa" w:w="2599"/>
            <w:vAlign w:val="center"/>
            <w:tcMar>
              <w:top w:w="80" w:type="dxa"/>
              <w:start w:w="90" w:type="dxa"/>
              <w:bottom w:w="80" w:type="dxa"/>
              <w:end w:w="90" w:type="dxa"/>
            </w:tcMar>
          </w:tcPr>
          <w:p>
            <w:pPr>
              <w:keepLines/>
              <w:spacing w:after="0" w:before="0"/>
            </w:pPr>
            <w:r/>
            <w:r>
              <w:rPr>
                <w:rFonts w:ascii="Aptos" w:hAnsi="Aptos"/>
                <w:b w:val="0"/>
                <w:sz w:val="15"/>
              </w:rPr>
              <w:t>AI-003</w:t>
            </w:r>
          </w:p>
        </w:tc>
        <w:tc>
          <w:tcPr>
            <w:tcW w:type="dxa" w:w="2599"/>
            <w:vAlign w:val="center"/>
            <w:tcMar>
              <w:top w:w="80" w:type="dxa"/>
              <w:start w:w="90" w:type="dxa"/>
              <w:bottom w:w="80" w:type="dxa"/>
              <w:end w:w="90" w:type="dxa"/>
            </w:tcMar>
          </w:tcPr>
          <w:p>
            <w:pPr>
              <w:keepLines/>
              <w:spacing w:after="0" w:before="0"/>
            </w:pPr>
            <w:r/>
            <w:r>
              <w:rPr>
                <w:rFonts w:ascii="Aptos" w:hAnsi="Aptos"/>
                <w:b/>
                <w:color w:val="17365D"/>
                <w:sz w:val="15"/>
              </w:rPr>
              <w:t>FeatherForecast</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Continue with monitoring</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Manager approval for material commitments; drift/performance monitoring; data-quality controls.</w:t>
            </w:r>
          </w:p>
        </w:tc>
      </w:tr>
      <w:tr>
        <w:trPr>
          <w:cantSplit/>
        </w:trPr>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AI-004</w:t>
            </w:r>
          </w:p>
        </w:tc>
        <w:tc>
          <w:tcPr>
            <w:tcW w:type="dxa" w:w="2599"/>
            <w:vAlign w:val="center"/>
            <w:tcMar>
              <w:top w:w="80" w:type="dxa"/>
              <w:start w:w="90" w:type="dxa"/>
              <w:bottom w:w="80" w:type="dxa"/>
              <w:end w:w="90" w:type="dxa"/>
            </w:tcMar>
            <w:shd w:fill="F3F5F7"/>
          </w:tcPr>
          <w:p>
            <w:pPr>
              <w:keepLines/>
              <w:spacing w:after="0" w:before="0"/>
            </w:pPr>
            <w:r/>
            <w:r>
              <w:rPr>
                <w:rFonts w:ascii="Aptos" w:hAnsi="Aptos"/>
                <w:b/>
                <w:color w:val="17365D"/>
                <w:sz w:val="15"/>
              </w:rPr>
              <w:t>WingInspect Vision</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Restricted pilot only</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Human inspector remains final authority; false-negative testing; no unvalidated safety-critical reliance.</w:t>
            </w:r>
          </w:p>
        </w:tc>
      </w:tr>
      <w:tr>
        <w:trPr>
          <w:cantSplit/>
        </w:trPr>
        <w:tc>
          <w:tcPr>
            <w:tcW w:type="dxa" w:w="2599"/>
            <w:vAlign w:val="center"/>
            <w:tcMar>
              <w:top w:w="80" w:type="dxa"/>
              <w:start w:w="90" w:type="dxa"/>
              <w:bottom w:w="80" w:type="dxa"/>
              <w:end w:w="90" w:type="dxa"/>
            </w:tcMar>
          </w:tcPr>
          <w:p>
            <w:pPr>
              <w:keepLines/>
              <w:spacing w:after="0" w:before="0"/>
            </w:pPr>
            <w:r/>
            <w:r>
              <w:rPr>
                <w:rFonts w:ascii="Aptos" w:hAnsi="Aptos"/>
                <w:b w:val="0"/>
                <w:sz w:val="15"/>
              </w:rPr>
              <w:t>AI-005</w:t>
            </w:r>
          </w:p>
        </w:tc>
        <w:tc>
          <w:tcPr>
            <w:tcW w:type="dxa" w:w="2599"/>
            <w:vAlign w:val="center"/>
            <w:tcMar>
              <w:top w:w="80" w:type="dxa"/>
              <w:start w:w="90" w:type="dxa"/>
              <w:bottom w:w="80" w:type="dxa"/>
              <w:end w:w="90" w:type="dxa"/>
            </w:tcMar>
          </w:tcPr>
          <w:p>
            <w:pPr>
              <w:keepLines/>
              <w:spacing w:after="0" w:before="0"/>
            </w:pPr>
            <w:r/>
            <w:r>
              <w:rPr>
                <w:rFonts w:ascii="Aptos" w:hAnsi="Aptos"/>
                <w:b/>
                <w:color w:val="17365D"/>
                <w:sz w:val="15"/>
              </w:rPr>
              <w:t>DuckTalent AI</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Do not deploy in current state</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Enhanced legal/privacy/fairness analysis; meaningful human review; bias testing; transparency/contestability; Critical risk reduced.</w:t>
            </w:r>
          </w:p>
        </w:tc>
      </w:tr>
      <w:tr>
        <w:trPr>
          <w:cantSplit/>
        </w:trPr>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AI-006</w:t>
            </w:r>
          </w:p>
        </w:tc>
        <w:tc>
          <w:tcPr>
            <w:tcW w:type="dxa" w:w="2599"/>
            <w:vAlign w:val="center"/>
            <w:tcMar>
              <w:top w:w="80" w:type="dxa"/>
              <w:start w:w="90" w:type="dxa"/>
              <w:bottom w:w="80" w:type="dxa"/>
              <w:end w:w="90" w:type="dxa"/>
            </w:tcMar>
            <w:shd w:fill="F3F5F7"/>
          </w:tcPr>
          <w:p>
            <w:pPr>
              <w:keepLines/>
              <w:spacing w:after="0" w:before="0"/>
            </w:pPr>
            <w:r/>
            <w:r>
              <w:rPr>
                <w:rFonts w:ascii="Aptos" w:hAnsi="Aptos"/>
                <w:b/>
                <w:color w:val="17365D"/>
                <w:sz w:val="15"/>
              </w:rPr>
              <w:t>PondGPT</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Restricted pilot only</w:t>
            </w:r>
          </w:p>
        </w:tc>
        <w:tc>
          <w:tcPr>
            <w:tcW w:type="dxa" w:w="2599"/>
            <w:vAlign w:val="center"/>
            <w:tcMar>
              <w:top w:w="80" w:type="dxa"/>
              <w:start w:w="90" w:type="dxa"/>
              <w:bottom w:w="80" w:type="dxa"/>
              <w:end w:w="90" w:type="dxa"/>
            </w:tcMar>
            <w:shd w:fill="F3F5F7"/>
          </w:tcPr>
          <w:p>
            <w:pPr>
              <w:keepLines/>
              <w:spacing w:after="0" w:before="0"/>
            </w:pPr>
            <w:r/>
            <w:r>
              <w:rPr>
                <w:rFonts w:ascii="Aptos" w:hAnsi="Aptos"/>
                <w:b w:val="0"/>
                <w:sz w:val="15"/>
              </w:rPr>
              <w:t>Enterprise access enforcement; sensitive repository exclusions; prompt/RAG security; logging; acceptable-use controls.</w:t>
            </w:r>
          </w:p>
        </w:tc>
      </w:tr>
      <w:tr>
        <w:trPr>
          <w:cantSplit/>
        </w:trPr>
        <w:tc>
          <w:tcPr>
            <w:tcW w:type="dxa" w:w="2599"/>
            <w:vAlign w:val="center"/>
            <w:tcMar>
              <w:top w:w="80" w:type="dxa"/>
              <w:start w:w="90" w:type="dxa"/>
              <w:bottom w:w="80" w:type="dxa"/>
              <w:end w:w="90" w:type="dxa"/>
            </w:tcMar>
          </w:tcPr>
          <w:p>
            <w:pPr>
              <w:keepLines/>
              <w:spacing w:after="0" w:before="0"/>
            </w:pPr>
            <w:r/>
            <w:r>
              <w:rPr>
                <w:rFonts w:ascii="Aptos" w:hAnsi="Aptos"/>
                <w:b w:val="0"/>
                <w:sz w:val="15"/>
              </w:rPr>
              <w:t>AI-007</w:t>
            </w:r>
          </w:p>
        </w:tc>
        <w:tc>
          <w:tcPr>
            <w:tcW w:type="dxa" w:w="2599"/>
            <w:vAlign w:val="center"/>
            <w:tcMar>
              <w:top w:w="80" w:type="dxa"/>
              <w:start w:w="90" w:type="dxa"/>
              <w:bottom w:w="80" w:type="dxa"/>
              <w:end w:w="90" w:type="dxa"/>
            </w:tcMar>
          </w:tcPr>
          <w:p>
            <w:pPr>
              <w:keepLines/>
              <w:spacing w:after="0" w:before="0"/>
            </w:pPr>
            <w:r/>
            <w:r>
              <w:rPr>
                <w:rFonts w:ascii="Aptos" w:hAnsi="Aptos"/>
                <w:b/>
                <w:color w:val="17365D"/>
                <w:sz w:val="15"/>
              </w:rPr>
              <w:t>Unregistered GenAI Usage</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Immediate containment</w:t>
            </w:r>
          </w:p>
        </w:tc>
        <w:tc>
          <w:tcPr>
            <w:tcW w:type="dxa" w:w="2599"/>
            <w:vAlign w:val="center"/>
            <w:tcMar>
              <w:top w:w="80" w:type="dxa"/>
              <w:start w:w="90" w:type="dxa"/>
              <w:bottom w:w="80" w:type="dxa"/>
              <w:end w:w="90" w:type="dxa"/>
            </w:tcMar>
          </w:tcPr>
          <w:p>
            <w:pPr>
              <w:keepLines/>
              <w:spacing w:after="0" w:before="0"/>
            </w:pPr>
            <w:r/>
            <w:r>
              <w:rPr>
                <w:rFonts w:ascii="Aptos" w:hAnsi="Aptos"/>
                <w:b w:val="0"/>
                <w:sz w:val="15"/>
              </w:rPr>
              <w:t>Discover use cases; prevent sensitive uploads; approve tools; register material uses; investigate potential exposure.</w:t>
            </w:r>
          </w:p>
        </w:tc>
      </w:tr>
    </w:tbl>
    <w:p>
      <w:pPr>
        <w:spacing w:after="0"/>
      </w:pPr>
    </w:p>
    <w:p>
      <w:pPr>
        <w:pStyle w:val="Heading1"/>
        <w:keepNext/>
      </w:pPr>
      <w:r>
        <w:t>Appendix C - Source Basis and Related Duckworks Artifacts</w:t>
      </w:r>
    </w:p>
    <w:p>
      <w:pPr>
        <w:spacing w:after="100" w:line="259" w:lineRule="auto"/>
      </w:pPr>
      <w:r>
        <w:rPr>
          <w:rFonts w:ascii="Aptos" w:hAnsi="Aptos"/>
          <w:sz w:val="19"/>
        </w:rPr>
        <w:t>This policy is derived from the existing Duckworks Project W.I.N.G. portfolio baseline. It does not silently create new legal classifications or claim that framework alignment equals compliance. The following internal artifacts provide its source context:</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Source Artifact</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Policy Relationship</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Business Scenario</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Defines the seven-system AI portfolio, business drivers, fragmented adoption problem, shadow AI exposure, and controlled-innovation mandate.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Project Objectives</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Defines enterprise AI visibility, accountability, proportional risk classification, control/evidence requirements, shadow AI governance, monitoring, reporting, and assurance readiness.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In-Scope / Out-of-Scope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Defines governance boundaries and identifies acceptable-use, third-party AI, AI security, human oversight, monitoring, incident, and evidence activities as in scope.</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Stakeholder Register</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Defines executive, first-line, second-line, third-line, and affected-stakeholder responsibilities and escalation triggers.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Assumptions Register</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Separates validated facts from open/critical assumptions and requires reassessment when intended purpose, affected persons, legal role, safety impact, data category, or autonomy materially changes.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Acceptance Criteria</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Defines current system release/governance gates, shadow AI containment, legal-vs-internal risk separation, human oversight, auditability, and proportionality.</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AI Risk Classification &amp; Assessment Methodology</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Defines intended-purpose-first assessment, scenario-based risk, evidence-based control credit, risk appetite, approval rules, and reassessment triggers.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Public Frameworks, Legislation &amp; Guidance Reference File</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Maintains authoritative public-source references and the required distinction between binding law, official guidance, voluntary standards/frameworks, and internal policy.</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Required Deliverables Register</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Identifies the FeatherSafe AI Acceptable Use Standard, third-party questionnaire, incident playbook, human-oversight standard, monitoring standard, control library, and assurance program that should support this policy operationally.</w:t>
            </w:r>
          </w:p>
        </w:tc>
      </w:tr>
    </w:tbl>
    <w:p>
      <w:pPr>
        <w:spacing w:after="0"/>
      </w:pPr>
    </w:p>
    <w:p>
      <w:pPr>
        <w:pStyle w:val="Heading1"/>
        <w:keepNext/>
      </w:pPr>
      <w:r>
        <w:t>Document Control</w:t>
      </w:r>
    </w:p>
    <w:tbl>
      <w:tblPr>
        <w:tblW w:type="auto" w:w="0"/>
        <w:tblLayout w:type="fixed"/>
        <w:tblLook w:firstColumn="1" w:firstRow="1" w:lastColumn="0" w:lastRow="0" w:noHBand="0" w:noVBand="1" w:val="04A0"/>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5198"/>
        <w:gridCol w:w="5198"/>
      </w:tblGrid>
      <w:tr>
        <w:trPr>
          <w:tblHeader w:val="true"/>
        </w:trPr>
        <w:tc>
          <w:tcPr>
            <w:tcW w:type="dxa" w:w="2880"/>
            <w:shd w:fill="17365D"/>
            <w:vAlign w:val="center"/>
            <w:tcMar>
              <w:top w:w="80" w:type="dxa"/>
              <w:start w:w="90" w:type="dxa"/>
              <w:bottom w:w="80" w:type="dxa"/>
              <w:end w:w="90" w:type="dxa"/>
            </w:tcMar>
          </w:tcPr>
          <w:p>
            <w:pPr>
              <w:keepLines/>
              <w:spacing w:after="0" w:before="0"/>
            </w:pPr>
            <w:r/>
            <w:r>
              <w:rPr>
                <w:rFonts w:ascii="Aptos" w:hAnsi="Aptos"/>
                <w:b/>
                <w:color w:val="FFFFFF"/>
                <w:sz w:val="17"/>
              </w:rPr>
              <w:t>Control</w:t>
            </w:r>
          </w:p>
        </w:tc>
        <w:tc>
          <w:tcPr>
            <w:tcW w:type="dxa" w:w="7200"/>
            <w:shd w:fill="17365D"/>
            <w:vAlign w:val="center"/>
            <w:tcMar>
              <w:top w:w="80" w:type="dxa"/>
              <w:start w:w="90" w:type="dxa"/>
              <w:bottom w:w="80" w:type="dxa"/>
              <w:end w:w="90" w:type="dxa"/>
            </w:tcMar>
          </w:tcPr>
          <w:p>
            <w:pPr>
              <w:keepLines/>
              <w:spacing w:after="0" w:before="0"/>
            </w:pPr>
            <w:r/>
            <w:r>
              <w:rPr>
                <w:rFonts w:ascii="Aptos" w:hAnsi="Aptos"/>
                <w:b/>
                <w:color w:val="FFFFFF"/>
                <w:sz w:val="17"/>
              </w:rPr>
              <w:t>Value</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Policy owner</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Chief Risk &amp; Compliance Officer</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Policy administrator</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AI Governance Lead</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Required reviewers</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CISO; General Counsel; Data Protection Officer; HR; Head of Data &amp; AI; Product Safety/Quality; Procurement, as relevant to policy revisions</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Approval status</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Draft for simulated executive approval within the fictional portfolio</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Effective date</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Upon approval</w:t>
            </w:r>
          </w:p>
        </w:tc>
      </w:tr>
      <w:tr>
        <w:trPr>
          <w:cantSplit/>
        </w:trPr>
        <w:tc>
          <w:tcPr>
            <w:tcW w:type="dxa" w:w="5198"/>
            <w:vAlign w:val="center"/>
            <w:tcMar>
              <w:top w:w="80" w:type="dxa"/>
              <w:start w:w="90" w:type="dxa"/>
              <w:bottom w:w="80" w:type="dxa"/>
              <w:end w:w="90" w:type="dxa"/>
            </w:tcMar>
            <w:shd w:fill="F3F5F7"/>
          </w:tcPr>
          <w:p>
            <w:pPr>
              <w:keepLines/>
              <w:spacing w:after="0" w:before="0"/>
            </w:pPr>
            <w:r/>
            <w:r>
              <w:rPr>
                <w:rFonts w:ascii="Aptos" w:hAnsi="Aptos"/>
                <w:b/>
                <w:color w:val="17365D"/>
                <w:sz w:val="17"/>
              </w:rPr>
              <w:t>Review frequency</w:t>
            </w:r>
          </w:p>
        </w:tc>
        <w:tc>
          <w:tcPr>
            <w:tcW w:type="dxa" w:w="5198"/>
            <w:vAlign w:val="center"/>
            <w:tcMar>
              <w:top w:w="80" w:type="dxa"/>
              <w:start w:w="90" w:type="dxa"/>
              <w:bottom w:w="80" w:type="dxa"/>
              <w:end w:w="90" w:type="dxa"/>
            </w:tcMar>
            <w:shd w:fill="F3F5F7"/>
          </w:tcPr>
          <w:p>
            <w:pPr>
              <w:keepLines/>
              <w:spacing w:after="0" w:before="0"/>
            </w:pPr>
            <w:r/>
            <w:r>
              <w:rPr>
                <w:rFonts w:ascii="Aptos" w:hAnsi="Aptos"/>
                <w:b w:val="0"/>
                <w:sz w:val="16"/>
              </w:rPr>
              <w:t>At least annually and after material trigger events</w:t>
            </w:r>
          </w:p>
        </w:tc>
      </w:tr>
      <w:tr>
        <w:trPr>
          <w:cantSplit/>
        </w:trPr>
        <w:tc>
          <w:tcPr>
            <w:tcW w:type="dxa" w:w="5198"/>
            <w:vAlign w:val="center"/>
            <w:tcMar>
              <w:top w:w="80" w:type="dxa"/>
              <w:start w:w="90" w:type="dxa"/>
              <w:bottom w:w="80" w:type="dxa"/>
              <w:end w:w="90" w:type="dxa"/>
            </w:tcMar>
          </w:tcPr>
          <w:p>
            <w:pPr>
              <w:keepLines/>
              <w:spacing w:after="0" w:before="0"/>
            </w:pPr>
            <w:r/>
            <w:r>
              <w:rPr>
                <w:rFonts w:ascii="Aptos" w:hAnsi="Aptos"/>
                <w:b/>
                <w:color w:val="17365D"/>
                <w:sz w:val="17"/>
              </w:rPr>
              <w:t>Related future standards</w:t>
            </w:r>
          </w:p>
        </w:tc>
        <w:tc>
          <w:tcPr>
            <w:tcW w:type="dxa" w:w="5198"/>
            <w:vAlign w:val="center"/>
            <w:tcMar>
              <w:top w:w="80" w:type="dxa"/>
              <w:start w:w="90" w:type="dxa"/>
              <w:bottom w:w="80" w:type="dxa"/>
              <w:end w:w="90" w:type="dxa"/>
            </w:tcMar>
          </w:tcPr>
          <w:p>
            <w:pPr>
              <w:keepLines/>
              <w:spacing w:after="0" w:before="0"/>
            </w:pPr>
            <w:r/>
            <w:r>
              <w:rPr>
                <w:rFonts w:ascii="Aptos" w:hAnsi="Aptos"/>
                <w:b w:val="0"/>
                <w:sz w:val="16"/>
              </w:rPr>
              <w:t>FeatherSafe AI Acceptable Use Standard; Human Oversight Standard; AI Monitoring &amp; Reassessment Standard; AI Incident &amp; Escalation Playbook; Third-Party AI Due Diligence Questionnaire</w:t>
            </w:r>
          </w:p>
        </w:tc>
      </w:tr>
    </w:tbl>
    <w:p>
      <w:pPr>
        <w:spacing w:after="0"/>
      </w:pPr>
    </w:p>
    <w:p>
      <w:pPr>
        <w:spacing w:before="200" w:after="0"/>
      </w:pPr>
      <w:r>
        <w:rPr>
          <w:rFonts w:ascii="Aptos" w:hAnsi="Aptos"/>
          <w:b/>
          <w:color w:val="17365D"/>
          <w:sz w:val="17"/>
        </w:rPr>
        <w:t xml:space="preserve">Portfolio disclaimer. </w:t>
      </w:r>
      <w:r>
        <w:rPr>
          <w:rFonts w:ascii="Aptos" w:hAnsi="Aptos"/>
          <w:sz w:val="17"/>
        </w:rPr>
        <w:t>Duckworks, Project W.I.N.G., all named individuals, systems, data, risks, decisions, and evidence in this document are fictional and created exclusively for educational and professional portfolio purposes. This policy is not legal advice, a certification claim, or a determination that any particular law applies to a real organization.</w:t>
      </w:r>
    </w:p>
    <w:sectPr w:rsidR="00FC693F" w:rsidRPr="0006063C" w:rsidSect="00034616">
      <w:headerReference w:type="default" r:id="rId9"/>
      <w:footerReference w:type="default" r:id="rId10"/>
      <w:pgSz w:w="12240" w:h="15840"/>
      <w:pgMar w:top="893" w:right="922" w:bottom="821" w:left="92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B747C"/>
        <w:sz w:val="16"/>
      </w:rPr>
      <w:t xml:space="preserve">DW-WING-POL-01  |  Version 1.0  |  Fictional portfolio project  |  </w:t>
    </w:r>
    <w:r>
      <w:rPr>
        <w:rFonts w:ascii="Aptos" w:hAnsi="Aptos"/>
        <w:color w:val="6B747C"/>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E1E8"/>
      </w:pBdr>
    </w:pPr>
    <w:r>
      <w:rPr>
        <w:rFonts w:ascii="Aptos" w:hAnsi="Aptos"/>
        <w:b/>
        <w:color w:val="2F6B66"/>
        <w:sz w:val="17"/>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ptos" w:hAnsi="Aptos"/>
      <w:b/>
      <w:bCs/>
      <w:color w:val="2F6B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Responsible Use Policy</dc:title>
  <dc:subject>Project W.I.N.G. AI governance policy</dc:subject>
  <dc:creator>Duckworks (fictional portfolio project)</dc:creator>
  <cp:keywords>AI governance, responsible AI, acceptable use, policy, Project W.I.N.G., Duckworks</cp:keywords>
  <dc:description>generated by python-docx</dc:description>
  <cp:lastModifiedBy/>
  <cp:revision>1</cp:revision>
  <dcterms:created xsi:type="dcterms:W3CDTF">2013-12-23T23:15:00Z</dcterms:created>
  <dcterms:modified xsi:type="dcterms:W3CDTF">2013-12-23T23:15:00Z</dcterms:modified>
  <cp:category/>
</cp:coreProperties>
</file>