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2D6F6D"/>
          <w:sz w:val="32"/>
        </w:rPr>
        <w:t>DUCKWORKS</w:t>
      </w:r>
    </w:p>
    <w:p>
      <w:pPr>
        <w:pStyle w:val="Title"/>
      </w:pPr>
      <w:r>
        <w:t>AI Whistleblower Policy</w:t>
      </w:r>
    </w:p>
    <w:p>
      <w:pPr>
        <w:spacing w:after="280"/>
      </w:pPr>
      <w:r>
        <w:rPr>
          <w:color w:val="28343E"/>
          <w:sz w:val="25"/>
        </w:rPr>
        <w:t>Confidential reporting, protection from retaliation and independent handling of AI-related concerns</w:t>
      </w:r>
    </w:p>
    <w:tbl>
      <w:tblPr>
        <w:tblW w:type="auto" w:w="0"/>
        <w:jc w:val="center"/>
        <w:tblLook w:firstColumn="1" w:firstRow="1" w:lastColumn="0" w:lastRow="0" w:noHBand="0" w:noVBand="1" w:val="04A0"/>
      </w:tblPr>
      <w:tblGrid>
        <w:gridCol w:w="10166"/>
      </w:tblGrid>
      <w:tr>
        <w:tc>
          <w:tcPr>
            <w:tcW w:type="dxa" w:w="10166"/>
            <w:shd w:fill="E4F0EF"/>
            <w:tcMar>
              <w:top w:w="120" w:type="dxa"/>
              <w:start w:w="140" w:type="dxa"/>
              <w:bottom w:w="120" w:type="dxa"/>
              <w:end w:w="140" w:type="dxa"/>
            </w:tcMar>
            <w:tcBorders>
              <w:left w:val="single" w:sz="18" w:color="2D6F6D"/>
            </w:tcBorders>
          </w:tcPr>
          <w:p>
            <w:pPr>
              <w:spacing w:after="60"/>
            </w:pPr>
            <w:r>
              <w:rPr>
                <w:b/>
                <w:color w:val="173B57"/>
                <w:sz w:val="20"/>
              </w:rPr>
              <w:t>Policy position</w:t>
            </w:r>
          </w:p>
          <w:p>
            <w:pPr>
              <w:spacing w:after="0"/>
            </w:pPr>
            <w:r>
              <w:rPr>
                <w:color w:val="28343E"/>
                <w:sz w:val="18"/>
              </w:rPr>
              <w:t>Duckworks encourages people to speak up about suspected AI-related wrongdoing, unsafe practices, concealment, legal or policy breaches, manipulation of governance evidence, discrimination, data misuse, security failures, or retaliation. Reports will be handled confidentially, impartially and on a need-to-know basis. Retaliation is prohibited.</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173B57"/>
          </w:tcPr>
          <w:p>
            <w:pPr>
              <w:spacing w:after="0"/>
            </w:pPr>
            <w:r/>
            <w:r>
              <w:rPr>
                <w:rFonts w:ascii="Aptos" w:hAnsi="Aptos"/>
                <w:b/>
                <w:color w:val="FFFFFF"/>
                <w:sz w:val="17"/>
              </w:rPr>
              <w:t>Field</w:t>
            </w:r>
          </w:p>
        </w:tc>
        <w:tc>
          <w:tcPr>
            <w:tcW w:type="dxa" w:w="6768"/>
            <w:vAlign w:val="center"/>
            <w:tcMar>
              <w:top w:w="70" w:type="dxa"/>
              <w:start w:w="90" w:type="dxa"/>
              <w:bottom w:w="70" w:type="dxa"/>
              <w:end w:w="90" w:type="dxa"/>
            </w:tcMar>
            <w:shd w:fill="173B57"/>
          </w:tcPr>
          <w:p>
            <w:pPr>
              <w:spacing w:after="0"/>
            </w:pPr>
            <w:r/>
            <w:r>
              <w:rPr>
                <w:rFonts w:ascii="Aptos" w:hAnsi="Aptos"/>
                <w:b/>
                <w:color w:val="FFFFFF"/>
                <w:sz w:val="17"/>
              </w:rPr>
              <w:t>Value</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7"/>
              </w:rPr>
              <w:t>Document ID</w:t>
            </w:r>
          </w:p>
        </w:tc>
        <w:tc>
          <w:tcPr>
            <w:tcW w:type="dxa" w:w="6768"/>
            <w:vAlign w:val="center"/>
            <w:tcMar>
              <w:top w:w="70" w:type="dxa"/>
              <w:start w:w="90" w:type="dxa"/>
              <w:bottom w:w="70" w:type="dxa"/>
              <w:end w:w="90" w:type="dxa"/>
            </w:tcMar>
          </w:tcPr>
          <w:p>
            <w:pPr>
              <w:spacing w:after="0"/>
            </w:pPr>
            <w:r/>
            <w:r>
              <w:rPr>
                <w:rFonts w:ascii="Aptos" w:hAnsi="Aptos"/>
                <w:b w:val="0"/>
                <w:color w:val="28343E"/>
                <w:sz w:val="17"/>
              </w:rPr>
              <w:t>DW-WING-POL-03</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7"/>
              </w:rPr>
              <w:t>Version</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7"/>
              </w:rPr>
              <w:t>1.0</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7"/>
              </w:rPr>
              <w:t>Status</w:t>
            </w:r>
          </w:p>
        </w:tc>
        <w:tc>
          <w:tcPr>
            <w:tcW w:type="dxa" w:w="6768"/>
            <w:vAlign w:val="center"/>
            <w:tcMar>
              <w:top w:w="70" w:type="dxa"/>
              <w:start w:w="90" w:type="dxa"/>
              <w:bottom w:w="70" w:type="dxa"/>
              <w:end w:w="90" w:type="dxa"/>
            </w:tcMar>
          </w:tcPr>
          <w:p>
            <w:pPr>
              <w:spacing w:after="0"/>
            </w:pPr>
            <w:r/>
            <w:r>
              <w:rPr>
                <w:rFonts w:ascii="Aptos" w:hAnsi="Aptos"/>
                <w:b w:val="0"/>
                <w:color w:val="28343E"/>
                <w:sz w:val="17"/>
              </w:rPr>
              <w:t>Portfolio Baseline</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7"/>
              </w:rPr>
              <w:t>Policy owner</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7"/>
              </w:rPr>
              <w:t>Chief Risk &amp; Compliance Officer — Reginald Duckman</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7"/>
              </w:rPr>
              <w:t>Operational owner</w:t>
            </w:r>
          </w:p>
        </w:tc>
        <w:tc>
          <w:tcPr>
            <w:tcW w:type="dxa" w:w="6768"/>
            <w:vAlign w:val="center"/>
            <w:tcMar>
              <w:top w:w="70" w:type="dxa"/>
              <w:start w:w="90" w:type="dxa"/>
              <w:bottom w:w="70" w:type="dxa"/>
              <w:end w:w="90" w:type="dxa"/>
            </w:tcMar>
          </w:tcPr>
          <w:p>
            <w:pPr>
              <w:spacing w:after="0"/>
            </w:pPr>
            <w:r/>
            <w:r>
              <w:rPr>
                <w:rFonts w:ascii="Aptos" w:hAnsi="Aptos"/>
                <w:b w:val="0"/>
                <w:color w:val="28343E"/>
                <w:sz w:val="17"/>
              </w:rPr>
              <w:t>Designated Whistleblowing Officer / function — TBD</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7"/>
              </w:rPr>
              <w:t>Legal adviser</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7"/>
              </w:rPr>
              <w:t>General Counsel — Amelia Duckett</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7"/>
              </w:rPr>
              <w:t>Applies to</w:t>
            </w:r>
          </w:p>
        </w:tc>
        <w:tc>
          <w:tcPr>
            <w:tcW w:type="dxa" w:w="6768"/>
            <w:vAlign w:val="center"/>
            <w:tcMar>
              <w:top w:w="70" w:type="dxa"/>
              <w:start w:w="90" w:type="dxa"/>
              <w:bottom w:w="70" w:type="dxa"/>
              <w:end w:w="90" w:type="dxa"/>
            </w:tcMar>
          </w:tcPr>
          <w:p>
            <w:pPr>
              <w:spacing w:after="0"/>
            </w:pPr>
            <w:r/>
            <w:r>
              <w:rPr>
                <w:rFonts w:ascii="Aptos" w:hAnsi="Aptos"/>
                <w:b w:val="0"/>
                <w:color w:val="28343E"/>
                <w:sz w:val="17"/>
              </w:rPr>
              <w:t>Duckworks workforce and other eligible work-related reporting persons; extended internally to good-faith/reasonable AI concerns</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7"/>
              </w:rPr>
              <w:t>Classification</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7"/>
              </w:rPr>
              <w:t>Portfolio / Synthetic / Non-production</w:t>
            </w:r>
          </w:p>
        </w:tc>
      </w:tr>
    </w:tbl>
    <w:p>
      <w:pPr>
        <w:spacing w:after="0"/>
      </w:pPr>
    </w:p>
    <w:tbl>
      <w:tblPr>
        <w:tblW w:type="auto" w:w="0"/>
        <w:jc w:val="center"/>
        <w:tblLook w:firstColumn="1" w:firstRow="1" w:lastColumn="0" w:lastRow="0" w:noHBand="0" w:noVBand="1" w:val="04A0"/>
      </w:tblPr>
      <w:tblGrid>
        <w:gridCol w:w="10166"/>
      </w:tblGrid>
      <w:tr>
        <w:tc>
          <w:tcPr>
            <w:tcW w:type="dxa" w:w="10166"/>
            <w:shd w:fill="FFF1D5"/>
            <w:tcMar>
              <w:top w:w="120" w:type="dxa"/>
              <w:start w:w="140" w:type="dxa"/>
              <w:bottom w:w="120" w:type="dxa"/>
              <w:end w:w="140" w:type="dxa"/>
            </w:tcMar>
            <w:tcBorders>
              <w:left w:val="single" w:sz="18" w:color="2D6F6D"/>
            </w:tcBorders>
          </w:tcPr>
          <w:p>
            <w:pPr>
              <w:spacing w:after="60"/>
            </w:pPr>
            <w:r>
              <w:rPr>
                <w:b/>
                <w:color w:val="173B57"/>
                <w:sz w:val="20"/>
              </w:rPr>
              <w:t>Design challenge</w:t>
            </w:r>
          </w:p>
          <w:p>
            <w:pPr>
              <w:spacing w:after="0"/>
            </w:pPr>
            <w:r>
              <w:rPr>
                <w:color w:val="28343E"/>
                <w:sz w:val="18"/>
              </w:rPr>
              <w:t>Duckworks should not create a parallel AI-only hotline if an enterprise whistleblowing channel already exists. This policy is designed as an AI-specific overlay to the enterprise speak-up/whistleblowing process. The same protected channel should route AI cases to specialist reviewers without unnecessarily revealing the reporter’s identity.</w:t>
            </w:r>
          </w:p>
        </w:tc>
      </w:tr>
    </w:tbl>
    <w:p>
      <w:pPr>
        <w:spacing w:after="0"/>
      </w:pPr>
    </w:p>
    <w:p>
      <w:r>
        <w:br w:type="page"/>
      </w:r>
    </w:p>
    <w:p>
      <w:pPr>
        <w:pStyle w:val="Heading1"/>
      </w:pPr>
      <w:r>
        <w:t>1. Purpose</w:t>
      </w:r>
    </w:p>
    <w:p>
      <w:pPr>
        <w:spacing w:after="100" w:line="247" w:lineRule="auto"/>
      </w:pPr>
      <w:r>
        <w:t>This policy establishes how Duckworks receives, protects, assesses, investigates, escalates and records reports of suspected AI-related wrongdoing or serious governance failures. Its purpose is to make it safe to raise concerns before AI-related harm is concealed, normalized or allowed to continue.</w:t>
      </w:r>
    </w:p>
    <w:p>
      <w:pPr>
        <w:spacing w:after="100" w:line="247" w:lineRule="auto"/>
      </w:pPr>
      <w:r>
        <w:t>The policy supports Project W.I.N.G.’s objective that material AI risks, incidents, control failures, complaints and unregistered use can be escalated and evidenced. It complements, rather than replaces, Duckworks incident response, HR grievance, privacy, security, product-safety, procurement and AI governance processes.</w:t>
      </w:r>
    </w:p>
    <w:p>
      <w:pPr>
        <w:pStyle w:val="Heading1"/>
      </w:pPr>
      <w:r>
        <w:t>2. Legal and Governance Basis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tcMar>
              <w:top w:w="70" w:type="dxa"/>
              <w:start w:w="90" w:type="dxa"/>
              <w:bottom w:w="70" w:type="dxa"/>
              <w:end w:w="90" w:type="dxa"/>
            </w:tcMar>
            <w:shd w:fill="173B57"/>
          </w:tcPr>
          <w:p>
            <w:pPr>
              <w:spacing w:after="0"/>
            </w:pPr>
            <w:r/>
            <w:r>
              <w:rPr>
                <w:rFonts w:ascii="Aptos" w:hAnsi="Aptos"/>
                <w:b/>
                <w:color w:val="FFFFFF"/>
                <w:sz w:val="14"/>
              </w:rPr>
              <w:t>Classification</w:t>
            </w:r>
          </w:p>
        </w:tc>
        <w:tc>
          <w:tcPr>
            <w:tcW w:type="dxa" w:w="2232"/>
            <w:vAlign w:val="center"/>
            <w:tcMar>
              <w:top w:w="70" w:type="dxa"/>
              <w:start w:w="90" w:type="dxa"/>
              <w:bottom w:w="70" w:type="dxa"/>
              <w:end w:w="90" w:type="dxa"/>
            </w:tcMar>
            <w:shd w:fill="173B57"/>
          </w:tcPr>
          <w:p>
            <w:pPr>
              <w:spacing w:after="0"/>
            </w:pPr>
            <w:r/>
            <w:r>
              <w:rPr>
                <w:rFonts w:ascii="Aptos" w:hAnsi="Aptos"/>
                <w:b/>
                <w:color w:val="FFFFFF"/>
                <w:sz w:val="14"/>
              </w:rPr>
              <w:t>Source</w:t>
            </w:r>
          </w:p>
        </w:tc>
        <w:tc>
          <w:tcPr>
            <w:tcW w:type="dxa" w:w="3672"/>
            <w:vAlign w:val="center"/>
            <w:tcMar>
              <w:top w:w="70" w:type="dxa"/>
              <w:start w:w="90" w:type="dxa"/>
              <w:bottom w:w="70" w:type="dxa"/>
              <w:end w:w="90" w:type="dxa"/>
            </w:tcMar>
            <w:shd w:fill="173B57"/>
          </w:tcPr>
          <w:p>
            <w:pPr>
              <w:spacing w:after="0"/>
            </w:pPr>
            <w:r/>
            <w:r>
              <w:rPr>
                <w:rFonts w:ascii="Aptos" w:hAnsi="Aptos"/>
                <w:b/>
                <w:color w:val="FFFFFF"/>
                <w:sz w:val="14"/>
              </w:rPr>
              <w:t>What it establishes</w:t>
            </w:r>
          </w:p>
        </w:tc>
        <w:tc>
          <w:tcPr>
            <w:tcW w:type="dxa" w:w="2160"/>
            <w:vAlign w:val="center"/>
            <w:tcMar>
              <w:top w:w="70" w:type="dxa"/>
              <w:start w:w="90" w:type="dxa"/>
              <w:bottom w:w="70" w:type="dxa"/>
              <w:end w:w="90" w:type="dxa"/>
            </w:tcMar>
            <w:shd w:fill="173B57"/>
          </w:tcPr>
          <w:p>
            <w:pPr>
              <w:spacing w:after="0"/>
            </w:pPr>
            <w:r/>
            <w:r>
              <w:rPr>
                <w:rFonts w:ascii="Aptos" w:hAnsi="Aptos"/>
                <w:b/>
                <w:color w:val="FFFFFF"/>
                <w:sz w:val="14"/>
              </w:rPr>
              <w:t>Duckworks treatment</w:t>
            </w:r>
          </w:p>
        </w:tc>
      </w:tr>
      <w:tr>
        <w:tc>
          <w:tcPr>
            <w:tcW w:type="dxa" w:w="1944"/>
            <w:vAlign w:val="center"/>
            <w:tcMar>
              <w:top w:w="70" w:type="dxa"/>
              <w:start w:w="90" w:type="dxa"/>
              <w:bottom w:w="70" w:type="dxa"/>
              <w:end w:w="90" w:type="dxa"/>
            </w:tcMar>
          </w:tcPr>
          <w:p>
            <w:pPr>
              <w:spacing w:after="0"/>
            </w:pPr>
            <w:r/>
            <w:r>
              <w:rPr>
                <w:rFonts w:ascii="Aptos" w:hAnsi="Aptos"/>
                <w:b w:val="0"/>
                <w:color w:val="28343E"/>
                <w:sz w:val="14"/>
              </w:rPr>
              <w:t>Mandatory EU legal basis</w:t>
            </w:r>
          </w:p>
        </w:tc>
        <w:tc>
          <w:tcPr>
            <w:tcW w:type="dxa" w:w="2232"/>
            <w:vAlign w:val="center"/>
            <w:tcMar>
              <w:top w:w="70" w:type="dxa"/>
              <w:start w:w="90" w:type="dxa"/>
              <w:bottom w:w="70" w:type="dxa"/>
              <w:end w:w="90" w:type="dxa"/>
            </w:tcMar>
          </w:tcPr>
          <w:p>
            <w:pPr>
              <w:spacing w:after="0"/>
            </w:pPr>
            <w:r/>
            <w:r>
              <w:rPr>
                <w:rFonts w:ascii="Aptos" w:hAnsi="Aptos"/>
                <w:b w:val="0"/>
                <w:color w:val="28343E"/>
                <w:sz w:val="14"/>
              </w:rPr>
              <w:t>EU AI Act, Article 87</w:t>
            </w:r>
          </w:p>
        </w:tc>
        <w:tc>
          <w:tcPr>
            <w:tcW w:type="dxa" w:w="3672"/>
            <w:vAlign w:val="center"/>
            <w:tcMar>
              <w:top w:w="70" w:type="dxa"/>
              <w:start w:w="90" w:type="dxa"/>
              <w:bottom w:w="70" w:type="dxa"/>
              <w:end w:w="90" w:type="dxa"/>
            </w:tcMar>
          </w:tcPr>
          <w:p>
            <w:pPr>
              <w:spacing w:after="0"/>
            </w:pPr>
            <w:r/>
            <w:r>
              <w:rPr>
                <w:rFonts w:ascii="Aptos" w:hAnsi="Aptos"/>
                <w:b w:val="0"/>
                <w:color w:val="28343E"/>
                <w:sz w:val="14"/>
              </w:rPr>
              <w:t>Directive (EU) 2019/1937 applies to reporting infringements of the AI Act and to protection of persons reporting those infringements.</w:t>
            </w:r>
          </w:p>
        </w:tc>
        <w:tc>
          <w:tcPr>
            <w:tcW w:type="dxa" w:w="2160"/>
            <w:vAlign w:val="center"/>
            <w:tcMar>
              <w:top w:w="70" w:type="dxa"/>
              <w:start w:w="90" w:type="dxa"/>
              <w:bottom w:w="70" w:type="dxa"/>
              <w:end w:w="90" w:type="dxa"/>
            </w:tcMar>
          </w:tcPr>
          <w:p>
            <w:pPr>
              <w:spacing w:after="0"/>
            </w:pPr>
            <w:r/>
            <w:r>
              <w:rPr>
                <w:rFonts w:ascii="Aptos" w:hAnsi="Aptos"/>
                <w:b w:val="0"/>
                <w:color w:val="28343E"/>
                <w:sz w:val="14"/>
              </w:rPr>
              <w:t>Directly relevant where the AI Act and Article 87 apply.</w:t>
            </w:r>
          </w:p>
        </w:tc>
      </w:tr>
      <w:tr>
        <w:tc>
          <w:tcPr>
            <w:tcW w:type="dxa" w:w="1944"/>
            <w:vAlign w:val="center"/>
            <w:tcMar>
              <w:top w:w="70" w:type="dxa"/>
              <w:start w:w="90" w:type="dxa"/>
              <w:bottom w:w="70" w:type="dxa"/>
              <w:end w:w="90" w:type="dxa"/>
            </w:tcMar>
            <w:shd w:fill="F4F6F7"/>
          </w:tcPr>
          <w:p>
            <w:pPr>
              <w:spacing w:after="0"/>
            </w:pPr>
            <w:r/>
            <w:r>
              <w:rPr>
                <w:rFonts w:ascii="Aptos" w:hAnsi="Aptos"/>
                <w:b w:val="0"/>
                <w:color w:val="28343E"/>
                <w:sz w:val="14"/>
              </w:rPr>
              <w:t>Mandatory legal baseline via national law</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4"/>
              </w:rPr>
              <w:t>Directive (EU) 2019/1937, Articles 8–9, 16–24</w:t>
            </w:r>
          </w:p>
        </w:tc>
        <w:tc>
          <w:tcPr>
            <w:tcW w:type="dxa" w:w="3672"/>
            <w:vAlign w:val="center"/>
            <w:tcMar>
              <w:top w:w="70" w:type="dxa"/>
              <w:start w:w="90" w:type="dxa"/>
              <w:bottom w:w="70" w:type="dxa"/>
              <w:end w:w="90" w:type="dxa"/>
            </w:tcMar>
            <w:shd w:fill="F4F6F7"/>
          </w:tcPr>
          <w:p>
            <w:pPr>
              <w:spacing w:after="0"/>
            </w:pPr>
            <w:r/>
            <w:r>
              <w:rPr>
                <w:rFonts w:ascii="Aptos" w:hAnsi="Aptos"/>
                <w:b w:val="0"/>
                <w:color w:val="28343E"/>
                <w:sz w:val="14"/>
              </w:rPr>
              <w:t>Internal channels, confidentiality, follow-up, recordkeeping and retaliation-protection requirements must be implemented by Member States.</w:t>
            </w:r>
          </w:p>
        </w:tc>
        <w:tc>
          <w:tcPr>
            <w:tcW w:type="dxa" w:w="2160"/>
            <w:vAlign w:val="center"/>
            <w:tcMar>
              <w:top w:w="70" w:type="dxa"/>
              <w:start w:w="90" w:type="dxa"/>
              <w:bottom w:w="70" w:type="dxa"/>
              <w:end w:w="90" w:type="dxa"/>
            </w:tcMar>
            <w:shd w:fill="F4F6F7"/>
          </w:tcPr>
          <w:p>
            <w:pPr>
              <w:spacing w:after="0"/>
            </w:pPr>
            <w:r/>
            <w:r>
              <w:rPr>
                <w:rFonts w:ascii="Aptos" w:hAnsi="Aptos"/>
                <w:b w:val="0"/>
                <w:color w:val="28343E"/>
                <w:sz w:val="14"/>
              </w:rPr>
              <w:t>Applicable legal obligations must be confirmed against the national implementing law for each Duckworks establishment.</w:t>
            </w:r>
          </w:p>
        </w:tc>
      </w:tr>
      <w:tr>
        <w:tc>
          <w:tcPr>
            <w:tcW w:type="dxa" w:w="1944"/>
            <w:vAlign w:val="center"/>
            <w:tcMar>
              <w:top w:w="70" w:type="dxa"/>
              <w:start w:w="90" w:type="dxa"/>
              <w:bottom w:w="70" w:type="dxa"/>
              <w:end w:w="90" w:type="dxa"/>
            </w:tcMar>
          </w:tcPr>
          <w:p>
            <w:pPr>
              <w:spacing w:after="0"/>
            </w:pPr>
            <w:r/>
            <w:r>
              <w:rPr>
                <w:rFonts w:ascii="Aptos" w:hAnsi="Aptos"/>
                <w:b w:val="0"/>
                <w:color w:val="28343E"/>
                <w:sz w:val="14"/>
              </w:rPr>
              <w:t>Data protection</w:t>
            </w:r>
          </w:p>
        </w:tc>
        <w:tc>
          <w:tcPr>
            <w:tcW w:type="dxa" w:w="2232"/>
            <w:vAlign w:val="center"/>
            <w:tcMar>
              <w:top w:w="70" w:type="dxa"/>
              <w:start w:w="90" w:type="dxa"/>
              <w:bottom w:w="70" w:type="dxa"/>
              <w:end w:w="90" w:type="dxa"/>
            </w:tcMar>
          </w:tcPr>
          <w:p>
            <w:pPr>
              <w:spacing w:after="0"/>
            </w:pPr>
            <w:r/>
            <w:r>
              <w:rPr>
                <w:rFonts w:ascii="Aptos" w:hAnsi="Aptos"/>
                <w:b w:val="0"/>
                <w:color w:val="28343E"/>
                <w:sz w:val="14"/>
              </w:rPr>
              <w:t>Directive Article 17 + GDPR</w:t>
            </w:r>
          </w:p>
        </w:tc>
        <w:tc>
          <w:tcPr>
            <w:tcW w:type="dxa" w:w="3672"/>
            <w:vAlign w:val="center"/>
            <w:tcMar>
              <w:top w:w="70" w:type="dxa"/>
              <w:start w:w="90" w:type="dxa"/>
              <w:bottom w:w="70" w:type="dxa"/>
              <w:end w:w="90" w:type="dxa"/>
            </w:tcMar>
          </w:tcPr>
          <w:p>
            <w:pPr>
              <w:spacing w:after="0"/>
            </w:pPr>
            <w:r/>
            <w:r>
              <w:rPr>
                <w:rFonts w:ascii="Aptos" w:hAnsi="Aptos"/>
                <w:b w:val="0"/>
                <w:color w:val="28343E"/>
                <w:sz w:val="14"/>
              </w:rPr>
              <w:t>Personal data used in handling reports must be processed under applicable data-protection law; manifestly irrelevant personal data should not be collected or should be deleted without undue delay.</w:t>
            </w:r>
          </w:p>
        </w:tc>
        <w:tc>
          <w:tcPr>
            <w:tcW w:type="dxa" w:w="2160"/>
            <w:vAlign w:val="center"/>
            <w:tcMar>
              <w:top w:w="70" w:type="dxa"/>
              <w:start w:w="90" w:type="dxa"/>
              <w:bottom w:w="70" w:type="dxa"/>
              <w:end w:w="90" w:type="dxa"/>
            </w:tcMar>
          </w:tcPr>
          <w:p>
            <w:pPr>
              <w:spacing w:after="0"/>
            </w:pPr>
            <w:r/>
            <w:r>
              <w:rPr>
                <w:rFonts w:ascii="Aptos" w:hAnsi="Aptos"/>
                <w:b w:val="0"/>
                <w:color w:val="28343E"/>
                <w:sz w:val="14"/>
              </w:rPr>
              <w:t>Legal/Privacy review required.</w:t>
            </w:r>
          </w:p>
        </w:tc>
      </w:tr>
      <w:tr>
        <w:tc>
          <w:tcPr>
            <w:tcW w:type="dxa" w:w="1944"/>
            <w:vAlign w:val="center"/>
            <w:tcMar>
              <w:top w:w="70" w:type="dxa"/>
              <w:start w:w="90" w:type="dxa"/>
              <w:bottom w:w="70" w:type="dxa"/>
              <w:end w:w="90" w:type="dxa"/>
            </w:tcMar>
            <w:shd w:fill="F4F6F7"/>
          </w:tcPr>
          <w:p>
            <w:pPr>
              <w:spacing w:after="0"/>
            </w:pPr>
            <w:r/>
            <w:r>
              <w:rPr>
                <w:rFonts w:ascii="Aptos" w:hAnsi="Aptos"/>
                <w:b w:val="0"/>
                <w:color w:val="28343E"/>
                <w:sz w:val="14"/>
              </w:rPr>
              <w:t>Duckworks organizational practice</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4"/>
              </w:rPr>
              <w:t>Project W.I.N.G.</w:t>
            </w:r>
          </w:p>
        </w:tc>
        <w:tc>
          <w:tcPr>
            <w:tcW w:type="dxa" w:w="3672"/>
            <w:vAlign w:val="center"/>
            <w:tcMar>
              <w:top w:w="70" w:type="dxa"/>
              <w:start w:w="90" w:type="dxa"/>
              <w:bottom w:w="70" w:type="dxa"/>
              <w:end w:w="90" w:type="dxa"/>
            </w:tcMar>
            <w:shd w:fill="F4F6F7"/>
          </w:tcPr>
          <w:p>
            <w:pPr>
              <w:spacing w:after="0"/>
            </w:pPr>
            <w:r/>
            <w:r>
              <w:rPr>
                <w:rFonts w:ascii="Aptos" w:hAnsi="Aptos"/>
                <w:b w:val="0"/>
                <w:color w:val="28343E"/>
                <w:sz w:val="14"/>
              </w:rPr>
              <w:t>Extend protected reporting to serious AI governance, safety, rights, security, privacy and evidence-integrity concerns even when a report may fall outside the statutory whistleblower material scope.</w:t>
            </w:r>
          </w:p>
        </w:tc>
        <w:tc>
          <w:tcPr>
            <w:tcW w:type="dxa" w:w="2160"/>
            <w:vAlign w:val="center"/>
            <w:tcMar>
              <w:top w:w="70" w:type="dxa"/>
              <w:start w:w="90" w:type="dxa"/>
              <w:bottom w:w="70" w:type="dxa"/>
              <w:end w:w="90" w:type="dxa"/>
            </w:tcMar>
            <w:shd w:fill="F4F6F7"/>
          </w:tcPr>
          <w:p>
            <w:pPr>
              <w:spacing w:after="0"/>
            </w:pPr>
            <w:r/>
            <w:r>
              <w:rPr>
                <w:rFonts w:ascii="Aptos" w:hAnsi="Aptos"/>
                <w:b w:val="0"/>
                <w:color w:val="28343E"/>
                <w:sz w:val="14"/>
              </w:rPr>
              <w:t>Internal policy protection; does not create or misstate statutory status.</w:t>
            </w:r>
          </w:p>
        </w:tc>
      </w:tr>
    </w:tbl>
    <w:p>
      <w:pPr>
        <w:spacing w:after="0"/>
      </w:pPr>
    </w:p>
    <w:tbl>
      <w:tblPr>
        <w:tblW w:type="auto" w:w="0"/>
        <w:jc w:val="center"/>
        <w:tblLook w:firstColumn="1" w:firstRow="1" w:lastColumn="0" w:lastRow="0" w:noHBand="0" w:noVBand="1" w:val="04A0"/>
      </w:tblPr>
      <w:tblGrid>
        <w:gridCol w:w="10166"/>
      </w:tblGrid>
      <w:tr>
        <w:tc>
          <w:tcPr>
            <w:tcW w:type="dxa" w:w="10166"/>
            <w:shd w:fill="FFF1D5"/>
            <w:tcMar>
              <w:top w:w="120" w:type="dxa"/>
              <w:start w:w="140" w:type="dxa"/>
              <w:bottom w:w="120" w:type="dxa"/>
              <w:end w:w="140" w:type="dxa"/>
            </w:tcMar>
            <w:tcBorders>
              <w:left w:val="single" w:sz="18" w:color="2D6F6D"/>
            </w:tcBorders>
          </w:tcPr>
          <w:p>
            <w:pPr>
              <w:spacing w:after="60"/>
            </w:pPr>
            <w:r>
              <w:rPr>
                <w:b/>
                <w:color w:val="173B57"/>
                <w:sz w:val="20"/>
              </w:rPr>
              <w:t>Applicability assumption</w:t>
            </w:r>
          </w:p>
          <w:p>
            <w:pPr>
              <w:spacing w:after="0"/>
            </w:pPr>
            <w:r>
              <w:rPr>
                <w:color w:val="28343E"/>
                <w:sz w:val="18"/>
              </w:rPr>
              <w:t>Duckworks is assumed to be a fictional European private-sector organization with approximately 1,200 staff. That size exceeds the Directive’s 50-worker threshold for private legal entities, but the operative duties, competent authorities, anonymous-reporting rules and any broader national protections must be validated under the implementing law of each relevant Member State.</w:t>
            </w:r>
          </w:p>
        </w:tc>
      </w:tr>
    </w:tbl>
    <w:p>
      <w:pPr>
        <w:spacing w:after="0"/>
      </w:pPr>
    </w:p>
    <w:p>
      <w:pPr>
        <w:pStyle w:val="Heading2"/>
      </w:pPr>
      <w:r>
        <w:t>2.1 What this policy does not claim</w:t>
      </w:r>
    </w:p>
    <w:p>
      <w:pPr>
        <w:pStyle w:val="ListBullet"/>
        <w:spacing w:after="50"/>
      </w:pPr>
      <w:r>
        <w:t>It does not claim that every AI complaint is legally protected whistleblowing.</w:t>
      </w:r>
    </w:p>
    <w:p>
      <w:pPr>
        <w:pStyle w:val="ListBullet"/>
        <w:spacing w:after="50"/>
      </w:pPr>
      <w:r>
        <w:t>It does not determine the competent national authority for every Duckworks establishment.</w:t>
      </w:r>
    </w:p>
    <w:p>
      <w:pPr>
        <w:pStyle w:val="ListBullet"/>
        <w:spacing w:after="50"/>
      </w:pPr>
      <w:r>
        <w:t>It does not replace national implementing law, collective agreements, worker-representation rights or sector-specific reporting rules.</w:t>
      </w:r>
    </w:p>
    <w:p>
      <w:pPr>
        <w:pStyle w:val="ListBullet"/>
        <w:spacing w:after="50"/>
      </w:pPr>
      <w:r>
        <w:t>It does not restrict a person from reporting directly to an external competent authority where applicable.</w:t>
      </w:r>
    </w:p>
    <w:p>
      <w:pPr>
        <w:pStyle w:val="ListBullet"/>
        <w:spacing w:after="50"/>
      </w:pPr>
      <w:r>
        <w:t>It does not make Internal Audit the owner of reporting channels or investigations.</w:t>
      </w:r>
    </w:p>
    <w:p>
      <w:pPr>
        <w:pStyle w:val="Heading1"/>
      </w:pPr>
      <w:r>
        <w:t>3. Who May Report</w:t>
      </w:r>
    </w:p>
    <w:p>
      <w:pPr>
        <w:spacing w:after="100" w:line="247" w:lineRule="auto"/>
      </w:pPr>
      <w:r>
        <w:t>Duckworks permits reports from employees and, where relevant to a work-related context, former workers, applicants, contractors, subcontractors, suppliers, self-employed persons, trainees, volunteers, shareholders, members of governing bodies and other persons permitted by applicable law. Duckworks may accept a wider category of AI concerns as an organizational practice even where statutory whistleblower protection is not established.</w:t>
      </w:r>
    </w:p>
    <w:tbl>
      <w:tblPr>
        <w:tblW w:type="auto" w:w="0"/>
        <w:jc w:val="center"/>
        <w:tblLook w:firstColumn="1" w:firstRow="1" w:lastColumn="0" w:lastRow="0" w:noHBand="0" w:noVBand="1" w:val="04A0"/>
      </w:tblPr>
      <w:tblGrid>
        <w:gridCol w:w="10166"/>
      </w:tblGrid>
      <w:tr>
        <w:tc>
          <w:tcPr>
            <w:tcW w:type="dxa" w:w="10166"/>
            <w:shd w:fill="EAF1F6"/>
            <w:tcMar>
              <w:top w:w="120" w:type="dxa"/>
              <w:start w:w="140" w:type="dxa"/>
              <w:bottom w:w="120" w:type="dxa"/>
              <w:end w:w="140" w:type="dxa"/>
            </w:tcMar>
            <w:tcBorders>
              <w:left w:val="single" w:sz="18" w:color="2D6F6D"/>
            </w:tcBorders>
          </w:tcPr>
          <w:p>
            <w:pPr>
              <w:spacing w:after="60"/>
            </w:pPr>
            <w:r>
              <w:rPr>
                <w:b/>
                <w:color w:val="173B57"/>
                <w:sz w:val="20"/>
              </w:rPr>
              <w:t>Reporter protection test</w:t>
            </w:r>
          </w:p>
          <w:p>
            <w:pPr>
              <w:spacing w:after="0"/>
            </w:pPr>
            <w:r>
              <w:rPr>
                <w:color w:val="28343E"/>
                <w:sz w:val="18"/>
              </w:rPr>
              <w:t>For statutory protection under Directive (EU) 2019/1937, the Directive uses a “reasonable grounds to believe” standard concerning the truth and scope of the reported information, together with the applicable reporting route. Duckworks will not substitute a subjective motive or “good faith” test for that legal standard where the Directive applies.</w:t>
            </w:r>
          </w:p>
        </w:tc>
      </w:tr>
    </w:tbl>
    <w:p>
      <w:pPr>
        <w:spacing w:after="0"/>
      </w:pPr>
    </w:p>
    <w:p>
      <w:pPr>
        <w:pStyle w:val="Heading1"/>
      </w:pPr>
      <w:r>
        <w:t>4. What Should Be Reported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70" w:type="dxa"/>
              <w:start w:w="90" w:type="dxa"/>
              <w:bottom w:w="70" w:type="dxa"/>
              <w:end w:w="90" w:type="dxa"/>
            </w:tcMar>
            <w:shd w:fill="173B57"/>
          </w:tcPr>
          <w:p>
            <w:pPr>
              <w:spacing w:after="0"/>
            </w:pPr>
            <w:r/>
            <w:r>
              <w:rPr>
                <w:rFonts w:ascii="Aptos" w:hAnsi="Aptos"/>
                <w:b/>
                <w:color w:val="FFFFFF"/>
                <w:sz w:val="15"/>
              </w:rPr>
              <w:t>Category</w:t>
            </w:r>
          </w:p>
        </w:tc>
        <w:tc>
          <w:tcPr>
            <w:tcW w:type="dxa" w:w="6480"/>
            <w:vAlign w:val="center"/>
            <w:tcMar>
              <w:top w:w="70" w:type="dxa"/>
              <w:start w:w="90" w:type="dxa"/>
              <w:bottom w:w="70" w:type="dxa"/>
              <w:end w:w="90" w:type="dxa"/>
            </w:tcMar>
            <w:shd w:fill="173B57"/>
          </w:tcPr>
          <w:p>
            <w:pPr>
              <w:spacing w:after="0"/>
            </w:pPr>
            <w:r/>
            <w:r>
              <w:rPr>
                <w:rFonts w:ascii="Aptos" w:hAnsi="Aptos"/>
                <w:b/>
                <w:color w:val="FFFFFF"/>
                <w:sz w:val="15"/>
              </w:rPr>
              <w:t>Examples</w:t>
            </w:r>
          </w:p>
        </w:tc>
      </w:tr>
      <w:tr>
        <w:tc>
          <w:tcPr>
            <w:tcW w:type="dxa" w:w="2880"/>
            <w:vAlign w:val="center"/>
            <w:tcMar>
              <w:top w:w="70" w:type="dxa"/>
              <w:start w:w="90" w:type="dxa"/>
              <w:bottom w:w="70" w:type="dxa"/>
              <w:end w:w="90" w:type="dxa"/>
            </w:tcMar>
          </w:tcPr>
          <w:p>
            <w:pPr>
              <w:spacing w:after="0"/>
            </w:pPr>
            <w:r/>
            <w:r>
              <w:rPr>
                <w:rFonts w:ascii="Aptos" w:hAnsi="Aptos"/>
                <w:b w:val="0"/>
                <w:color w:val="28343E"/>
                <w:sz w:val="15"/>
              </w:rPr>
              <w:t>AI Act or other legal infringement</w:t>
            </w:r>
          </w:p>
        </w:tc>
        <w:tc>
          <w:tcPr>
            <w:tcW w:type="dxa" w:w="6480"/>
            <w:vAlign w:val="center"/>
            <w:tcMar>
              <w:top w:w="70" w:type="dxa"/>
              <w:start w:w="90" w:type="dxa"/>
              <w:bottom w:w="70" w:type="dxa"/>
              <w:end w:w="90" w:type="dxa"/>
            </w:tcMar>
          </w:tcPr>
          <w:p>
            <w:pPr>
              <w:spacing w:after="0"/>
            </w:pPr>
            <w:r/>
            <w:r>
              <w:rPr>
                <w:rFonts w:ascii="Aptos" w:hAnsi="Aptos"/>
                <w:b w:val="0"/>
                <w:color w:val="28343E"/>
                <w:sz w:val="15"/>
              </w:rPr>
              <w:t>Suspected prohibited practice, breach of applicable AI obligations, unlawful processing, consumer/product-safety breach, or other reportable breach of law.</w:t>
            </w:r>
          </w:p>
        </w:tc>
      </w:tr>
      <w:tr>
        <w:tc>
          <w:tcPr>
            <w:tcW w:type="dxa" w:w="2880"/>
            <w:vAlign w:val="center"/>
            <w:tcMar>
              <w:top w:w="70" w:type="dxa"/>
              <w:start w:w="90" w:type="dxa"/>
              <w:bottom w:w="70" w:type="dxa"/>
              <w:end w:w="90" w:type="dxa"/>
            </w:tcMar>
            <w:shd w:fill="F4F6F7"/>
          </w:tcPr>
          <w:p>
            <w:pPr>
              <w:spacing w:after="0"/>
            </w:pPr>
            <w:r/>
            <w:r>
              <w:rPr>
                <w:rFonts w:ascii="Aptos" w:hAnsi="Aptos"/>
                <w:b w:val="0"/>
                <w:color w:val="28343E"/>
                <w:sz w:val="15"/>
              </w:rPr>
              <w:t>Employment / fairness concern</w:t>
            </w:r>
          </w:p>
        </w:tc>
        <w:tc>
          <w:tcPr>
            <w:tcW w:type="dxa" w:w="6480"/>
            <w:vAlign w:val="center"/>
            <w:tcMar>
              <w:top w:w="70" w:type="dxa"/>
              <w:start w:w="90" w:type="dxa"/>
              <w:bottom w:w="70" w:type="dxa"/>
              <w:end w:w="90" w:type="dxa"/>
            </w:tcMar>
            <w:shd w:fill="F4F6F7"/>
          </w:tcPr>
          <w:p>
            <w:pPr>
              <w:spacing w:after="0"/>
            </w:pPr>
            <w:r/>
            <w:r>
              <w:rPr>
                <w:rFonts w:ascii="Aptos" w:hAnsi="Aptos"/>
                <w:b w:val="0"/>
                <w:color w:val="28343E"/>
                <w:sz w:val="15"/>
              </w:rPr>
              <w:t>Manipulated candidate ranking, discriminatory criteria, concealed bias testing, removal of meaningful human review, retaliation for challenging DuckTalent.</w:t>
            </w:r>
          </w:p>
        </w:tc>
      </w:tr>
      <w:tr>
        <w:tc>
          <w:tcPr>
            <w:tcW w:type="dxa" w:w="2880"/>
            <w:vAlign w:val="center"/>
            <w:tcMar>
              <w:top w:w="70" w:type="dxa"/>
              <w:start w:w="90" w:type="dxa"/>
              <w:bottom w:w="70" w:type="dxa"/>
              <w:end w:w="90" w:type="dxa"/>
            </w:tcMar>
          </w:tcPr>
          <w:p>
            <w:pPr>
              <w:spacing w:after="0"/>
            </w:pPr>
            <w:r/>
            <w:r>
              <w:rPr>
                <w:rFonts w:ascii="Aptos" w:hAnsi="Aptos"/>
                <w:b w:val="0"/>
                <w:color w:val="28343E"/>
                <w:sz w:val="15"/>
              </w:rPr>
              <w:t>Safety / quality concern</w:t>
            </w:r>
          </w:p>
        </w:tc>
        <w:tc>
          <w:tcPr>
            <w:tcW w:type="dxa" w:w="6480"/>
            <w:vAlign w:val="center"/>
            <w:tcMar>
              <w:top w:w="70" w:type="dxa"/>
              <w:start w:w="90" w:type="dxa"/>
              <w:bottom w:w="70" w:type="dxa"/>
              <w:end w:w="90" w:type="dxa"/>
            </w:tcMar>
          </w:tcPr>
          <w:p>
            <w:pPr>
              <w:spacing w:after="0"/>
            </w:pPr>
            <w:r/>
            <w:r>
              <w:rPr>
                <w:rFonts w:ascii="Aptos" w:hAnsi="Aptos"/>
                <w:b w:val="0"/>
                <w:color w:val="28343E"/>
                <w:sz w:val="15"/>
              </w:rPr>
              <w:t>Unsafe engineering recommendation, suppressed defect-detection failure, falsified validation, pressure to override a safety/quality gate.</w:t>
            </w:r>
          </w:p>
        </w:tc>
      </w:tr>
      <w:tr>
        <w:tc>
          <w:tcPr>
            <w:tcW w:type="dxa" w:w="2880"/>
            <w:vAlign w:val="center"/>
            <w:tcMar>
              <w:top w:w="70" w:type="dxa"/>
              <w:start w:w="90" w:type="dxa"/>
              <w:bottom w:w="70" w:type="dxa"/>
              <w:end w:w="90" w:type="dxa"/>
            </w:tcMar>
            <w:shd w:fill="F4F6F7"/>
          </w:tcPr>
          <w:p>
            <w:pPr>
              <w:spacing w:after="0"/>
            </w:pPr>
            <w:r/>
            <w:r>
              <w:rPr>
                <w:rFonts w:ascii="Aptos" w:hAnsi="Aptos"/>
                <w:b w:val="0"/>
                <w:color w:val="28343E"/>
                <w:sz w:val="15"/>
              </w:rPr>
              <w:t>Security / privacy concern</w:t>
            </w:r>
          </w:p>
        </w:tc>
        <w:tc>
          <w:tcPr>
            <w:tcW w:type="dxa" w:w="6480"/>
            <w:vAlign w:val="center"/>
            <w:tcMar>
              <w:top w:w="70" w:type="dxa"/>
              <w:start w:w="90" w:type="dxa"/>
              <w:bottom w:w="70" w:type="dxa"/>
              <w:end w:w="90" w:type="dxa"/>
            </w:tcMar>
            <w:shd w:fill="F4F6F7"/>
          </w:tcPr>
          <w:p>
            <w:pPr>
              <w:spacing w:after="0"/>
            </w:pPr>
            <w:r/>
            <w:r>
              <w:rPr>
                <w:rFonts w:ascii="Aptos" w:hAnsi="Aptos"/>
                <w:b w:val="0"/>
                <w:color w:val="28343E"/>
                <w:sz w:val="15"/>
              </w:rPr>
              <w:t>Prompt injection exploitation, unauthorized access, data leakage, insecure AI integration, personal/confidential data misuse, concealment of an AI security incident.</w:t>
            </w:r>
          </w:p>
        </w:tc>
      </w:tr>
      <w:tr>
        <w:tc>
          <w:tcPr>
            <w:tcW w:type="dxa" w:w="2880"/>
            <w:vAlign w:val="center"/>
            <w:tcMar>
              <w:top w:w="70" w:type="dxa"/>
              <w:start w:w="90" w:type="dxa"/>
              <w:bottom w:w="70" w:type="dxa"/>
              <w:end w:w="90" w:type="dxa"/>
            </w:tcMar>
          </w:tcPr>
          <w:p>
            <w:pPr>
              <w:spacing w:after="0"/>
            </w:pPr>
            <w:r/>
            <w:r>
              <w:rPr>
                <w:rFonts w:ascii="Aptos" w:hAnsi="Aptos"/>
                <w:b w:val="0"/>
                <w:color w:val="28343E"/>
                <w:sz w:val="15"/>
              </w:rPr>
              <w:t>Shadow / unauthorized AI</w:t>
            </w:r>
          </w:p>
        </w:tc>
        <w:tc>
          <w:tcPr>
            <w:tcW w:type="dxa" w:w="6480"/>
            <w:vAlign w:val="center"/>
            <w:tcMar>
              <w:top w:w="70" w:type="dxa"/>
              <w:start w:w="90" w:type="dxa"/>
              <w:bottom w:w="70" w:type="dxa"/>
              <w:end w:w="90" w:type="dxa"/>
            </w:tcMar>
          </w:tcPr>
          <w:p>
            <w:pPr>
              <w:spacing w:after="0"/>
            </w:pPr>
            <w:r/>
            <w:r>
              <w:rPr>
                <w:rFonts w:ascii="Aptos" w:hAnsi="Aptos"/>
                <w:b w:val="0"/>
                <w:color w:val="28343E"/>
                <w:sz w:val="15"/>
              </w:rPr>
              <w:t>Knowingly deploying or using material AI outside required registration, assessment, procurement or approval processes.</w:t>
            </w:r>
          </w:p>
        </w:tc>
      </w:tr>
      <w:tr>
        <w:tc>
          <w:tcPr>
            <w:tcW w:type="dxa" w:w="2880"/>
            <w:vAlign w:val="center"/>
            <w:tcMar>
              <w:top w:w="70" w:type="dxa"/>
              <w:start w:w="90" w:type="dxa"/>
              <w:bottom w:w="70" w:type="dxa"/>
              <w:end w:w="90" w:type="dxa"/>
            </w:tcMar>
            <w:shd w:fill="F4F6F7"/>
          </w:tcPr>
          <w:p>
            <w:pPr>
              <w:spacing w:after="0"/>
            </w:pPr>
            <w:r/>
            <w:r>
              <w:rPr>
                <w:rFonts w:ascii="Aptos" w:hAnsi="Aptos"/>
                <w:b w:val="0"/>
                <w:color w:val="28343E"/>
                <w:sz w:val="15"/>
              </w:rPr>
              <w:t>Third-party / vendor concern</w:t>
            </w:r>
          </w:p>
        </w:tc>
        <w:tc>
          <w:tcPr>
            <w:tcW w:type="dxa" w:w="6480"/>
            <w:vAlign w:val="center"/>
            <w:tcMar>
              <w:top w:w="70" w:type="dxa"/>
              <w:start w:w="90" w:type="dxa"/>
              <w:bottom w:w="70" w:type="dxa"/>
              <w:end w:w="90" w:type="dxa"/>
            </w:tcMar>
            <w:shd w:fill="F4F6F7"/>
          </w:tcPr>
          <w:p>
            <w:pPr>
              <w:spacing w:after="0"/>
            </w:pPr>
            <w:r/>
            <w:r>
              <w:rPr>
                <w:rFonts w:ascii="Aptos" w:hAnsi="Aptos"/>
                <w:b w:val="0"/>
                <w:color w:val="28343E"/>
                <w:sz w:val="15"/>
              </w:rPr>
              <w:t>Undisclosed model changes, prohibited data training, concealed subprocessors, falsified vendor assurance evidence, ignored material vendor incident.</w:t>
            </w:r>
          </w:p>
        </w:tc>
      </w:tr>
      <w:tr>
        <w:tc>
          <w:tcPr>
            <w:tcW w:type="dxa" w:w="2880"/>
            <w:vAlign w:val="center"/>
            <w:tcMar>
              <w:top w:w="70" w:type="dxa"/>
              <w:start w:w="90" w:type="dxa"/>
              <w:bottom w:w="70" w:type="dxa"/>
              <w:end w:w="90" w:type="dxa"/>
            </w:tcMar>
          </w:tcPr>
          <w:p>
            <w:pPr>
              <w:spacing w:after="0"/>
            </w:pPr>
            <w:r/>
            <w:r>
              <w:rPr>
                <w:rFonts w:ascii="Aptos" w:hAnsi="Aptos"/>
                <w:b w:val="0"/>
                <w:color w:val="28343E"/>
                <w:sz w:val="15"/>
              </w:rPr>
              <w:t>Governance evidence manipulation</w:t>
            </w:r>
          </w:p>
        </w:tc>
        <w:tc>
          <w:tcPr>
            <w:tcW w:type="dxa" w:w="6480"/>
            <w:vAlign w:val="center"/>
            <w:tcMar>
              <w:top w:w="70" w:type="dxa"/>
              <w:start w:w="90" w:type="dxa"/>
              <w:bottom w:w="70" w:type="dxa"/>
              <w:end w:w="90" w:type="dxa"/>
            </w:tcMar>
          </w:tcPr>
          <w:p>
            <w:pPr>
              <w:spacing w:after="0"/>
            </w:pPr>
            <w:r/>
            <w:r>
              <w:rPr>
                <w:rFonts w:ascii="Aptos" w:hAnsi="Aptos"/>
                <w:b w:val="0"/>
                <w:color w:val="28343E"/>
                <w:sz w:val="15"/>
              </w:rPr>
              <w:t>Falsifying risk scores, test results, approval records, model documentation, monitoring evidence, audit logs, incident records or committee decisions.</w:t>
            </w:r>
          </w:p>
        </w:tc>
      </w:tr>
      <w:tr>
        <w:tc>
          <w:tcPr>
            <w:tcW w:type="dxa" w:w="2880"/>
            <w:vAlign w:val="center"/>
            <w:tcMar>
              <w:top w:w="70" w:type="dxa"/>
              <w:start w:w="90" w:type="dxa"/>
              <w:bottom w:w="70" w:type="dxa"/>
              <w:end w:w="90" w:type="dxa"/>
            </w:tcMar>
            <w:shd w:fill="F4F6F7"/>
          </w:tcPr>
          <w:p>
            <w:pPr>
              <w:spacing w:after="0"/>
            </w:pPr>
            <w:r/>
            <w:r>
              <w:rPr>
                <w:rFonts w:ascii="Aptos" w:hAnsi="Aptos"/>
                <w:b w:val="0"/>
                <w:color w:val="28343E"/>
                <w:sz w:val="15"/>
              </w:rPr>
              <w:t>Control circumvention</w:t>
            </w:r>
          </w:p>
        </w:tc>
        <w:tc>
          <w:tcPr>
            <w:tcW w:type="dxa" w:w="6480"/>
            <w:vAlign w:val="center"/>
            <w:tcMar>
              <w:top w:w="70" w:type="dxa"/>
              <w:start w:w="90" w:type="dxa"/>
              <w:bottom w:w="70" w:type="dxa"/>
              <w:end w:w="90" w:type="dxa"/>
            </w:tcMar>
            <w:shd w:fill="F4F6F7"/>
          </w:tcPr>
          <w:p>
            <w:pPr>
              <w:spacing w:after="0"/>
            </w:pPr>
            <w:r/>
            <w:r>
              <w:rPr>
                <w:rFonts w:ascii="Aptos" w:hAnsi="Aptos"/>
                <w:b w:val="0"/>
                <w:color w:val="28343E"/>
                <w:sz w:val="15"/>
              </w:rPr>
              <w:t>Deliberate bypass or disabling of human oversight, safety controls, access controls, logging, monitoring, approval gates or reassessment requirements.</w:t>
            </w:r>
          </w:p>
        </w:tc>
      </w:tr>
      <w:tr>
        <w:tc>
          <w:tcPr>
            <w:tcW w:type="dxa" w:w="2880"/>
            <w:vAlign w:val="center"/>
            <w:tcMar>
              <w:top w:w="70" w:type="dxa"/>
              <w:start w:w="90" w:type="dxa"/>
              <w:bottom w:w="70" w:type="dxa"/>
              <w:end w:w="90" w:type="dxa"/>
            </w:tcMar>
          </w:tcPr>
          <w:p>
            <w:pPr>
              <w:spacing w:after="0"/>
            </w:pPr>
            <w:r/>
            <w:r>
              <w:rPr>
                <w:rFonts w:ascii="Aptos" w:hAnsi="Aptos"/>
                <w:b w:val="0"/>
                <w:color w:val="28343E"/>
                <w:sz w:val="15"/>
              </w:rPr>
              <w:t>Concealment / obstruction</w:t>
            </w:r>
          </w:p>
        </w:tc>
        <w:tc>
          <w:tcPr>
            <w:tcW w:type="dxa" w:w="6480"/>
            <w:vAlign w:val="center"/>
            <w:tcMar>
              <w:top w:w="70" w:type="dxa"/>
              <w:start w:w="90" w:type="dxa"/>
              <w:bottom w:w="70" w:type="dxa"/>
              <w:end w:w="90" w:type="dxa"/>
            </w:tcMar>
          </w:tcPr>
          <w:p>
            <w:pPr>
              <w:spacing w:after="0"/>
            </w:pPr>
            <w:r/>
            <w:r>
              <w:rPr>
                <w:rFonts w:ascii="Aptos" w:hAnsi="Aptos"/>
                <w:b w:val="0"/>
                <w:color w:val="28343E"/>
                <w:sz w:val="15"/>
              </w:rPr>
              <w:t>Attempting to hide a material AI issue, destroy evidence, pressure another person not to report, or obstruct follow-up.</w:t>
            </w:r>
          </w:p>
        </w:tc>
      </w:tr>
      <w:tr>
        <w:tc>
          <w:tcPr>
            <w:tcW w:type="dxa" w:w="2880"/>
            <w:vAlign w:val="center"/>
            <w:tcMar>
              <w:top w:w="70" w:type="dxa"/>
              <w:start w:w="90" w:type="dxa"/>
              <w:bottom w:w="70" w:type="dxa"/>
              <w:end w:w="90" w:type="dxa"/>
            </w:tcMar>
            <w:shd w:fill="F4F6F7"/>
          </w:tcPr>
          <w:p>
            <w:pPr>
              <w:spacing w:after="0"/>
            </w:pPr>
            <w:r/>
            <w:r>
              <w:rPr>
                <w:rFonts w:ascii="Aptos" w:hAnsi="Aptos"/>
                <w:b w:val="0"/>
                <w:color w:val="28343E"/>
                <w:sz w:val="15"/>
              </w:rPr>
              <w:t>Retaliation</w:t>
            </w:r>
          </w:p>
        </w:tc>
        <w:tc>
          <w:tcPr>
            <w:tcW w:type="dxa" w:w="6480"/>
            <w:vAlign w:val="center"/>
            <w:tcMar>
              <w:top w:w="70" w:type="dxa"/>
              <w:start w:w="90" w:type="dxa"/>
              <w:bottom w:w="70" w:type="dxa"/>
              <w:end w:w="90" w:type="dxa"/>
            </w:tcMar>
            <w:shd w:fill="F4F6F7"/>
          </w:tcPr>
          <w:p>
            <w:pPr>
              <w:spacing w:after="0"/>
            </w:pPr>
            <w:r/>
            <w:r>
              <w:rPr>
                <w:rFonts w:ascii="Aptos" w:hAnsi="Aptos"/>
                <w:b w:val="0"/>
                <w:color w:val="28343E"/>
                <w:sz w:val="15"/>
              </w:rPr>
              <w:t>Any threat, adverse action, harassment, exclusion, unfair treatment or other detriment linked to reporting or assisting a report.</w:t>
            </w:r>
          </w:p>
        </w:tc>
      </w:tr>
    </w:tbl>
    <w:p>
      <w:pPr>
        <w:spacing w:after="0"/>
      </w:pPr>
    </w:p>
    <w:p>
      <w:pPr>
        <w:pStyle w:val="Heading2"/>
      </w:pPr>
      <w:r>
        <w:t>4.1 Reports, complaints and grievances</w:t>
      </w:r>
    </w:p>
    <w:p>
      <w:pPr>
        <w:spacing w:after="100" w:line="247" w:lineRule="auto"/>
      </w:pPr>
      <w:r>
        <w:t>Not every concern is a whistleblowing report. Routine service complaints, ordinary technical defects, interpersonal grievances or disagreements over legitimate management decisions may be routed to another process. However, a report must not be downgraded merely because it also contains an HR grievance, customer complaint, privacy request or incident. Mixed cases should be triaged so that any protected whistleblowing element remains protected.</w:t>
      </w:r>
    </w:p>
    <w:p>
      <w:r>
        <w:br w:type="page"/>
      </w:r>
    </w:p>
    <w:p>
      <w:pPr>
        <w:pStyle w:val="Heading1"/>
      </w:pPr>
      <w:r>
        <w:t>5. Reporting Channels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tcMar>
              <w:top w:w="70" w:type="dxa"/>
              <w:start w:w="90" w:type="dxa"/>
              <w:bottom w:w="70" w:type="dxa"/>
              <w:end w:w="90" w:type="dxa"/>
            </w:tcMar>
            <w:shd w:fill="173B57"/>
          </w:tcPr>
          <w:p>
            <w:pPr>
              <w:spacing w:after="0"/>
            </w:pPr>
            <w:r/>
            <w:r>
              <w:rPr>
                <w:rFonts w:ascii="Aptos" w:hAnsi="Aptos"/>
                <w:b/>
                <w:color w:val="FFFFFF"/>
                <w:sz w:val="15"/>
              </w:rPr>
              <w:t>Channel</w:t>
            </w:r>
          </w:p>
        </w:tc>
        <w:tc>
          <w:tcPr>
            <w:tcW w:type="dxa" w:w="3672"/>
            <w:vAlign w:val="center"/>
            <w:tcMar>
              <w:top w:w="70" w:type="dxa"/>
              <w:start w:w="90" w:type="dxa"/>
              <w:bottom w:w="70" w:type="dxa"/>
              <w:end w:w="90" w:type="dxa"/>
            </w:tcMar>
            <w:shd w:fill="173B57"/>
          </w:tcPr>
          <w:p>
            <w:pPr>
              <w:spacing w:after="0"/>
            </w:pPr>
            <w:r/>
            <w:r>
              <w:rPr>
                <w:rFonts w:ascii="Aptos" w:hAnsi="Aptos"/>
                <w:b/>
                <w:color w:val="FFFFFF"/>
                <w:sz w:val="15"/>
              </w:rPr>
              <w:t>Duckworks implementation</w:t>
            </w:r>
          </w:p>
        </w:tc>
        <w:tc>
          <w:tcPr>
            <w:tcW w:type="dxa" w:w="3240"/>
            <w:vAlign w:val="center"/>
            <w:tcMar>
              <w:top w:w="70" w:type="dxa"/>
              <w:start w:w="90" w:type="dxa"/>
              <w:bottom w:w="70" w:type="dxa"/>
              <w:end w:w="90" w:type="dxa"/>
            </w:tcMar>
            <w:shd w:fill="173B57"/>
          </w:tcPr>
          <w:p>
            <w:pPr>
              <w:spacing w:after="0"/>
            </w:pPr>
            <w:r/>
            <w:r>
              <w:rPr>
                <w:rFonts w:ascii="Aptos" w:hAnsi="Aptos"/>
                <w:b/>
                <w:color w:val="FFFFFF"/>
                <w:sz w:val="15"/>
              </w:rPr>
              <w:t>Use</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Secure internal reporting portal</w:t>
            </w:r>
          </w:p>
        </w:tc>
        <w:tc>
          <w:tcPr>
            <w:tcW w:type="dxa" w:w="3672"/>
            <w:vAlign w:val="center"/>
            <w:tcMar>
              <w:top w:w="70" w:type="dxa"/>
              <w:start w:w="90" w:type="dxa"/>
              <w:bottom w:w="70" w:type="dxa"/>
              <w:end w:w="90" w:type="dxa"/>
            </w:tcMar>
          </w:tcPr>
          <w:p>
            <w:pPr>
              <w:spacing w:after="0"/>
            </w:pPr>
            <w:r/>
            <w:r>
              <w:rPr>
                <w:rFonts w:ascii="Aptos" w:hAnsi="Aptos"/>
                <w:b w:val="0"/>
                <w:color w:val="28343E"/>
                <w:sz w:val="15"/>
              </w:rPr>
              <w:t>[TBD enterprise whistleblowing portal]</w:t>
            </w:r>
          </w:p>
        </w:tc>
        <w:tc>
          <w:tcPr>
            <w:tcW w:type="dxa" w:w="3240"/>
            <w:vAlign w:val="center"/>
            <w:tcMar>
              <w:top w:w="70" w:type="dxa"/>
              <w:start w:w="90" w:type="dxa"/>
              <w:bottom w:w="70" w:type="dxa"/>
              <w:end w:w="90" w:type="dxa"/>
            </w:tcMar>
          </w:tcPr>
          <w:p>
            <w:pPr>
              <w:spacing w:after="0"/>
            </w:pPr>
            <w:r/>
            <w:r>
              <w:rPr>
                <w:rFonts w:ascii="Aptos" w:hAnsi="Aptos"/>
                <w:b w:val="0"/>
                <w:color w:val="28343E"/>
                <w:sz w:val="15"/>
              </w:rPr>
              <w:t>Preferred confidential channel; access restricted to designated handlers.</w:t>
            </w:r>
          </w:p>
        </w:tc>
      </w:tr>
      <w:tr>
        <w:tc>
          <w:tcPr>
            <w:tcW w:type="dxa" w:w="2448"/>
            <w:vAlign w:val="center"/>
            <w:tcMar>
              <w:top w:w="70" w:type="dxa"/>
              <w:start w:w="90" w:type="dxa"/>
              <w:bottom w:w="70" w:type="dxa"/>
              <w:end w:w="90" w:type="dxa"/>
            </w:tcMar>
            <w:shd w:fill="F4F6F7"/>
          </w:tcPr>
          <w:p>
            <w:pPr>
              <w:spacing w:after="0"/>
            </w:pPr>
            <w:r/>
            <w:r>
              <w:rPr>
                <w:rFonts w:ascii="Aptos" w:hAnsi="Aptos"/>
                <w:b w:val="0"/>
                <w:color w:val="28343E"/>
                <w:sz w:val="15"/>
              </w:rPr>
              <w:t>Telephone / voice channel</w:t>
            </w:r>
          </w:p>
        </w:tc>
        <w:tc>
          <w:tcPr>
            <w:tcW w:type="dxa" w:w="3672"/>
            <w:vAlign w:val="center"/>
            <w:tcMar>
              <w:top w:w="70" w:type="dxa"/>
              <w:start w:w="90" w:type="dxa"/>
              <w:bottom w:w="70" w:type="dxa"/>
              <w:end w:w="90" w:type="dxa"/>
            </w:tcMar>
            <w:shd w:fill="F4F6F7"/>
          </w:tcPr>
          <w:p>
            <w:pPr>
              <w:spacing w:after="0"/>
            </w:pPr>
            <w:r/>
            <w:r>
              <w:rPr>
                <w:rFonts w:ascii="Aptos" w:hAnsi="Aptos"/>
                <w:b w:val="0"/>
                <w:color w:val="28343E"/>
                <w:sz w:val="15"/>
              </w:rPr>
              <w:t>[TBD]</w:t>
            </w:r>
          </w:p>
        </w:tc>
        <w:tc>
          <w:tcPr>
            <w:tcW w:type="dxa" w:w="3240"/>
            <w:vAlign w:val="center"/>
            <w:tcMar>
              <w:top w:w="70" w:type="dxa"/>
              <w:start w:w="90" w:type="dxa"/>
              <w:bottom w:w="70" w:type="dxa"/>
              <w:end w:w="90" w:type="dxa"/>
            </w:tcMar>
            <w:shd w:fill="F4F6F7"/>
          </w:tcPr>
          <w:p>
            <w:pPr>
              <w:spacing w:after="0"/>
            </w:pPr>
            <w:r/>
            <w:r>
              <w:rPr>
                <w:rFonts w:ascii="Aptos" w:hAnsi="Aptos"/>
                <w:b w:val="0"/>
                <w:color w:val="28343E"/>
                <w:sz w:val="15"/>
              </w:rPr>
              <w:t>Must support confidential oral reporting where required.</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Physical meeting</w:t>
            </w:r>
          </w:p>
        </w:tc>
        <w:tc>
          <w:tcPr>
            <w:tcW w:type="dxa" w:w="3672"/>
            <w:vAlign w:val="center"/>
            <w:tcMar>
              <w:top w:w="70" w:type="dxa"/>
              <w:start w:w="90" w:type="dxa"/>
              <w:bottom w:w="70" w:type="dxa"/>
              <w:end w:w="90" w:type="dxa"/>
            </w:tcMar>
          </w:tcPr>
          <w:p>
            <w:pPr>
              <w:spacing w:after="0"/>
            </w:pPr>
            <w:r/>
            <w:r>
              <w:rPr>
                <w:rFonts w:ascii="Aptos" w:hAnsi="Aptos"/>
                <w:b w:val="0"/>
                <w:color w:val="28343E"/>
                <w:sz w:val="15"/>
              </w:rPr>
              <w:t>Available on request within a reasonable timeframe</w:t>
            </w:r>
          </w:p>
        </w:tc>
        <w:tc>
          <w:tcPr>
            <w:tcW w:type="dxa" w:w="3240"/>
            <w:vAlign w:val="center"/>
            <w:tcMar>
              <w:top w:w="70" w:type="dxa"/>
              <w:start w:w="90" w:type="dxa"/>
              <w:bottom w:w="70" w:type="dxa"/>
              <w:end w:w="90" w:type="dxa"/>
            </w:tcMar>
          </w:tcPr>
          <w:p>
            <w:pPr>
              <w:spacing w:after="0"/>
            </w:pPr>
            <w:r/>
            <w:r>
              <w:rPr>
                <w:rFonts w:ascii="Aptos" w:hAnsi="Aptos"/>
                <w:b w:val="0"/>
                <w:color w:val="28343E"/>
                <w:sz w:val="15"/>
              </w:rPr>
              <w:t>Arrange through the designated whistleblowing function.</w:t>
            </w:r>
          </w:p>
        </w:tc>
      </w:tr>
      <w:tr>
        <w:tc>
          <w:tcPr>
            <w:tcW w:type="dxa" w:w="2448"/>
            <w:vAlign w:val="center"/>
            <w:tcMar>
              <w:top w:w="70" w:type="dxa"/>
              <w:start w:w="90" w:type="dxa"/>
              <w:bottom w:w="70" w:type="dxa"/>
              <w:end w:w="90" w:type="dxa"/>
            </w:tcMar>
            <w:shd w:fill="F4F6F7"/>
          </w:tcPr>
          <w:p>
            <w:pPr>
              <w:spacing w:after="0"/>
            </w:pPr>
            <w:r/>
            <w:r>
              <w:rPr>
                <w:rFonts w:ascii="Aptos" w:hAnsi="Aptos"/>
                <w:b w:val="0"/>
                <w:color w:val="28343E"/>
                <w:sz w:val="15"/>
              </w:rPr>
              <w:t>Direct written report</w:t>
            </w:r>
          </w:p>
        </w:tc>
        <w:tc>
          <w:tcPr>
            <w:tcW w:type="dxa" w:w="3672"/>
            <w:vAlign w:val="center"/>
            <w:tcMar>
              <w:top w:w="70" w:type="dxa"/>
              <w:start w:w="90" w:type="dxa"/>
              <w:bottom w:w="70" w:type="dxa"/>
              <w:end w:w="90" w:type="dxa"/>
            </w:tcMar>
            <w:shd w:fill="F4F6F7"/>
          </w:tcPr>
          <w:p>
            <w:pPr>
              <w:spacing w:after="0"/>
            </w:pPr>
            <w:r/>
            <w:r>
              <w:rPr>
                <w:rFonts w:ascii="Aptos" w:hAnsi="Aptos"/>
                <w:b w:val="0"/>
                <w:color w:val="28343E"/>
                <w:sz w:val="15"/>
              </w:rPr>
              <w:t>Designated Whistleblowing Officer / General Counsel channel — [TBD]</w:t>
            </w:r>
          </w:p>
        </w:tc>
        <w:tc>
          <w:tcPr>
            <w:tcW w:type="dxa" w:w="3240"/>
            <w:vAlign w:val="center"/>
            <w:tcMar>
              <w:top w:w="70" w:type="dxa"/>
              <w:start w:w="90" w:type="dxa"/>
              <w:bottom w:w="70" w:type="dxa"/>
              <w:end w:w="90" w:type="dxa"/>
            </w:tcMar>
            <w:shd w:fill="F4F6F7"/>
          </w:tcPr>
          <w:p>
            <w:pPr>
              <w:spacing w:after="0"/>
            </w:pPr>
            <w:r/>
            <w:r>
              <w:rPr>
                <w:rFonts w:ascii="Aptos" w:hAnsi="Aptos"/>
                <w:b w:val="0"/>
                <w:color w:val="28343E"/>
                <w:sz w:val="15"/>
              </w:rPr>
              <w:t>Alternative where normal management or AI governance routes may present a conflict.</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Emergency safety/security route</w:t>
            </w:r>
          </w:p>
        </w:tc>
        <w:tc>
          <w:tcPr>
            <w:tcW w:type="dxa" w:w="3672"/>
            <w:vAlign w:val="center"/>
            <w:tcMar>
              <w:top w:w="70" w:type="dxa"/>
              <w:start w:w="90" w:type="dxa"/>
              <w:bottom w:w="70" w:type="dxa"/>
              <w:end w:w="90" w:type="dxa"/>
            </w:tcMar>
          </w:tcPr>
          <w:p>
            <w:pPr>
              <w:spacing w:after="0"/>
            </w:pPr>
            <w:r/>
            <w:r>
              <w:rPr>
                <w:rFonts w:ascii="Aptos" w:hAnsi="Aptos"/>
                <w:b w:val="0"/>
                <w:color w:val="28343E"/>
                <w:sz w:val="15"/>
              </w:rPr>
              <w:t>Existing incident channel / CISO route</w:t>
            </w:r>
          </w:p>
        </w:tc>
        <w:tc>
          <w:tcPr>
            <w:tcW w:type="dxa" w:w="3240"/>
            <w:vAlign w:val="center"/>
            <w:tcMar>
              <w:top w:w="70" w:type="dxa"/>
              <w:start w:w="90" w:type="dxa"/>
              <w:bottom w:w="70" w:type="dxa"/>
              <w:end w:w="90" w:type="dxa"/>
            </w:tcMar>
          </w:tcPr>
          <w:p>
            <w:pPr>
              <w:spacing w:after="0"/>
            </w:pPr>
            <w:r/>
            <w:r>
              <w:rPr>
                <w:rFonts w:ascii="Aptos" w:hAnsi="Aptos"/>
                <w:b w:val="0"/>
                <w:color w:val="28343E"/>
                <w:sz w:val="15"/>
              </w:rPr>
              <w:t>Use for urgent containment; the whistleblowing case remains separately protected and recorded.</w:t>
            </w:r>
          </w:p>
        </w:tc>
      </w:tr>
    </w:tbl>
    <w:p>
      <w:pPr>
        <w:spacing w:after="0"/>
      </w:pPr>
    </w:p>
    <w:p>
      <w:pPr>
        <w:pStyle w:val="Heading2"/>
      </w:pPr>
      <w:r>
        <w:t>5.1 Anonymous reporting</w:t>
      </w:r>
    </w:p>
    <w:p>
      <w:pPr>
        <w:spacing w:after="100" w:line="247" w:lineRule="auto"/>
      </w:pPr>
      <w:r>
        <w:t>Duckworks will accept and assess anonymous AI whistleblowing reports as an internal organizational practice where technically and legally feasible. The EU Directive leaves Member States discretion on whether entities must accept and follow up anonymous reports, subject to other Union-law obligations. Legal must therefore validate local rules. An anonymous reporter who is later identified may still qualify for statutory protection where the applicable conditions are met.</w:t>
      </w:r>
    </w:p>
    <w:p>
      <w:pPr>
        <w:pStyle w:val="Heading2"/>
      </w:pPr>
      <w:r>
        <w:t>5.2 External reporting</w:t>
      </w:r>
    </w:p>
    <w:p>
      <w:pPr>
        <w:spacing w:after="100" w:line="247" w:lineRule="auto"/>
      </w:pPr>
      <w:r>
        <w:t>Duckworks will provide clear, accessible information on external reporting to the competent authority or authorities applicable to the relevant country and subject matter. A reporter is not required by this policy to report internally first when applicable law permits direct external reporting. Duckworks Legal shall maintain the country-specific authority information outside this policy so it can be updated without rewriting the policy.</w:t>
      </w:r>
    </w:p>
    <w:p>
      <w:pPr>
        <w:pStyle w:val="Heading2"/>
      </w:pPr>
      <w:r>
        <w:t>5.3 Public disclosure</w:t>
      </w:r>
    </w:p>
    <w:p>
      <w:pPr>
        <w:spacing w:after="100" w:line="247" w:lineRule="auto"/>
      </w:pPr>
      <w:r>
        <w:t>Public disclosure can carry different legal conditions and risks. This policy does not advise a person to make or avoid a public disclosure. Where needed, Duckworks will make information available on external channels and legal protections, but the conditions for protected public disclosure must be determined under applicable law.</w:t>
      </w:r>
    </w:p>
    <w:p>
      <w:pPr>
        <w:pStyle w:val="Heading1"/>
      </w:pPr>
      <w:r>
        <w:t>6. Acknowledgement, Follow-Up and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90" w:type="dxa"/>
              <w:bottom w:w="70" w:type="dxa"/>
              <w:end w:w="90" w:type="dxa"/>
            </w:tcMar>
            <w:shd w:fill="173B57"/>
          </w:tcPr>
          <w:p>
            <w:pPr>
              <w:spacing w:after="0"/>
            </w:pPr>
            <w:r/>
            <w:r>
              <w:rPr>
                <w:rFonts w:ascii="Aptos" w:hAnsi="Aptos"/>
                <w:b/>
                <w:color w:val="FFFFFF"/>
                <w:sz w:val="15"/>
              </w:rPr>
              <w:t>Milestone</w:t>
            </w:r>
          </w:p>
        </w:tc>
        <w:tc>
          <w:tcPr>
            <w:tcW w:type="dxa" w:w="3168"/>
            <w:vAlign w:val="center"/>
            <w:tcMar>
              <w:top w:w="70" w:type="dxa"/>
              <w:start w:w="90" w:type="dxa"/>
              <w:bottom w:w="70" w:type="dxa"/>
              <w:end w:w="90" w:type="dxa"/>
            </w:tcMar>
            <w:shd w:fill="173B57"/>
          </w:tcPr>
          <w:p>
            <w:pPr>
              <w:spacing w:after="0"/>
            </w:pPr>
            <w:r/>
            <w:r>
              <w:rPr>
                <w:rFonts w:ascii="Aptos" w:hAnsi="Aptos"/>
                <w:b/>
                <w:color w:val="FFFFFF"/>
                <w:sz w:val="15"/>
              </w:rPr>
              <w:t>Baseline</w:t>
            </w:r>
          </w:p>
        </w:tc>
        <w:tc>
          <w:tcPr>
            <w:tcW w:type="dxa" w:w="4248"/>
            <w:vAlign w:val="center"/>
            <w:tcMar>
              <w:top w:w="70" w:type="dxa"/>
              <w:start w:w="90" w:type="dxa"/>
              <w:bottom w:w="70" w:type="dxa"/>
              <w:end w:w="90" w:type="dxa"/>
            </w:tcMar>
            <w:shd w:fill="173B57"/>
          </w:tcPr>
          <w:p>
            <w:pPr>
              <w:spacing w:after="0"/>
            </w:pPr>
            <w:r/>
            <w:r>
              <w:rPr>
                <w:rFonts w:ascii="Aptos" w:hAnsi="Aptos"/>
                <w:b/>
                <w:color w:val="FFFFFF"/>
                <w:sz w:val="15"/>
              </w:rPr>
              <w:t>Basis</w:t>
            </w:r>
          </w:p>
        </w:tc>
      </w:tr>
      <w:tr>
        <w:tc>
          <w:tcPr>
            <w:tcW w:type="dxa" w:w="2160"/>
            <w:vAlign w:val="center"/>
            <w:tcMar>
              <w:top w:w="70" w:type="dxa"/>
              <w:start w:w="90" w:type="dxa"/>
              <w:bottom w:w="70" w:type="dxa"/>
              <w:end w:w="90" w:type="dxa"/>
            </w:tcMar>
          </w:tcPr>
          <w:p>
            <w:pPr>
              <w:spacing w:after="0"/>
            </w:pPr>
            <w:r/>
            <w:r>
              <w:rPr>
                <w:rFonts w:ascii="Aptos" w:hAnsi="Aptos"/>
                <w:b w:val="0"/>
                <w:color w:val="28343E"/>
                <w:sz w:val="15"/>
              </w:rPr>
              <w:t>Acknowledgement</w:t>
            </w:r>
          </w:p>
        </w:tc>
        <w:tc>
          <w:tcPr>
            <w:tcW w:type="dxa" w:w="3168"/>
            <w:vAlign w:val="center"/>
            <w:tcMar>
              <w:top w:w="70" w:type="dxa"/>
              <w:start w:w="90" w:type="dxa"/>
              <w:bottom w:w="70" w:type="dxa"/>
              <w:end w:w="90" w:type="dxa"/>
            </w:tcMar>
          </w:tcPr>
          <w:p>
            <w:pPr>
              <w:spacing w:after="0"/>
            </w:pPr>
            <w:r/>
            <w:r>
              <w:rPr>
                <w:rFonts w:ascii="Aptos" w:hAnsi="Aptos"/>
                <w:b w:val="0"/>
                <w:color w:val="28343E"/>
                <w:sz w:val="15"/>
              </w:rPr>
              <w:t>Within 7 days of receipt</w:t>
            </w:r>
          </w:p>
        </w:tc>
        <w:tc>
          <w:tcPr>
            <w:tcW w:type="dxa" w:w="4248"/>
            <w:vAlign w:val="center"/>
            <w:tcMar>
              <w:top w:w="70" w:type="dxa"/>
              <w:start w:w="90" w:type="dxa"/>
              <w:bottom w:w="70" w:type="dxa"/>
              <w:end w:w="90" w:type="dxa"/>
            </w:tcMar>
          </w:tcPr>
          <w:p>
            <w:pPr>
              <w:spacing w:after="0"/>
            </w:pPr>
            <w:r/>
            <w:r>
              <w:rPr>
                <w:rFonts w:ascii="Aptos" w:hAnsi="Aptos"/>
                <w:b w:val="0"/>
                <w:color w:val="28343E"/>
                <w:sz w:val="15"/>
              </w:rPr>
              <w:t>Directive Article 9(1)(b) where applicable; adopted as Duckworks baseline for in-scope AI reports.</w:t>
            </w:r>
          </w:p>
        </w:tc>
      </w:tr>
      <w:tr>
        <w:tc>
          <w:tcPr>
            <w:tcW w:type="dxa" w:w="2160"/>
            <w:vAlign w:val="center"/>
            <w:tcMar>
              <w:top w:w="70" w:type="dxa"/>
              <w:start w:w="90" w:type="dxa"/>
              <w:bottom w:w="70" w:type="dxa"/>
              <w:end w:w="90" w:type="dxa"/>
            </w:tcMar>
            <w:shd w:fill="F4F6F7"/>
          </w:tcPr>
          <w:p>
            <w:pPr>
              <w:spacing w:after="0"/>
            </w:pPr>
            <w:r/>
            <w:r>
              <w:rPr>
                <w:rFonts w:ascii="Aptos" w:hAnsi="Aptos"/>
                <w:b w:val="0"/>
                <w:color w:val="28343E"/>
                <w:sz w:val="15"/>
              </w:rPr>
              <w:t>Initial triage</w:t>
            </w:r>
          </w:p>
        </w:tc>
        <w:tc>
          <w:tcPr>
            <w:tcW w:type="dxa" w:w="3168"/>
            <w:vAlign w:val="center"/>
            <w:tcMar>
              <w:top w:w="70" w:type="dxa"/>
              <w:start w:w="90" w:type="dxa"/>
              <w:bottom w:w="70" w:type="dxa"/>
              <w:end w:w="90" w:type="dxa"/>
            </w:tcMar>
            <w:shd w:fill="F4F6F7"/>
          </w:tcPr>
          <w:p>
            <w:pPr>
              <w:spacing w:after="0"/>
            </w:pPr>
            <w:r/>
            <w:r>
              <w:rPr>
                <w:rFonts w:ascii="Aptos" w:hAnsi="Aptos"/>
                <w:b w:val="0"/>
                <w:color w:val="28343E"/>
                <w:sz w:val="15"/>
              </w:rPr>
              <w:t>Promptly; urgent safety/security/privacy concerns immediately</w:t>
            </w:r>
          </w:p>
        </w:tc>
        <w:tc>
          <w:tcPr>
            <w:tcW w:type="dxa" w:w="4248"/>
            <w:vAlign w:val="center"/>
            <w:tcMar>
              <w:top w:w="70" w:type="dxa"/>
              <w:start w:w="90" w:type="dxa"/>
              <w:bottom w:w="70" w:type="dxa"/>
              <w:end w:w="90" w:type="dxa"/>
            </w:tcMar>
            <w:shd w:fill="F4F6F7"/>
          </w:tcPr>
          <w:p>
            <w:pPr>
              <w:spacing w:after="0"/>
            </w:pPr>
            <w:r/>
            <w:r>
              <w:rPr>
                <w:rFonts w:ascii="Aptos" w:hAnsi="Aptos"/>
                <w:b w:val="0"/>
                <w:color w:val="28343E"/>
                <w:sz w:val="15"/>
              </w:rPr>
              <w:t>Duckworks organizational practice.</w:t>
            </w:r>
          </w:p>
        </w:tc>
      </w:tr>
      <w:tr>
        <w:tc>
          <w:tcPr>
            <w:tcW w:type="dxa" w:w="2160"/>
            <w:vAlign w:val="center"/>
            <w:tcMar>
              <w:top w:w="70" w:type="dxa"/>
              <w:start w:w="90" w:type="dxa"/>
              <w:bottom w:w="70" w:type="dxa"/>
              <w:end w:w="90" w:type="dxa"/>
            </w:tcMar>
          </w:tcPr>
          <w:p>
            <w:pPr>
              <w:spacing w:after="0"/>
            </w:pPr>
            <w:r/>
            <w:r>
              <w:rPr>
                <w:rFonts w:ascii="Aptos" w:hAnsi="Aptos"/>
                <w:b w:val="0"/>
                <w:color w:val="28343E"/>
                <w:sz w:val="15"/>
              </w:rPr>
              <w:t>Reporter communication</w:t>
            </w:r>
          </w:p>
        </w:tc>
        <w:tc>
          <w:tcPr>
            <w:tcW w:type="dxa" w:w="3168"/>
            <w:vAlign w:val="center"/>
            <w:tcMar>
              <w:top w:w="70" w:type="dxa"/>
              <w:start w:w="90" w:type="dxa"/>
              <w:bottom w:w="70" w:type="dxa"/>
              <w:end w:w="90" w:type="dxa"/>
            </w:tcMar>
          </w:tcPr>
          <w:p>
            <w:pPr>
              <w:spacing w:after="0"/>
            </w:pPr>
            <w:r/>
            <w:r>
              <w:rPr>
                <w:rFonts w:ascii="Aptos" w:hAnsi="Aptos"/>
                <w:b w:val="0"/>
                <w:color w:val="28343E"/>
                <w:sz w:val="15"/>
              </w:rPr>
              <w:t>Maintain secure communication and request further information where necessary</w:t>
            </w:r>
          </w:p>
        </w:tc>
        <w:tc>
          <w:tcPr>
            <w:tcW w:type="dxa" w:w="4248"/>
            <w:vAlign w:val="center"/>
            <w:tcMar>
              <w:top w:w="70" w:type="dxa"/>
              <w:start w:w="90" w:type="dxa"/>
              <w:bottom w:w="70" w:type="dxa"/>
              <w:end w:w="90" w:type="dxa"/>
            </w:tcMar>
          </w:tcPr>
          <w:p>
            <w:pPr>
              <w:spacing w:after="0"/>
            </w:pPr>
            <w:r/>
            <w:r>
              <w:rPr>
                <w:rFonts w:ascii="Aptos" w:hAnsi="Aptos"/>
                <w:b w:val="0"/>
                <w:color w:val="28343E"/>
                <w:sz w:val="15"/>
              </w:rPr>
              <w:t>Directive Article 9(1)(c) concept.</w:t>
            </w:r>
          </w:p>
        </w:tc>
      </w:tr>
      <w:tr>
        <w:tc>
          <w:tcPr>
            <w:tcW w:type="dxa" w:w="2160"/>
            <w:vAlign w:val="center"/>
            <w:tcMar>
              <w:top w:w="70" w:type="dxa"/>
              <w:start w:w="90" w:type="dxa"/>
              <w:bottom w:w="70" w:type="dxa"/>
              <w:end w:w="90" w:type="dxa"/>
            </w:tcMar>
            <w:shd w:fill="F4F6F7"/>
          </w:tcPr>
          <w:p>
            <w:pPr>
              <w:spacing w:after="0"/>
            </w:pPr>
            <w:r/>
            <w:r>
              <w:rPr>
                <w:rFonts w:ascii="Aptos" w:hAnsi="Aptos"/>
                <w:b w:val="0"/>
                <w:color w:val="28343E"/>
                <w:sz w:val="15"/>
              </w:rPr>
              <w:t>Diligent follow-up</w:t>
            </w:r>
          </w:p>
        </w:tc>
        <w:tc>
          <w:tcPr>
            <w:tcW w:type="dxa" w:w="3168"/>
            <w:vAlign w:val="center"/>
            <w:tcMar>
              <w:top w:w="70" w:type="dxa"/>
              <w:start w:w="90" w:type="dxa"/>
              <w:bottom w:w="70" w:type="dxa"/>
              <w:end w:w="90" w:type="dxa"/>
            </w:tcMar>
            <w:shd w:fill="F4F6F7"/>
          </w:tcPr>
          <w:p>
            <w:pPr>
              <w:spacing w:after="0"/>
            </w:pPr>
            <w:r/>
            <w:r>
              <w:rPr>
                <w:rFonts w:ascii="Aptos" w:hAnsi="Aptos"/>
                <w:b w:val="0"/>
                <w:color w:val="28343E"/>
                <w:sz w:val="15"/>
              </w:rPr>
              <w:t>Without unnecessary delay</w:t>
            </w:r>
          </w:p>
        </w:tc>
        <w:tc>
          <w:tcPr>
            <w:tcW w:type="dxa" w:w="4248"/>
            <w:vAlign w:val="center"/>
            <w:tcMar>
              <w:top w:w="70" w:type="dxa"/>
              <w:start w:w="90" w:type="dxa"/>
              <w:bottom w:w="70" w:type="dxa"/>
              <w:end w:w="90" w:type="dxa"/>
            </w:tcMar>
            <w:shd w:fill="F4F6F7"/>
          </w:tcPr>
          <w:p>
            <w:pPr>
              <w:spacing w:after="0"/>
            </w:pPr>
            <w:r/>
            <w:r>
              <w:rPr>
                <w:rFonts w:ascii="Aptos" w:hAnsi="Aptos"/>
                <w:b w:val="0"/>
                <w:color w:val="28343E"/>
                <w:sz w:val="15"/>
              </w:rPr>
              <w:t>Directive Article 9(1)(d) concept.</w:t>
            </w:r>
          </w:p>
        </w:tc>
      </w:tr>
      <w:tr>
        <w:tc>
          <w:tcPr>
            <w:tcW w:type="dxa" w:w="2160"/>
            <w:vAlign w:val="center"/>
            <w:tcMar>
              <w:top w:w="70" w:type="dxa"/>
              <w:start w:w="90" w:type="dxa"/>
              <w:bottom w:w="70" w:type="dxa"/>
              <w:end w:w="90" w:type="dxa"/>
            </w:tcMar>
          </w:tcPr>
          <w:p>
            <w:pPr>
              <w:spacing w:after="0"/>
            </w:pPr>
            <w:r/>
            <w:r>
              <w:rPr>
                <w:rFonts w:ascii="Aptos" w:hAnsi="Aptos"/>
                <w:b w:val="0"/>
                <w:color w:val="28343E"/>
                <w:sz w:val="15"/>
              </w:rPr>
              <w:t>Feedback</w:t>
            </w:r>
          </w:p>
        </w:tc>
        <w:tc>
          <w:tcPr>
            <w:tcW w:type="dxa" w:w="3168"/>
            <w:vAlign w:val="center"/>
            <w:tcMar>
              <w:top w:w="70" w:type="dxa"/>
              <w:start w:w="90" w:type="dxa"/>
              <w:bottom w:w="70" w:type="dxa"/>
              <w:end w:w="90" w:type="dxa"/>
            </w:tcMar>
          </w:tcPr>
          <w:p>
            <w:pPr>
              <w:spacing w:after="0"/>
            </w:pPr>
            <w:r/>
            <w:r>
              <w:rPr>
                <w:rFonts w:ascii="Aptos" w:hAnsi="Aptos"/>
                <w:b w:val="0"/>
                <w:color w:val="28343E"/>
                <w:sz w:val="15"/>
              </w:rPr>
              <w:t>Within a reasonable timeframe not exceeding 3 months from the applicable Directive trigger</w:t>
            </w:r>
          </w:p>
        </w:tc>
        <w:tc>
          <w:tcPr>
            <w:tcW w:type="dxa" w:w="4248"/>
            <w:vAlign w:val="center"/>
            <w:tcMar>
              <w:top w:w="70" w:type="dxa"/>
              <w:start w:w="90" w:type="dxa"/>
              <w:bottom w:w="70" w:type="dxa"/>
              <w:end w:w="90" w:type="dxa"/>
            </w:tcMar>
          </w:tcPr>
          <w:p>
            <w:pPr>
              <w:spacing w:after="0"/>
            </w:pPr>
            <w:r/>
            <w:r>
              <w:rPr>
                <w:rFonts w:ascii="Aptos" w:hAnsi="Aptos"/>
                <w:b w:val="0"/>
                <w:color w:val="28343E"/>
                <w:sz w:val="15"/>
              </w:rPr>
              <w:t>Directive Article 9(1)(f) where applicable; Duckworks uses the same maximum internal baseline unless stricter law applies.</w:t>
            </w:r>
          </w:p>
        </w:tc>
      </w:tr>
      <w:tr>
        <w:tc>
          <w:tcPr>
            <w:tcW w:type="dxa" w:w="2160"/>
            <w:vAlign w:val="center"/>
            <w:tcMar>
              <w:top w:w="70" w:type="dxa"/>
              <w:start w:w="90" w:type="dxa"/>
              <w:bottom w:w="70" w:type="dxa"/>
              <w:end w:w="90" w:type="dxa"/>
            </w:tcMar>
            <w:shd w:fill="F4F6F7"/>
          </w:tcPr>
          <w:p>
            <w:pPr>
              <w:spacing w:after="0"/>
            </w:pPr>
            <w:r/>
            <w:r>
              <w:rPr>
                <w:rFonts w:ascii="Aptos" w:hAnsi="Aptos"/>
                <w:b w:val="0"/>
                <w:color w:val="28343E"/>
                <w:sz w:val="15"/>
              </w:rPr>
              <w:t>Emergency escalation</w:t>
            </w:r>
          </w:p>
        </w:tc>
        <w:tc>
          <w:tcPr>
            <w:tcW w:type="dxa" w:w="3168"/>
            <w:vAlign w:val="center"/>
            <w:tcMar>
              <w:top w:w="70" w:type="dxa"/>
              <w:start w:w="90" w:type="dxa"/>
              <w:bottom w:w="70" w:type="dxa"/>
              <w:end w:w="90" w:type="dxa"/>
            </w:tcMar>
            <w:shd w:fill="F4F6F7"/>
          </w:tcPr>
          <w:p>
            <w:pPr>
              <w:spacing w:after="0"/>
            </w:pPr>
            <w:r/>
            <w:r>
              <w:rPr>
                <w:rFonts w:ascii="Aptos" w:hAnsi="Aptos"/>
                <w:b w:val="0"/>
                <w:color w:val="28343E"/>
                <w:sz w:val="15"/>
              </w:rPr>
              <w:t>Immediate</w:t>
            </w:r>
          </w:p>
        </w:tc>
        <w:tc>
          <w:tcPr>
            <w:tcW w:type="dxa" w:w="4248"/>
            <w:vAlign w:val="center"/>
            <w:tcMar>
              <w:top w:w="70" w:type="dxa"/>
              <w:start w:w="90" w:type="dxa"/>
              <w:bottom w:w="70" w:type="dxa"/>
              <w:end w:w="90" w:type="dxa"/>
            </w:tcMar>
            <w:shd w:fill="F4F6F7"/>
          </w:tcPr>
          <w:p>
            <w:pPr>
              <w:spacing w:after="0"/>
            </w:pPr>
            <w:r/>
            <w:r>
              <w:rPr>
                <w:rFonts w:ascii="Aptos" w:hAnsi="Aptos"/>
                <w:b w:val="0"/>
                <w:color w:val="28343E"/>
                <w:sz w:val="15"/>
              </w:rPr>
              <w:t>Duckworks practice where continued operation could cause material harm.</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6"/>
            <w:tcMar>
              <w:top w:w="120" w:type="dxa"/>
              <w:start w:w="140" w:type="dxa"/>
              <w:bottom w:w="120" w:type="dxa"/>
              <w:end w:w="140" w:type="dxa"/>
            </w:tcMar>
            <w:tcBorders>
              <w:left w:val="single" w:sz="18" w:color="2D6F6D"/>
            </w:tcBorders>
          </w:tcPr>
          <w:p>
            <w:pPr>
              <w:spacing w:after="60"/>
            </w:pPr>
            <w:r>
              <w:rPr>
                <w:b/>
                <w:color w:val="173B57"/>
                <w:sz w:val="20"/>
              </w:rPr>
              <w:t>Feedback is not full disclosure</w:t>
            </w:r>
          </w:p>
          <w:p>
            <w:pPr>
              <w:spacing w:after="0"/>
            </w:pPr>
            <w:r>
              <w:rPr>
                <w:color w:val="28343E"/>
                <w:sz w:val="18"/>
              </w:rPr>
              <w:t>Feedback should explain action envisaged or taken and the grounds for follow-up to the extent legally and operationally appropriate. Duckworks will not disclose confidential personnel information, privileged legal advice, security-sensitive details or information that would compromise an investigation merely to provide case updates.</w:t>
            </w:r>
          </w:p>
        </w:tc>
      </w:tr>
    </w:tbl>
    <w:p>
      <w:pPr>
        <w:spacing w:after="0"/>
      </w:pPr>
    </w:p>
    <w:p>
      <w:pPr>
        <w:pStyle w:val="Heading1"/>
      </w:pPr>
      <w:r>
        <w:t>7. Confidentiality and Need-to-Know Handling</w:t>
      </w:r>
    </w:p>
    <w:p>
      <w:pPr>
        <w:pStyle w:val="ListBullet"/>
        <w:spacing w:after="50"/>
      </w:pPr>
      <w:r>
        <w:t>Reporter identity and any information from which identity can be directly or indirectly inferred will be restricted to authorized personnel handling the report.</w:t>
      </w:r>
    </w:p>
    <w:p>
      <w:pPr>
        <w:pStyle w:val="ListBullet"/>
        <w:spacing w:after="50"/>
      </w:pPr>
      <w:r>
        <w:t>The AI Governance Committee should normally receive the allegation, risk and action status without the reporter’s identity unless identity is genuinely necessary for lawful follow-up.</w:t>
      </w:r>
    </w:p>
    <w:p>
      <w:pPr>
        <w:pStyle w:val="ListBullet"/>
        <w:spacing w:after="50"/>
      </w:pPr>
      <w:r>
        <w:t>System owners or managers implicated by a report must not receive information that unnecessarily identifies the reporter.</w:t>
      </w:r>
    </w:p>
    <w:p>
      <w:pPr>
        <w:pStyle w:val="ListBullet"/>
        <w:spacing w:after="50"/>
      </w:pPr>
      <w:r>
        <w:t>If disclosure of identity is legally necessary and proportionate, the applicable legal safeguards and notification requirements must be followed.</w:t>
      </w:r>
    </w:p>
    <w:p>
      <w:pPr>
        <w:pStyle w:val="ListBullet"/>
        <w:spacing w:after="50"/>
      </w:pPr>
      <w:r>
        <w:t>Facilitators and other protected persons should receive comparable confidentiality treatment where applicable.</w:t>
      </w:r>
    </w:p>
    <w:p>
      <w:pPr>
        <w:pStyle w:val="ListBullet"/>
        <w:spacing w:after="50"/>
      </w:pPr>
      <w:r>
        <w:t>The identity and rights of the person who is the subject of an allegation must also be protected consistent with applicable law and a fair investigation.</w:t>
      </w:r>
    </w:p>
    <w:p>
      <w:pPr>
        <w:pStyle w:val="Heading2"/>
      </w:pPr>
      <w:r>
        <w:t>7.1 Conflicts of interest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vAlign w:val="center"/>
            <w:tcMar>
              <w:top w:w="70" w:type="dxa"/>
              <w:start w:w="90" w:type="dxa"/>
              <w:bottom w:w="70" w:type="dxa"/>
              <w:end w:w="90" w:type="dxa"/>
            </w:tcMar>
            <w:shd w:fill="173B57"/>
          </w:tcPr>
          <w:p>
            <w:pPr>
              <w:spacing w:after="0"/>
            </w:pPr>
            <w:r/>
            <w:r>
              <w:rPr>
                <w:rFonts w:ascii="Aptos" w:hAnsi="Aptos"/>
                <w:b/>
                <w:color w:val="FFFFFF"/>
                <w:sz w:val="15"/>
              </w:rPr>
              <w:t>Conflict</w:t>
            </w:r>
          </w:p>
        </w:tc>
        <w:tc>
          <w:tcPr>
            <w:tcW w:type="dxa" w:w="6048"/>
            <w:vAlign w:val="center"/>
            <w:tcMar>
              <w:top w:w="70" w:type="dxa"/>
              <w:start w:w="90" w:type="dxa"/>
              <w:bottom w:w="70" w:type="dxa"/>
              <w:end w:w="90" w:type="dxa"/>
            </w:tcMar>
            <w:shd w:fill="173B57"/>
          </w:tcPr>
          <w:p>
            <w:pPr>
              <w:spacing w:after="0"/>
            </w:pPr>
            <w:r/>
            <w:r>
              <w:rPr>
                <w:rFonts w:ascii="Aptos" w:hAnsi="Aptos"/>
                <w:b/>
                <w:color w:val="FFFFFF"/>
                <w:sz w:val="15"/>
              </w:rPr>
              <w:t>Required routing</w:t>
            </w:r>
          </w:p>
        </w:tc>
      </w:tr>
      <w:tr>
        <w:tc>
          <w:tcPr>
            <w:tcW w:type="dxa" w:w="3312"/>
            <w:vAlign w:val="center"/>
            <w:tcMar>
              <w:top w:w="70" w:type="dxa"/>
              <w:start w:w="90" w:type="dxa"/>
              <w:bottom w:w="70" w:type="dxa"/>
              <w:end w:w="90" w:type="dxa"/>
            </w:tcMar>
          </w:tcPr>
          <w:p>
            <w:pPr>
              <w:spacing w:after="0"/>
            </w:pPr>
            <w:r/>
            <w:r>
              <w:rPr>
                <w:rFonts w:ascii="Aptos" w:hAnsi="Aptos"/>
                <w:b w:val="0"/>
                <w:color w:val="28343E"/>
                <w:sz w:val="15"/>
              </w:rPr>
              <w:t>Report concerns AI Governance Lead / CRCO</w:t>
            </w:r>
          </w:p>
        </w:tc>
        <w:tc>
          <w:tcPr>
            <w:tcW w:type="dxa" w:w="6048"/>
            <w:vAlign w:val="center"/>
            <w:tcMar>
              <w:top w:w="70" w:type="dxa"/>
              <w:start w:w="90" w:type="dxa"/>
              <w:bottom w:w="70" w:type="dxa"/>
              <w:end w:w="90" w:type="dxa"/>
            </w:tcMar>
          </w:tcPr>
          <w:p>
            <w:pPr>
              <w:spacing w:after="0"/>
            </w:pPr>
            <w:r/>
            <w:r>
              <w:rPr>
                <w:rFonts w:ascii="Aptos" w:hAnsi="Aptos"/>
                <w:b w:val="0"/>
                <w:color w:val="28343E"/>
                <w:sz w:val="15"/>
              </w:rPr>
              <w:t>Route to General Counsel / independent whistleblowing function; escalate to Board Audit &amp; Risk Committee where needed.</w:t>
            </w:r>
          </w:p>
        </w:tc>
      </w:tr>
      <w:tr>
        <w:tc>
          <w:tcPr>
            <w:tcW w:type="dxa" w:w="3312"/>
            <w:vAlign w:val="center"/>
            <w:tcMar>
              <w:top w:w="70" w:type="dxa"/>
              <w:start w:w="90" w:type="dxa"/>
              <w:bottom w:w="70" w:type="dxa"/>
              <w:end w:w="90" w:type="dxa"/>
            </w:tcMar>
            <w:shd w:fill="F4F6F7"/>
          </w:tcPr>
          <w:p>
            <w:pPr>
              <w:spacing w:after="0"/>
            </w:pPr>
            <w:r/>
            <w:r>
              <w:rPr>
                <w:rFonts w:ascii="Aptos" w:hAnsi="Aptos"/>
                <w:b w:val="0"/>
                <w:color w:val="28343E"/>
                <w:sz w:val="15"/>
              </w:rPr>
              <w:t>Report concerns General Counsel or whistleblowing handler</w:t>
            </w:r>
          </w:p>
        </w:tc>
        <w:tc>
          <w:tcPr>
            <w:tcW w:type="dxa" w:w="6048"/>
            <w:vAlign w:val="center"/>
            <w:tcMar>
              <w:top w:w="70" w:type="dxa"/>
              <w:start w:w="90" w:type="dxa"/>
              <w:bottom w:w="70" w:type="dxa"/>
              <w:end w:w="90" w:type="dxa"/>
            </w:tcMar>
            <w:shd w:fill="F4F6F7"/>
          </w:tcPr>
          <w:p>
            <w:pPr>
              <w:spacing w:after="0"/>
            </w:pPr>
            <w:r/>
            <w:r>
              <w:rPr>
                <w:rFonts w:ascii="Aptos" w:hAnsi="Aptos"/>
                <w:b w:val="0"/>
                <w:color w:val="28343E"/>
                <w:sz w:val="15"/>
              </w:rPr>
              <w:t>Use independent external provider or Board Audit &amp; Risk Committee route.</w:t>
            </w:r>
          </w:p>
        </w:tc>
      </w:tr>
      <w:tr>
        <w:tc>
          <w:tcPr>
            <w:tcW w:type="dxa" w:w="3312"/>
            <w:vAlign w:val="center"/>
            <w:tcMar>
              <w:top w:w="70" w:type="dxa"/>
              <w:start w:w="90" w:type="dxa"/>
              <w:bottom w:w="70" w:type="dxa"/>
              <w:end w:w="90" w:type="dxa"/>
            </w:tcMar>
          </w:tcPr>
          <w:p>
            <w:pPr>
              <w:spacing w:after="0"/>
            </w:pPr>
            <w:r/>
            <w:r>
              <w:rPr>
                <w:rFonts w:ascii="Aptos" w:hAnsi="Aptos"/>
                <w:b w:val="0"/>
                <w:color w:val="28343E"/>
                <w:sz w:val="15"/>
              </w:rPr>
              <w:t>Report concerns CISO / security team</w:t>
            </w:r>
          </w:p>
        </w:tc>
        <w:tc>
          <w:tcPr>
            <w:tcW w:type="dxa" w:w="6048"/>
            <w:vAlign w:val="center"/>
            <w:tcMar>
              <w:top w:w="70" w:type="dxa"/>
              <w:start w:w="90" w:type="dxa"/>
              <w:bottom w:w="70" w:type="dxa"/>
              <w:end w:w="90" w:type="dxa"/>
            </w:tcMar>
          </w:tcPr>
          <w:p>
            <w:pPr>
              <w:spacing w:after="0"/>
            </w:pPr>
            <w:r/>
            <w:r>
              <w:rPr>
                <w:rFonts w:ascii="Aptos" w:hAnsi="Aptos"/>
                <w:b w:val="0"/>
                <w:color w:val="28343E"/>
                <w:sz w:val="15"/>
              </w:rPr>
              <w:t>Preserve evidence using an independent technical custodian; Legal/CRCO directs investigation.</w:t>
            </w:r>
          </w:p>
        </w:tc>
      </w:tr>
      <w:tr>
        <w:tc>
          <w:tcPr>
            <w:tcW w:type="dxa" w:w="3312"/>
            <w:vAlign w:val="center"/>
            <w:tcMar>
              <w:top w:w="70" w:type="dxa"/>
              <w:start w:w="90" w:type="dxa"/>
              <w:bottom w:w="70" w:type="dxa"/>
              <w:end w:w="90" w:type="dxa"/>
            </w:tcMar>
            <w:shd w:fill="F4F6F7"/>
          </w:tcPr>
          <w:p>
            <w:pPr>
              <w:spacing w:after="0"/>
            </w:pPr>
            <w:r/>
            <w:r>
              <w:rPr>
                <w:rFonts w:ascii="Aptos" w:hAnsi="Aptos"/>
                <w:b w:val="0"/>
                <w:color w:val="28343E"/>
                <w:sz w:val="15"/>
              </w:rPr>
              <w:t>Report concerns HR / CPO</w:t>
            </w:r>
          </w:p>
        </w:tc>
        <w:tc>
          <w:tcPr>
            <w:tcW w:type="dxa" w:w="6048"/>
            <w:vAlign w:val="center"/>
            <w:tcMar>
              <w:top w:w="70" w:type="dxa"/>
              <w:start w:w="90" w:type="dxa"/>
              <w:bottom w:w="70" w:type="dxa"/>
              <w:end w:w="90" w:type="dxa"/>
            </w:tcMar>
            <w:shd w:fill="F4F6F7"/>
          </w:tcPr>
          <w:p>
            <w:pPr>
              <w:spacing w:after="0"/>
            </w:pPr>
            <w:r/>
            <w:r>
              <w:rPr>
                <w:rFonts w:ascii="Aptos" w:hAnsi="Aptos"/>
                <w:b w:val="0"/>
                <w:color w:val="28343E"/>
                <w:sz w:val="15"/>
              </w:rPr>
              <w:t>HR must not be sole case owner; use Legal/independent handler and appropriate board escalation.</w:t>
            </w:r>
          </w:p>
        </w:tc>
      </w:tr>
      <w:tr>
        <w:tc>
          <w:tcPr>
            <w:tcW w:type="dxa" w:w="3312"/>
            <w:vAlign w:val="center"/>
            <w:tcMar>
              <w:top w:w="70" w:type="dxa"/>
              <w:start w:w="90" w:type="dxa"/>
              <w:bottom w:w="70" w:type="dxa"/>
              <w:end w:w="90" w:type="dxa"/>
            </w:tcMar>
          </w:tcPr>
          <w:p>
            <w:pPr>
              <w:spacing w:after="0"/>
            </w:pPr>
            <w:r/>
            <w:r>
              <w:rPr>
                <w:rFonts w:ascii="Aptos" w:hAnsi="Aptos"/>
                <w:b w:val="0"/>
                <w:color w:val="28343E"/>
                <w:sz w:val="15"/>
              </w:rPr>
              <w:t>Report concerns CEO / executive leadership</w:t>
            </w:r>
          </w:p>
        </w:tc>
        <w:tc>
          <w:tcPr>
            <w:tcW w:type="dxa" w:w="6048"/>
            <w:vAlign w:val="center"/>
            <w:tcMar>
              <w:top w:w="70" w:type="dxa"/>
              <w:start w:w="90" w:type="dxa"/>
              <w:bottom w:w="70" w:type="dxa"/>
              <w:end w:w="90" w:type="dxa"/>
            </w:tcMar>
          </w:tcPr>
          <w:p>
            <w:pPr>
              <w:spacing w:after="0"/>
            </w:pPr>
            <w:r/>
            <w:r>
              <w:rPr>
                <w:rFonts w:ascii="Aptos" w:hAnsi="Aptos"/>
                <w:b w:val="0"/>
                <w:color w:val="28343E"/>
                <w:sz w:val="15"/>
              </w:rPr>
              <w:t>Escalate to Board Audit &amp; Risk Committee / appropriate governing body.</w:t>
            </w:r>
          </w:p>
        </w:tc>
      </w:tr>
    </w:tbl>
    <w:p>
      <w:pPr>
        <w:spacing w:after="0"/>
      </w:pPr>
    </w:p>
    <w:p>
      <w:r>
        <w:br w:type="page"/>
      </w:r>
    </w:p>
    <w:p>
      <w:pPr>
        <w:pStyle w:val="Heading1"/>
      </w:pPr>
      <w:r>
        <w:t>8. Prohibition of Retaliation</w:t>
      </w:r>
    </w:p>
    <w:p>
      <w:pPr>
        <w:spacing w:after="100" w:line="247" w:lineRule="auto"/>
      </w:pPr>
      <w:r>
        <w:t>Duckworks prohibits retaliation, attempted retaliation and threats of retaliation against a person because they reported, assisted with, or participated in the handling of an AI-related concern. This policy protection applies to reports within Duckworks’ policy scope; statutory protection is determined by applicable law.</w:t>
      </w:r>
    </w:p>
    <w:p>
      <w:pPr>
        <w:pStyle w:val="ListBullet"/>
        <w:spacing w:after="50"/>
      </w:pPr>
      <w:r>
        <w:t>Dismissal, suspension, demotion or withholding promotion.</w:t>
      </w:r>
    </w:p>
    <w:p>
      <w:pPr>
        <w:pStyle w:val="ListBullet"/>
        <w:spacing w:after="50"/>
      </w:pPr>
      <w:r>
        <w:t>Unjustified changes in duties, location, pay, working hours or access to training.</w:t>
      </w:r>
    </w:p>
    <w:p>
      <w:pPr>
        <w:pStyle w:val="ListBullet"/>
        <w:spacing w:after="50"/>
      </w:pPr>
      <w:r>
        <w:t>Unfair performance reviews, disciplinary action or adverse references.</w:t>
      </w:r>
    </w:p>
    <w:p>
      <w:pPr>
        <w:pStyle w:val="ListBullet"/>
        <w:spacing w:after="50"/>
      </w:pPr>
      <w:r>
        <w:t>Coercion, intimidation, harassment, ostracism, discrimination or unfair treatment.</w:t>
      </w:r>
    </w:p>
    <w:p>
      <w:pPr>
        <w:pStyle w:val="ListBullet"/>
        <w:spacing w:after="50"/>
      </w:pPr>
      <w:r>
        <w:t>Blacklisting, reputational harm or interference with future work opportunities.</w:t>
      </w:r>
    </w:p>
    <w:p>
      <w:pPr>
        <w:pStyle w:val="ListBullet"/>
        <w:spacing w:after="50"/>
      </w:pPr>
      <w:r>
        <w:t>Unjustified termination or non-renewal of a contract or supplier relationship.</w:t>
      </w:r>
    </w:p>
    <w:p>
      <w:pPr>
        <w:pStyle w:val="ListBullet"/>
        <w:spacing w:after="50"/>
      </w:pPr>
      <w:r>
        <w:t>Threats or pressure to withdraw, alter or suppress a report.</w:t>
      </w:r>
    </w:p>
    <w:p>
      <w:pPr>
        <w:pStyle w:val="ListBullet"/>
        <w:spacing w:after="50"/>
      </w:pPr>
      <w:r>
        <w:t>Misuse of AI monitoring, HR analytics or access logs to identify or target a reporter.</w:t>
      </w:r>
    </w:p>
    <w:p>
      <w:pPr>
        <w:pStyle w:val="Heading2"/>
      </w:pPr>
      <w:r>
        <w:t>8.1 Retaliation safeguards</w:t>
      </w:r>
    </w:p>
    <w:p>
      <w:pPr>
        <w:spacing w:after="40"/>
      </w:pPr>
      <w:r>
        <w:t>☐ Reporter-facing case communications will include a clear route for reporting suspected retaliation.</w:t>
      </w:r>
    </w:p>
    <w:p>
      <w:pPr>
        <w:spacing w:after="40"/>
      </w:pPr>
      <w:r>
        <w:t>☐ HR and Legal will assess material employment actions involving an identified reporter where a retaliation risk has been flagged, without creating unnecessary disclosure of the report.</w:t>
      </w:r>
    </w:p>
    <w:p>
      <w:pPr>
        <w:spacing w:after="40"/>
      </w:pPr>
      <w:r>
        <w:t>☐ AI or analytics tools must not be used to infer or identify a confidential reporter unless specifically authorized for a lawful investigation purpose.</w:t>
      </w:r>
    </w:p>
    <w:p>
      <w:pPr>
        <w:spacing w:after="40"/>
      </w:pPr>
      <w:r>
        <w:t>☐ Confirmed retaliation is treated as a serious policy violation and escalated for disciplinary or contractual action subject to applicable law.</w:t>
      </w:r>
    </w:p>
    <w:p>
      <w:pPr>
        <w:pStyle w:val="Heading1"/>
      </w:pPr>
      <w:r>
        <w:t>9. Case Intake, Triage and Investigation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vAlign w:val="center"/>
            <w:tcMar>
              <w:top w:w="70" w:type="dxa"/>
              <w:start w:w="90" w:type="dxa"/>
              <w:bottom w:w="70" w:type="dxa"/>
              <w:end w:w="90" w:type="dxa"/>
            </w:tcMar>
            <w:shd w:fill="173B57"/>
          </w:tcPr>
          <w:p>
            <w:pPr>
              <w:spacing w:after="0"/>
            </w:pPr>
            <w:r/>
            <w:r>
              <w:rPr>
                <w:rFonts w:ascii="Aptos" w:hAnsi="Aptos"/>
                <w:b/>
                <w:color w:val="FFFFFF"/>
                <w:sz w:val="15"/>
              </w:rPr>
              <w:t>Step</w:t>
            </w:r>
          </w:p>
        </w:tc>
        <w:tc>
          <w:tcPr>
            <w:tcW w:type="dxa" w:w="7488"/>
            <w:vAlign w:val="center"/>
            <w:tcMar>
              <w:top w:w="70" w:type="dxa"/>
              <w:start w:w="90" w:type="dxa"/>
              <w:bottom w:w="70" w:type="dxa"/>
              <w:end w:w="90" w:type="dxa"/>
            </w:tcMar>
            <w:shd w:fill="173B57"/>
          </w:tcPr>
          <w:p>
            <w:pPr>
              <w:spacing w:after="0"/>
            </w:pPr>
            <w:r/>
            <w:r>
              <w:rPr>
                <w:rFonts w:ascii="Aptos" w:hAnsi="Aptos"/>
                <w:b/>
                <w:color w:val="FFFFFF"/>
                <w:sz w:val="15"/>
              </w:rPr>
              <w:t>Required action</w:t>
            </w:r>
          </w:p>
        </w:tc>
      </w:tr>
      <w:tr>
        <w:tc>
          <w:tcPr>
            <w:tcW w:type="dxa" w:w="1872"/>
            <w:vAlign w:val="center"/>
            <w:tcMar>
              <w:top w:w="70" w:type="dxa"/>
              <w:start w:w="90" w:type="dxa"/>
              <w:bottom w:w="70" w:type="dxa"/>
              <w:end w:w="90" w:type="dxa"/>
            </w:tcMar>
          </w:tcPr>
          <w:p>
            <w:pPr>
              <w:spacing w:after="0"/>
            </w:pPr>
            <w:r/>
            <w:r>
              <w:rPr>
                <w:rFonts w:ascii="Aptos" w:hAnsi="Aptos"/>
                <w:b w:val="0"/>
                <w:color w:val="28343E"/>
                <w:sz w:val="15"/>
              </w:rPr>
              <w:t>1. Receive</w:t>
            </w:r>
          </w:p>
        </w:tc>
        <w:tc>
          <w:tcPr>
            <w:tcW w:type="dxa" w:w="7488"/>
            <w:vAlign w:val="center"/>
            <w:tcMar>
              <w:top w:w="70" w:type="dxa"/>
              <w:start w:w="90" w:type="dxa"/>
              <w:bottom w:w="70" w:type="dxa"/>
              <w:end w:w="90" w:type="dxa"/>
            </w:tcMar>
          </w:tcPr>
          <w:p>
            <w:pPr>
              <w:spacing w:after="0"/>
            </w:pPr>
            <w:r/>
            <w:r>
              <w:rPr>
                <w:rFonts w:ascii="Aptos" w:hAnsi="Aptos"/>
                <w:b w:val="0"/>
                <w:color w:val="28343E"/>
                <w:sz w:val="15"/>
              </w:rPr>
              <w:t>Securely register the report and preserve confidentiality.</w:t>
            </w:r>
          </w:p>
        </w:tc>
      </w:tr>
      <w:tr>
        <w:tc>
          <w:tcPr>
            <w:tcW w:type="dxa" w:w="1872"/>
            <w:vAlign w:val="center"/>
            <w:tcMar>
              <w:top w:w="70" w:type="dxa"/>
              <w:start w:w="90" w:type="dxa"/>
              <w:bottom w:w="70" w:type="dxa"/>
              <w:end w:w="90" w:type="dxa"/>
            </w:tcMar>
            <w:shd w:fill="F4F6F7"/>
          </w:tcPr>
          <w:p>
            <w:pPr>
              <w:spacing w:after="0"/>
            </w:pPr>
            <w:r/>
            <w:r>
              <w:rPr>
                <w:rFonts w:ascii="Aptos" w:hAnsi="Aptos"/>
                <w:b w:val="0"/>
                <w:color w:val="28343E"/>
                <w:sz w:val="15"/>
              </w:rPr>
              <w:t>2. Acknowledge</w:t>
            </w:r>
          </w:p>
        </w:tc>
        <w:tc>
          <w:tcPr>
            <w:tcW w:type="dxa" w:w="7488"/>
            <w:vAlign w:val="center"/>
            <w:tcMar>
              <w:top w:w="70" w:type="dxa"/>
              <w:start w:w="90" w:type="dxa"/>
              <w:bottom w:w="70" w:type="dxa"/>
              <w:end w:w="90" w:type="dxa"/>
            </w:tcMar>
            <w:shd w:fill="F4F6F7"/>
          </w:tcPr>
          <w:p>
            <w:pPr>
              <w:spacing w:after="0"/>
            </w:pPr>
            <w:r/>
            <w:r>
              <w:rPr>
                <w:rFonts w:ascii="Aptos" w:hAnsi="Aptos"/>
                <w:b w:val="0"/>
                <w:color w:val="28343E"/>
                <w:sz w:val="15"/>
              </w:rPr>
              <w:t>Confirm receipt where contact is available.</w:t>
            </w:r>
          </w:p>
        </w:tc>
      </w:tr>
      <w:tr>
        <w:tc>
          <w:tcPr>
            <w:tcW w:type="dxa" w:w="1872"/>
            <w:vAlign w:val="center"/>
            <w:tcMar>
              <w:top w:w="70" w:type="dxa"/>
              <w:start w:w="90" w:type="dxa"/>
              <w:bottom w:w="70" w:type="dxa"/>
              <w:end w:w="90" w:type="dxa"/>
            </w:tcMar>
          </w:tcPr>
          <w:p>
            <w:pPr>
              <w:spacing w:after="0"/>
            </w:pPr>
            <w:r/>
            <w:r>
              <w:rPr>
                <w:rFonts w:ascii="Aptos" w:hAnsi="Aptos"/>
                <w:b w:val="0"/>
                <w:color w:val="28343E"/>
                <w:sz w:val="15"/>
              </w:rPr>
              <w:t>3. Protect</w:t>
            </w:r>
          </w:p>
        </w:tc>
        <w:tc>
          <w:tcPr>
            <w:tcW w:type="dxa" w:w="7488"/>
            <w:vAlign w:val="center"/>
            <w:tcMar>
              <w:top w:w="70" w:type="dxa"/>
              <w:start w:w="90" w:type="dxa"/>
              <w:bottom w:w="70" w:type="dxa"/>
              <w:end w:w="90" w:type="dxa"/>
            </w:tcMar>
          </w:tcPr>
          <w:p>
            <w:pPr>
              <w:spacing w:after="0"/>
            </w:pPr>
            <w:r/>
            <w:r>
              <w:rPr>
                <w:rFonts w:ascii="Aptos" w:hAnsi="Aptos"/>
                <w:b w:val="0"/>
                <w:color w:val="28343E"/>
                <w:sz w:val="15"/>
              </w:rPr>
              <w:t>Assess immediate retaliation, safety, privacy, security and evidence-preservation risks.</w:t>
            </w:r>
          </w:p>
        </w:tc>
      </w:tr>
      <w:tr>
        <w:tc>
          <w:tcPr>
            <w:tcW w:type="dxa" w:w="1872"/>
            <w:vAlign w:val="center"/>
            <w:tcMar>
              <w:top w:w="70" w:type="dxa"/>
              <w:start w:w="90" w:type="dxa"/>
              <w:bottom w:w="70" w:type="dxa"/>
              <w:end w:w="90" w:type="dxa"/>
            </w:tcMar>
            <w:shd w:fill="F4F6F7"/>
          </w:tcPr>
          <w:p>
            <w:pPr>
              <w:spacing w:after="0"/>
            </w:pPr>
            <w:r/>
            <w:r>
              <w:rPr>
                <w:rFonts w:ascii="Aptos" w:hAnsi="Aptos"/>
                <w:b w:val="0"/>
                <w:color w:val="28343E"/>
                <w:sz w:val="15"/>
              </w:rPr>
              <w:t>4. Classify</w:t>
            </w:r>
          </w:p>
        </w:tc>
        <w:tc>
          <w:tcPr>
            <w:tcW w:type="dxa" w:w="7488"/>
            <w:vAlign w:val="center"/>
            <w:tcMar>
              <w:top w:w="70" w:type="dxa"/>
              <w:start w:w="90" w:type="dxa"/>
              <w:bottom w:w="70" w:type="dxa"/>
              <w:end w:w="90" w:type="dxa"/>
            </w:tcMar>
            <w:shd w:fill="F4F6F7"/>
          </w:tcPr>
          <w:p>
            <w:pPr>
              <w:spacing w:after="0"/>
            </w:pPr>
            <w:r/>
            <w:r>
              <w:rPr>
                <w:rFonts w:ascii="Aptos" w:hAnsi="Aptos"/>
                <w:b w:val="0"/>
                <w:color w:val="28343E"/>
                <w:sz w:val="15"/>
              </w:rPr>
              <w:t>Determine whether the matter may fall within statutory whistleblowing scope, Duckworks AI policy scope, both, or another process.</w:t>
            </w:r>
          </w:p>
        </w:tc>
      </w:tr>
      <w:tr>
        <w:tc>
          <w:tcPr>
            <w:tcW w:type="dxa" w:w="1872"/>
            <w:vAlign w:val="center"/>
            <w:tcMar>
              <w:top w:w="70" w:type="dxa"/>
              <w:start w:w="90" w:type="dxa"/>
              <w:bottom w:w="70" w:type="dxa"/>
              <w:end w:w="90" w:type="dxa"/>
            </w:tcMar>
          </w:tcPr>
          <w:p>
            <w:pPr>
              <w:spacing w:after="0"/>
            </w:pPr>
            <w:r/>
            <w:r>
              <w:rPr>
                <w:rFonts w:ascii="Aptos" w:hAnsi="Aptos"/>
                <w:b w:val="0"/>
                <w:color w:val="28343E"/>
                <w:sz w:val="15"/>
              </w:rPr>
              <w:t>5. Conflict check</w:t>
            </w:r>
          </w:p>
        </w:tc>
        <w:tc>
          <w:tcPr>
            <w:tcW w:type="dxa" w:w="7488"/>
            <w:vAlign w:val="center"/>
            <w:tcMar>
              <w:top w:w="70" w:type="dxa"/>
              <w:start w:w="90" w:type="dxa"/>
              <w:bottom w:w="70" w:type="dxa"/>
              <w:end w:w="90" w:type="dxa"/>
            </w:tcMar>
          </w:tcPr>
          <w:p>
            <w:pPr>
              <w:spacing w:after="0"/>
            </w:pPr>
            <w:r/>
            <w:r>
              <w:rPr>
                <w:rFonts w:ascii="Aptos" w:hAnsi="Aptos"/>
                <w:b w:val="0"/>
                <w:color w:val="28343E"/>
                <w:sz w:val="15"/>
              </w:rPr>
              <w:t>Ensure the handler/investigator is independent of persons implicated.</w:t>
            </w:r>
          </w:p>
        </w:tc>
      </w:tr>
      <w:tr>
        <w:tc>
          <w:tcPr>
            <w:tcW w:type="dxa" w:w="1872"/>
            <w:vAlign w:val="center"/>
            <w:tcMar>
              <w:top w:w="70" w:type="dxa"/>
              <w:start w:w="90" w:type="dxa"/>
              <w:bottom w:w="70" w:type="dxa"/>
              <w:end w:w="90" w:type="dxa"/>
            </w:tcMar>
            <w:shd w:fill="F4F6F7"/>
          </w:tcPr>
          <w:p>
            <w:pPr>
              <w:spacing w:after="0"/>
            </w:pPr>
            <w:r/>
            <w:r>
              <w:rPr>
                <w:rFonts w:ascii="Aptos" w:hAnsi="Aptos"/>
                <w:b w:val="0"/>
                <w:color w:val="28343E"/>
                <w:sz w:val="15"/>
              </w:rPr>
              <w:t>6. AI severity triage</w:t>
            </w:r>
          </w:p>
        </w:tc>
        <w:tc>
          <w:tcPr>
            <w:tcW w:type="dxa" w:w="7488"/>
            <w:vAlign w:val="center"/>
            <w:tcMar>
              <w:top w:w="70" w:type="dxa"/>
              <w:start w:w="90" w:type="dxa"/>
              <w:bottom w:w="70" w:type="dxa"/>
              <w:end w:w="90" w:type="dxa"/>
            </w:tcMar>
            <w:shd w:fill="F4F6F7"/>
          </w:tcPr>
          <w:p>
            <w:pPr>
              <w:spacing w:after="0"/>
            </w:pPr>
            <w:r/>
            <w:r>
              <w:rPr>
                <w:rFonts w:ascii="Aptos" w:hAnsi="Aptos"/>
                <w:b w:val="0"/>
                <w:color w:val="28343E"/>
                <w:sz w:val="15"/>
              </w:rPr>
              <w:t>Identify affected AI system, current gate, possible harm, legal/safety/security/privacy/HR implications and need for stop-use.</w:t>
            </w:r>
          </w:p>
        </w:tc>
      </w:tr>
      <w:tr>
        <w:tc>
          <w:tcPr>
            <w:tcW w:type="dxa" w:w="1872"/>
            <w:vAlign w:val="center"/>
            <w:tcMar>
              <w:top w:w="70" w:type="dxa"/>
              <w:start w:w="90" w:type="dxa"/>
              <w:bottom w:w="70" w:type="dxa"/>
              <w:end w:w="90" w:type="dxa"/>
            </w:tcMar>
          </w:tcPr>
          <w:p>
            <w:pPr>
              <w:spacing w:after="0"/>
            </w:pPr>
            <w:r/>
            <w:r>
              <w:rPr>
                <w:rFonts w:ascii="Aptos" w:hAnsi="Aptos"/>
                <w:b w:val="0"/>
                <w:color w:val="28343E"/>
                <w:sz w:val="15"/>
              </w:rPr>
              <w:t>7. Investigate / refer</w:t>
            </w:r>
          </w:p>
        </w:tc>
        <w:tc>
          <w:tcPr>
            <w:tcW w:type="dxa" w:w="7488"/>
            <w:vAlign w:val="center"/>
            <w:tcMar>
              <w:top w:w="70" w:type="dxa"/>
              <w:start w:w="90" w:type="dxa"/>
              <w:bottom w:w="70" w:type="dxa"/>
              <w:end w:w="90" w:type="dxa"/>
            </w:tcMar>
          </w:tcPr>
          <w:p>
            <w:pPr>
              <w:spacing w:after="0"/>
            </w:pPr>
            <w:r/>
            <w:r>
              <w:rPr>
                <w:rFonts w:ascii="Aptos" w:hAnsi="Aptos"/>
                <w:b w:val="0"/>
                <w:color w:val="28343E"/>
                <w:sz w:val="15"/>
              </w:rPr>
              <w:t>Assign an impartial investigator or specialist team; referrals are need-to-know and identity-minimized.</w:t>
            </w:r>
          </w:p>
        </w:tc>
      </w:tr>
      <w:tr>
        <w:tc>
          <w:tcPr>
            <w:tcW w:type="dxa" w:w="1872"/>
            <w:vAlign w:val="center"/>
            <w:tcMar>
              <w:top w:w="70" w:type="dxa"/>
              <w:start w:w="90" w:type="dxa"/>
              <w:bottom w:w="70" w:type="dxa"/>
              <w:end w:w="90" w:type="dxa"/>
            </w:tcMar>
            <w:shd w:fill="F4F6F7"/>
          </w:tcPr>
          <w:p>
            <w:pPr>
              <w:spacing w:after="0"/>
            </w:pPr>
            <w:r/>
            <w:r>
              <w:rPr>
                <w:rFonts w:ascii="Aptos" w:hAnsi="Aptos"/>
                <w:b w:val="0"/>
                <w:color w:val="28343E"/>
                <w:sz w:val="15"/>
              </w:rPr>
              <w:t>8. Remediate</w:t>
            </w:r>
          </w:p>
        </w:tc>
        <w:tc>
          <w:tcPr>
            <w:tcW w:type="dxa" w:w="7488"/>
            <w:vAlign w:val="center"/>
            <w:tcMar>
              <w:top w:w="70" w:type="dxa"/>
              <w:start w:w="90" w:type="dxa"/>
              <w:bottom w:w="70" w:type="dxa"/>
              <w:end w:w="90" w:type="dxa"/>
            </w:tcMar>
            <w:shd w:fill="F4F6F7"/>
          </w:tcPr>
          <w:p>
            <w:pPr>
              <w:spacing w:after="0"/>
            </w:pPr>
            <w:r/>
            <w:r>
              <w:rPr>
                <w:rFonts w:ascii="Aptos" w:hAnsi="Aptos"/>
                <w:b w:val="0"/>
                <w:color w:val="28343E"/>
                <w:sz w:val="15"/>
              </w:rPr>
              <w:t>Contain harmful use, correct controls, update assessments, preserve evidence, initiate incident/change management where needed.</w:t>
            </w:r>
          </w:p>
        </w:tc>
      </w:tr>
      <w:tr>
        <w:tc>
          <w:tcPr>
            <w:tcW w:type="dxa" w:w="1872"/>
            <w:vAlign w:val="center"/>
            <w:tcMar>
              <w:top w:w="70" w:type="dxa"/>
              <w:start w:w="90" w:type="dxa"/>
              <w:bottom w:w="70" w:type="dxa"/>
              <w:end w:w="90" w:type="dxa"/>
            </w:tcMar>
          </w:tcPr>
          <w:p>
            <w:pPr>
              <w:spacing w:after="0"/>
            </w:pPr>
            <w:r/>
            <w:r>
              <w:rPr>
                <w:rFonts w:ascii="Aptos" w:hAnsi="Aptos"/>
                <w:b w:val="0"/>
                <w:color w:val="28343E"/>
                <w:sz w:val="15"/>
              </w:rPr>
              <w:t>9. Feedback</w:t>
            </w:r>
          </w:p>
        </w:tc>
        <w:tc>
          <w:tcPr>
            <w:tcW w:type="dxa" w:w="7488"/>
            <w:vAlign w:val="center"/>
            <w:tcMar>
              <w:top w:w="70" w:type="dxa"/>
              <w:start w:w="90" w:type="dxa"/>
              <w:bottom w:w="70" w:type="dxa"/>
              <w:end w:w="90" w:type="dxa"/>
            </w:tcMar>
          </w:tcPr>
          <w:p>
            <w:pPr>
              <w:spacing w:after="0"/>
            </w:pPr>
            <w:r/>
            <w:r>
              <w:rPr>
                <w:rFonts w:ascii="Aptos" w:hAnsi="Aptos"/>
                <w:b w:val="0"/>
                <w:color w:val="28343E"/>
                <w:sz w:val="15"/>
              </w:rPr>
              <w:t>Provide appropriate status/outcome feedback within applicable timelines.</w:t>
            </w:r>
          </w:p>
        </w:tc>
      </w:tr>
      <w:tr>
        <w:tc>
          <w:tcPr>
            <w:tcW w:type="dxa" w:w="1872"/>
            <w:vAlign w:val="center"/>
            <w:tcMar>
              <w:top w:w="70" w:type="dxa"/>
              <w:start w:w="90" w:type="dxa"/>
              <w:bottom w:w="70" w:type="dxa"/>
              <w:end w:w="90" w:type="dxa"/>
            </w:tcMar>
            <w:shd w:fill="F4F6F7"/>
          </w:tcPr>
          <w:p>
            <w:pPr>
              <w:spacing w:after="0"/>
            </w:pPr>
            <w:r/>
            <w:r>
              <w:rPr>
                <w:rFonts w:ascii="Aptos" w:hAnsi="Aptos"/>
                <w:b w:val="0"/>
                <w:color w:val="28343E"/>
                <w:sz w:val="15"/>
              </w:rPr>
              <w:t>10. Close &amp; monitor</w:t>
            </w:r>
          </w:p>
        </w:tc>
        <w:tc>
          <w:tcPr>
            <w:tcW w:type="dxa" w:w="7488"/>
            <w:vAlign w:val="center"/>
            <w:tcMar>
              <w:top w:w="70" w:type="dxa"/>
              <w:start w:w="90" w:type="dxa"/>
              <w:bottom w:w="70" w:type="dxa"/>
              <w:end w:w="90" w:type="dxa"/>
            </w:tcMar>
            <w:shd w:fill="F4F6F7"/>
          </w:tcPr>
          <w:p>
            <w:pPr>
              <w:spacing w:after="0"/>
            </w:pPr>
            <w:r/>
            <w:r>
              <w:rPr>
                <w:rFonts w:ascii="Aptos" w:hAnsi="Aptos"/>
                <w:b w:val="0"/>
                <w:color w:val="28343E"/>
                <w:sz w:val="15"/>
              </w:rPr>
              <w:t>Document rationale, actions, residual risk, retaliation monitoring, lessons learned and governance updates.</w:t>
            </w:r>
          </w:p>
        </w:tc>
      </w:tr>
    </w:tbl>
    <w:p>
      <w:pPr>
        <w:spacing w:after="0"/>
      </w:pPr>
    </w:p>
    <w:p>
      <w:pPr>
        <w:pStyle w:val="Heading2"/>
      </w:pPr>
      <w:r>
        <w:t>9.1 AI-specific triage questions</w:t>
      </w:r>
    </w:p>
    <w:p>
      <w:pPr>
        <w:spacing w:after="40"/>
      </w:pPr>
      <w:r>
        <w:t>☐ Which AI ID, vendor/model, business process and owner are implicated?</w:t>
      </w:r>
    </w:p>
    <w:p>
      <w:pPr>
        <w:spacing w:after="40"/>
      </w:pPr>
      <w:r>
        <w:t>☐ Is the AI registered and operating within its approved purpose and lifecycle gate?</w:t>
      </w:r>
    </w:p>
    <w:p>
      <w:pPr>
        <w:spacing w:after="40"/>
      </w:pPr>
      <w:r>
        <w:t>☐ Could continued use cause physical harm, discrimination, rights impact, personal/confidential data exposure or significant customer harm?</w:t>
      </w:r>
    </w:p>
    <w:p>
      <w:pPr>
        <w:spacing w:after="40"/>
      </w:pPr>
      <w:r>
        <w:t>☐ Does the report indicate a prohibited/unlawful practice, potential AI Act infringement or another legal breach?</w:t>
      </w:r>
    </w:p>
    <w:p>
      <w:pPr>
        <w:spacing w:after="40"/>
      </w:pPr>
      <w:r>
        <w:t>☐ Has a control, test result, risk rating, model limitation, incident or approval record been concealed or manipulated?</w:t>
      </w:r>
    </w:p>
    <w:p>
      <w:pPr>
        <w:spacing w:after="40"/>
      </w:pPr>
      <w:r>
        <w:t>☐ Is there evidence of prompt injection, data leakage, model compromise, unsafe autonomy or loss of human oversight?</w:t>
      </w:r>
    </w:p>
    <w:p>
      <w:pPr>
        <w:spacing w:after="40"/>
      </w:pPr>
      <w:r>
        <w:t>☐ Does the concern require immediate suspension, human fallback, vendor containment or preservation of technical logs?</w:t>
      </w:r>
    </w:p>
    <w:p>
      <w:pPr>
        <w:pStyle w:val="Heading1"/>
      </w:pPr>
      <w:r>
        <w:t>10. Specialist Routing Without Breaking Confidentiality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center"/>
            <w:tcMar>
              <w:top w:w="70" w:type="dxa"/>
              <w:start w:w="90" w:type="dxa"/>
              <w:bottom w:w="70" w:type="dxa"/>
              <w:end w:w="90" w:type="dxa"/>
            </w:tcMar>
            <w:shd w:fill="173B57"/>
          </w:tcPr>
          <w:p>
            <w:pPr>
              <w:spacing w:after="0"/>
            </w:pPr>
            <w:r/>
            <w:r>
              <w:rPr>
                <w:rFonts w:ascii="Aptos" w:hAnsi="Aptos"/>
                <w:b/>
                <w:color w:val="FFFFFF"/>
                <w:sz w:val="14"/>
              </w:rPr>
              <w:t>Domain</w:t>
            </w:r>
          </w:p>
        </w:tc>
        <w:tc>
          <w:tcPr>
            <w:tcW w:type="dxa" w:w="3384"/>
            <w:vAlign w:val="center"/>
            <w:tcMar>
              <w:top w:w="70" w:type="dxa"/>
              <w:start w:w="90" w:type="dxa"/>
              <w:bottom w:w="70" w:type="dxa"/>
              <w:end w:w="90" w:type="dxa"/>
            </w:tcMar>
            <w:shd w:fill="173B57"/>
          </w:tcPr>
          <w:p>
            <w:pPr>
              <w:spacing w:after="0"/>
            </w:pPr>
            <w:r/>
            <w:r>
              <w:rPr>
                <w:rFonts w:ascii="Aptos" w:hAnsi="Aptos"/>
                <w:b/>
                <w:color w:val="FFFFFF"/>
                <w:sz w:val="14"/>
              </w:rPr>
              <w:t>Typical trigger</w:t>
            </w:r>
          </w:p>
        </w:tc>
        <w:tc>
          <w:tcPr>
            <w:tcW w:type="dxa" w:w="2232"/>
            <w:vAlign w:val="center"/>
            <w:tcMar>
              <w:top w:w="70" w:type="dxa"/>
              <w:start w:w="90" w:type="dxa"/>
              <w:bottom w:w="70" w:type="dxa"/>
              <w:end w:w="90" w:type="dxa"/>
            </w:tcMar>
            <w:shd w:fill="173B57"/>
          </w:tcPr>
          <w:p>
            <w:pPr>
              <w:spacing w:after="0"/>
            </w:pPr>
            <w:r/>
            <w:r>
              <w:rPr>
                <w:rFonts w:ascii="Aptos" w:hAnsi="Aptos"/>
                <w:b/>
                <w:color w:val="FFFFFF"/>
                <w:sz w:val="14"/>
              </w:rPr>
              <w:t>Specialist</w:t>
            </w:r>
          </w:p>
        </w:tc>
        <w:tc>
          <w:tcPr>
            <w:tcW w:type="dxa" w:w="2448"/>
            <w:vAlign w:val="center"/>
            <w:tcMar>
              <w:top w:w="70" w:type="dxa"/>
              <w:start w:w="90" w:type="dxa"/>
              <w:bottom w:w="70" w:type="dxa"/>
              <w:end w:w="90" w:type="dxa"/>
            </w:tcMar>
            <w:shd w:fill="173B57"/>
          </w:tcPr>
          <w:p>
            <w:pPr>
              <w:spacing w:after="0"/>
            </w:pPr>
            <w:r/>
            <w:r>
              <w:rPr>
                <w:rFonts w:ascii="Aptos" w:hAnsi="Aptos"/>
                <w:b/>
                <w:color w:val="FFFFFF"/>
                <w:sz w:val="14"/>
              </w:rPr>
              <w:t>Confidentiality rule</w:t>
            </w:r>
          </w:p>
        </w:tc>
      </w:tr>
      <w:tr>
        <w:tc>
          <w:tcPr>
            <w:tcW w:type="dxa" w:w="1728"/>
            <w:vAlign w:val="center"/>
            <w:tcMar>
              <w:top w:w="70" w:type="dxa"/>
              <w:start w:w="90" w:type="dxa"/>
              <w:bottom w:w="70" w:type="dxa"/>
              <w:end w:w="90" w:type="dxa"/>
            </w:tcMar>
          </w:tcPr>
          <w:p>
            <w:pPr>
              <w:spacing w:after="0"/>
            </w:pPr>
            <w:r/>
            <w:r>
              <w:rPr>
                <w:rFonts w:ascii="Aptos" w:hAnsi="Aptos"/>
                <w:b w:val="0"/>
                <w:color w:val="28343E"/>
                <w:sz w:val="14"/>
              </w:rPr>
              <w:t>AI governance / risk</w:t>
            </w:r>
          </w:p>
        </w:tc>
        <w:tc>
          <w:tcPr>
            <w:tcW w:type="dxa" w:w="3384"/>
            <w:vAlign w:val="center"/>
            <w:tcMar>
              <w:top w:w="70" w:type="dxa"/>
              <w:start w:w="90" w:type="dxa"/>
              <w:bottom w:w="70" w:type="dxa"/>
              <w:end w:w="90" w:type="dxa"/>
            </w:tcMar>
          </w:tcPr>
          <w:p>
            <w:pPr>
              <w:spacing w:after="0"/>
            </w:pPr>
            <w:r/>
            <w:r>
              <w:rPr>
                <w:rFonts w:ascii="Aptos" w:hAnsi="Aptos"/>
                <w:b w:val="0"/>
                <w:color w:val="28343E"/>
                <w:sz w:val="14"/>
              </w:rPr>
              <w:t>Risk assessment, approval gate, control failure, unregistered AI, evidence integrity</w:t>
            </w:r>
          </w:p>
        </w:tc>
        <w:tc>
          <w:tcPr>
            <w:tcW w:type="dxa" w:w="2232"/>
            <w:vAlign w:val="center"/>
            <w:tcMar>
              <w:top w:w="70" w:type="dxa"/>
              <w:start w:w="90" w:type="dxa"/>
              <w:bottom w:w="70" w:type="dxa"/>
              <w:end w:w="90" w:type="dxa"/>
            </w:tcMar>
          </w:tcPr>
          <w:p>
            <w:pPr>
              <w:spacing w:after="0"/>
            </w:pPr>
            <w:r/>
            <w:r>
              <w:rPr>
                <w:rFonts w:ascii="Aptos" w:hAnsi="Aptos"/>
                <w:b w:val="0"/>
                <w:color w:val="28343E"/>
                <w:sz w:val="14"/>
              </w:rPr>
              <w:t>AI Governance Lead / CRCO</w:t>
            </w:r>
          </w:p>
        </w:tc>
        <w:tc>
          <w:tcPr>
            <w:tcW w:type="dxa" w:w="2448"/>
            <w:vAlign w:val="center"/>
            <w:tcMar>
              <w:top w:w="70" w:type="dxa"/>
              <w:start w:w="90" w:type="dxa"/>
              <w:bottom w:w="70" w:type="dxa"/>
              <w:end w:w="90" w:type="dxa"/>
            </w:tcMar>
          </w:tcPr>
          <w:p>
            <w:pPr>
              <w:spacing w:after="0"/>
            </w:pPr>
            <w:r/>
            <w:r>
              <w:rPr>
                <w:rFonts w:ascii="Aptos" w:hAnsi="Aptos"/>
                <w:b w:val="0"/>
                <w:color w:val="28343E"/>
                <w:sz w:val="14"/>
              </w:rPr>
              <w:t>Reporter identity normally withheld.</w:t>
            </w:r>
          </w:p>
        </w:tc>
      </w:tr>
      <w:tr>
        <w:tc>
          <w:tcPr>
            <w:tcW w:type="dxa" w:w="1728"/>
            <w:vAlign w:val="center"/>
            <w:tcMar>
              <w:top w:w="70" w:type="dxa"/>
              <w:start w:w="90" w:type="dxa"/>
              <w:bottom w:w="70" w:type="dxa"/>
              <w:end w:w="90" w:type="dxa"/>
            </w:tcMar>
            <w:shd w:fill="F4F6F7"/>
          </w:tcPr>
          <w:p>
            <w:pPr>
              <w:spacing w:after="0"/>
            </w:pPr>
            <w:r/>
            <w:r>
              <w:rPr>
                <w:rFonts w:ascii="Aptos" w:hAnsi="Aptos"/>
                <w:b w:val="0"/>
                <w:color w:val="28343E"/>
                <w:sz w:val="14"/>
              </w:rPr>
              <w:t>Security</w:t>
            </w:r>
          </w:p>
        </w:tc>
        <w:tc>
          <w:tcPr>
            <w:tcW w:type="dxa" w:w="3384"/>
            <w:vAlign w:val="center"/>
            <w:tcMar>
              <w:top w:w="70" w:type="dxa"/>
              <w:start w:w="90" w:type="dxa"/>
              <w:bottom w:w="70" w:type="dxa"/>
              <w:end w:w="90" w:type="dxa"/>
            </w:tcMar>
            <w:shd w:fill="F4F6F7"/>
          </w:tcPr>
          <w:p>
            <w:pPr>
              <w:spacing w:after="0"/>
            </w:pPr>
            <w:r/>
            <w:r>
              <w:rPr>
                <w:rFonts w:ascii="Aptos" w:hAnsi="Aptos"/>
                <w:b w:val="0"/>
                <w:color w:val="28343E"/>
                <w:sz w:val="14"/>
              </w:rPr>
              <w:t>Prompt injection, compromise, data leakage, unauthorized access, malicious integration</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4"/>
              </w:rPr>
              <w:t>CISO</w:t>
            </w:r>
          </w:p>
        </w:tc>
        <w:tc>
          <w:tcPr>
            <w:tcW w:type="dxa" w:w="2448"/>
            <w:vAlign w:val="center"/>
            <w:tcMar>
              <w:top w:w="70" w:type="dxa"/>
              <w:start w:w="90" w:type="dxa"/>
              <w:bottom w:w="70" w:type="dxa"/>
              <w:end w:w="90" w:type="dxa"/>
            </w:tcMar>
            <w:shd w:fill="F4F6F7"/>
          </w:tcPr>
          <w:p>
            <w:pPr>
              <w:spacing w:after="0"/>
            </w:pPr>
            <w:r/>
            <w:r>
              <w:rPr>
                <w:rFonts w:ascii="Aptos" w:hAnsi="Aptos"/>
                <w:b w:val="0"/>
                <w:color w:val="28343E"/>
                <w:sz w:val="14"/>
              </w:rPr>
              <w:t>Share minimum technical evidence needed.</w:t>
            </w:r>
          </w:p>
        </w:tc>
      </w:tr>
      <w:tr>
        <w:tc>
          <w:tcPr>
            <w:tcW w:type="dxa" w:w="1728"/>
            <w:vAlign w:val="center"/>
            <w:tcMar>
              <w:top w:w="70" w:type="dxa"/>
              <w:start w:w="90" w:type="dxa"/>
              <w:bottom w:w="70" w:type="dxa"/>
              <w:end w:w="90" w:type="dxa"/>
            </w:tcMar>
          </w:tcPr>
          <w:p>
            <w:pPr>
              <w:spacing w:after="0"/>
            </w:pPr>
            <w:r/>
            <w:r>
              <w:rPr>
                <w:rFonts w:ascii="Aptos" w:hAnsi="Aptos"/>
                <w:b w:val="0"/>
                <w:color w:val="28343E"/>
                <w:sz w:val="14"/>
              </w:rPr>
              <w:t>Privacy</w:t>
            </w:r>
          </w:p>
        </w:tc>
        <w:tc>
          <w:tcPr>
            <w:tcW w:type="dxa" w:w="3384"/>
            <w:vAlign w:val="center"/>
            <w:tcMar>
              <w:top w:w="70" w:type="dxa"/>
              <w:start w:w="90" w:type="dxa"/>
              <w:bottom w:w="70" w:type="dxa"/>
              <w:end w:w="90" w:type="dxa"/>
            </w:tcMar>
          </w:tcPr>
          <w:p>
            <w:pPr>
              <w:spacing w:after="0"/>
            </w:pPr>
            <w:r/>
            <w:r>
              <w:rPr>
                <w:rFonts w:ascii="Aptos" w:hAnsi="Aptos"/>
                <w:b w:val="0"/>
                <w:color w:val="28343E"/>
                <w:sz w:val="14"/>
              </w:rPr>
              <w:t>Personal data, applicant/employee/customer data, unlawful access/retention, privacy rights</w:t>
            </w:r>
          </w:p>
        </w:tc>
        <w:tc>
          <w:tcPr>
            <w:tcW w:type="dxa" w:w="2232"/>
            <w:vAlign w:val="center"/>
            <w:tcMar>
              <w:top w:w="70" w:type="dxa"/>
              <w:start w:w="90" w:type="dxa"/>
              <w:bottom w:w="70" w:type="dxa"/>
              <w:end w:w="90" w:type="dxa"/>
            </w:tcMar>
          </w:tcPr>
          <w:p>
            <w:pPr>
              <w:spacing w:after="0"/>
            </w:pPr>
            <w:r/>
            <w:r>
              <w:rPr>
                <w:rFonts w:ascii="Aptos" w:hAnsi="Aptos"/>
                <w:b w:val="0"/>
                <w:color w:val="28343E"/>
                <w:sz w:val="14"/>
              </w:rPr>
              <w:t>DPO</w:t>
            </w:r>
          </w:p>
        </w:tc>
        <w:tc>
          <w:tcPr>
            <w:tcW w:type="dxa" w:w="2448"/>
            <w:vAlign w:val="center"/>
            <w:tcMar>
              <w:top w:w="70" w:type="dxa"/>
              <w:start w:w="90" w:type="dxa"/>
              <w:bottom w:w="70" w:type="dxa"/>
              <w:end w:w="90" w:type="dxa"/>
            </w:tcMar>
          </w:tcPr>
          <w:p>
            <w:pPr>
              <w:spacing w:after="0"/>
            </w:pPr>
            <w:r/>
            <w:r>
              <w:rPr>
                <w:rFonts w:ascii="Aptos" w:hAnsi="Aptos"/>
                <w:b w:val="0"/>
                <w:color w:val="28343E"/>
                <w:sz w:val="14"/>
              </w:rPr>
              <w:t>Preserve DPO independence.</w:t>
            </w:r>
          </w:p>
        </w:tc>
      </w:tr>
      <w:tr>
        <w:tc>
          <w:tcPr>
            <w:tcW w:type="dxa" w:w="1728"/>
            <w:vAlign w:val="center"/>
            <w:tcMar>
              <w:top w:w="70" w:type="dxa"/>
              <w:start w:w="90" w:type="dxa"/>
              <w:bottom w:w="70" w:type="dxa"/>
              <w:end w:w="90" w:type="dxa"/>
            </w:tcMar>
            <w:shd w:fill="F4F6F7"/>
          </w:tcPr>
          <w:p>
            <w:pPr>
              <w:spacing w:after="0"/>
            </w:pPr>
            <w:r/>
            <w:r>
              <w:rPr>
                <w:rFonts w:ascii="Aptos" w:hAnsi="Aptos"/>
                <w:b w:val="0"/>
                <w:color w:val="28343E"/>
                <w:sz w:val="14"/>
              </w:rPr>
              <w:t>Legal</w:t>
            </w:r>
          </w:p>
        </w:tc>
        <w:tc>
          <w:tcPr>
            <w:tcW w:type="dxa" w:w="3384"/>
            <w:vAlign w:val="center"/>
            <w:tcMar>
              <w:top w:w="70" w:type="dxa"/>
              <w:start w:w="90" w:type="dxa"/>
              <w:bottom w:w="70" w:type="dxa"/>
              <w:end w:w="90" w:type="dxa"/>
            </w:tcMar>
            <w:shd w:fill="F4F6F7"/>
          </w:tcPr>
          <w:p>
            <w:pPr>
              <w:spacing w:after="0"/>
            </w:pPr>
            <w:r/>
            <w:r>
              <w:rPr>
                <w:rFonts w:ascii="Aptos" w:hAnsi="Aptos"/>
                <w:b w:val="0"/>
                <w:color w:val="28343E"/>
                <w:sz w:val="14"/>
              </w:rPr>
              <w:t>AI Act / other law, privilege, external reporting, legal role/classification, regulator interaction</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4"/>
              </w:rPr>
              <w:t>General Counsel</w:t>
            </w:r>
          </w:p>
        </w:tc>
        <w:tc>
          <w:tcPr>
            <w:tcW w:type="dxa" w:w="2448"/>
            <w:vAlign w:val="center"/>
            <w:tcMar>
              <w:top w:w="70" w:type="dxa"/>
              <w:start w:w="90" w:type="dxa"/>
              <w:bottom w:w="70" w:type="dxa"/>
              <w:end w:w="90" w:type="dxa"/>
            </w:tcMar>
            <w:shd w:fill="F4F6F7"/>
          </w:tcPr>
          <w:p>
            <w:pPr>
              <w:spacing w:after="0"/>
            </w:pPr>
            <w:r/>
            <w:r>
              <w:rPr>
                <w:rFonts w:ascii="Aptos" w:hAnsi="Aptos"/>
                <w:b w:val="0"/>
                <w:color w:val="28343E"/>
                <w:sz w:val="14"/>
              </w:rPr>
              <w:t>Mandatory for statutory-scope determination.</w:t>
            </w:r>
          </w:p>
        </w:tc>
      </w:tr>
      <w:tr>
        <w:tc>
          <w:tcPr>
            <w:tcW w:type="dxa" w:w="1728"/>
            <w:vAlign w:val="center"/>
            <w:tcMar>
              <w:top w:w="70" w:type="dxa"/>
              <w:start w:w="90" w:type="dxa"/>
              <w:bottom w:w="70" w:type="dxa"/>
              <w:end w:w="90" w:type="dxa"/>
            </w:tcMar>
          </w:tcPr>
          <w:p>
            <w:pPr>
              <w:spacing w:after="0"/>
            </w:pPr>
            <w:r/>
            <w:r>
              <w:rPr>
                <w:rFonts w:ascii="Aptos" w:hAnsi="Aptos"/>
                <w:b w:val="0"/>
                <w:color w:val="28343E"/>
                <w:sz w:val="14"/>
              </w:rPr>
              <w:t>HR / workforce</w:t>
            </w:r>
          </w:p>
        </w:tc>
        <w:tc>
          <w:tcPr>
            <w:tcW w:type="dxa" w:w="3384"/>
            <w:vAlign w:val="center"/>
            <w:tcMar>
              <w:top w:w="70" w:type="dxa"/>
              <w:start w:w="90" w:type="dxa"/>
              <w:bottom w:w="70" w:type="dxa"/>
              <w:end w:w="90" w:type="dxa"/>
            </w:tcMar>
          </w:tcPr>
          <w:p>
            <w:pPr>
              <w:spacing w:after="0"/>
            </w:pPr>
            <w:r/>
            <w:r>
              <w:rPr>
                <w:rFonts w:ascii="Aptos" w:hAnsi="Aptos"/>
                <w:b w:val="0"/>
                <w:color w:val="28343E"/>
                <w:sz w:val="14"/>
              </w:rPr>
              <w:t>DuckTalent, employment discrimination, retaliation, workplace AI</w:t>
            </w:r>
          </w:p>
        </w:tc>
        <w:tc>
          <w:tcPr>
            <w:tcW w:type="dxa" w:w="2232"/>
            <w:vAlign w:val="center"/>
            <w:tcMar>
              <w:top w:w="70" w:type="dxa"/>
              <w:start w:w="90" w:type="dxa"/>
              <w:bottom w:w="70" w:type="dxa"/>
              <w:end w:w="90" w:type="dxa"/>
            </w:tcMar>
          </w:tcPr>
          <w:p>
            <w:pPr>
              <w:spacing w:after="0"/>
            </w:pPr>
            <w:r/>
            <w:r>
              <w:rPr>
                <w:rFonts w:ascii="Aptos" w:hAnsi="Aptos"/>
                <w:b w:val="0"/>
                <w:color w:val="28343E"/>
                <w:sz w:val="14"/>
              </w:rPr>
              <w:t>CPO / HR + Legal</w:t>
            </w:r>
          </w:p>
        </w:tc>
        <w:tc>
          <w:tcPr>
            <w:tcW w:type="dxa" w:w="2448"/>
            <w:vAlign w:val="center"/>
            <w:tcMar>
              <w:top w:w="70" w:type="dxa"/>
              <w:start w:w="90" w:type="dxa"/>
              <w:bottom w:w="70" w:type="dxa"/>
              <w:end w:w="90" w:type="dxa"/>
            </w:tcMar>
          </w:tcPr>
          <w:p>
            <w:pPr>
              <w:spacing w:after="0"/>
            </w:pPr>
            <w:r/>
            <w:r>
              <w:rPr>
                <w:rFonts w:ascii="Aptos" w:hAnsi="Aptos"/>
                <w:b w:val="0"/>
                <w:color w:val="28343E"/>
                <w:sz w:val="14"/>
              </w:rPr>
              <w:t>Do not allow implicated management to control investigation.</w:t>
            </w:r>
          </w:p>
        </w:tc>
      </w:tr>
      <w:tr>
        <w:tc>
          <w:tcPr>
            <w:tcW w:type="dxa" w:w="1728"/>
            <w:vAlign w:val="center"/>
            <w:tcMar>
              <w:top w:w="70" w:type="dxa"/>
              <w:start w:w="90" w:type="dxa"/>
              <w:bottom w:w="70" w:type="dxa"/>
              <w:end w:w="90" w:type="dxa"/>
            </w:tcMar>
            <w:shd w:fill="F4F6F7"/>
          </w:tcPr>
          <w:p>
            <w:pPr>
              <w:spacing w:after="0"/>
            </w:pPr>
            <w:r/>
            <w:r>
              <w:rPr>
                <w:rFonts w:ascii="Aptos" w:hAnsi="Aptos"/>
                <w:b w:val="0"/>
                <w:color w:val="28343E"/>
                <w:sz w:val="14"/>
              </w:rPr>
              <w:t>Product safety / quality</w:t>
            </w:r>
          </w:p>
        </w:tc>
        <w:tc>
          <w:tcPr>
            <w:tcW w:type="dxa" w:w="3384"/>
            <w:vAlign w:val="center"/>
            <w:tcMar>
              <w:top w:w="70" w:type="dxa"/>
              <w:start w:w="90" w:type="dxa"/>
              <w:bottom w:w="70" w:type="dxa"/>
              <w:end w:w="90" w:type="dxa"/>
            </w:tcMar>
            <w:shd w:fill="F4F6F7"/>
          </w:tcPr>
          <w:p>
            <w:pPr>
              <w:spacing w:after="0"/>
            </w:pPr>
            <w:r/>
            <w:r>
              <w:rPr>
                <w:rFonts w:ascii="Aptos" w:hAnsi="Aptos"/>
                <w:b w:val="0"/>
                <w:color w:val="28343E"/>
                <w:sz w:val="14"/>
              </w:rPr>
              <w:t>DuckDesign/WingInspect safety, quality, product release or concealed defects</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4"/>
              </w:rPr>
              <w:t>Product Safety &amp; Quality</w:t>
            </w:r>
          </w:p>
        </w:tc>
        <w:tc>
          <w:tcPr>
            <w:tcW w:type="dxa" w:w="2448"/>
            <w:vAlign w:val="center"/>
            <w:tcMar>
              <w:top w:w="70" w:type="dxa"/>
              <w:start w:w="90" w:type="dxa"/>
              <w:bottom w:w="70" w:type="dxa"/>
              <w:end w:w="90" w:type="dxa"/>
            </w:tcMar>
            <w:shd w:fill="F4F6F7"/>
          </w:tcPr>
          <w:p>
            <w:pPr>
              <w:spacing w:after="0"/>
            </w:pPr>
            <w:r/>
            <w:r>
              <w:rPr>
                <w:rFonts w:ascii="Aptos" w:hAnsi="Aptos"/>
                <w:b w:val="0"/>
                <w:color w:val="28343E"/>
                <w:sz w:val="14"/>
              </w:rPr>
              <w:t>Immediate stop-use where warranted.</w:t>
            </w:r>
          </w:p>
        </w:tc>
      </w:tr>
      <w:tr>
        <w:tc>
          <w:tcPr>
            <w:tcW w:type="dxa" w:w="1728"/>
            <w:vAlign w:val="center"/>
            <w:tcMar>
              <w:top w:w="70" w:type="dxa"/>
              <w:start w:w="90" w:type="dxa"/>
              <w:bottom w:w="70" w:type="dxa"/>
              <w:end w:w="90" w:type="dxa"/>
            </w:tcMar>
          </w:tcPr>
          <w:p>
            <w:pPr>
              <w:spacing w:after="0"/>
            </w:pPr>
            <w:r/>
            <w:r>
              <w:rPr>
                <w:rFonts w:ascii="Aptos" w:hAnsi="Aptos"/>
                <w:b w:val="0"/>
                <w:color w:val="28343E"/>
                <w:sz w:val="14"/>
              </w:rPr>
              <w:t>Procurement / vendor</w:t>
            </w:r>
          </w:p>
        </w:tc>
        <w:tc>
          <w:tcPr>
            <w:tcW w:type="dxa" w:w="3384"/>
            <w:vAlign w:val="center"/>
            <w:tcMar>
              <w:top w:w="70" w:type="dxa"/>
              <w:start w:w="90" w:type="dxa"/>
              <w:bottom w:w="70" w:type="dxa"/>
              <w:end w:w="90" w:type="dxa"/>
            </w:tcMar>
          </w:tcPr>
          <w:p>
            <w:pPr>
              <w:spacing w:after="0"/>
            </w:pPr>
            <w:r/>
            <w:r>
              <w:rPr>
                <w:rFonts w:ascii="Aptos" w:hAnsi="Aptos"/>
                <w:b w:val="0"/>
                <w:color w:val="28343E"/>
                <w:sz w:val="14"/>
              </w:rPr>
              <w:t>Supplier concealment, model/service change, data training/retention, subcontractors</w:t>
            </w:r>
          </w:p>
        </w:tc>
        <w:tc>
          <w:tcPr>
            <w:tcW w:type="dxa" w:w="2232"/>
            <w:vAlign w:val="center"/>
            <w:tcMar>
              <w:top w:w="70" w:type="dxa"/>
              <w:start w:w="90" w:type="dxa"/>
              <w:bottom w:w="70" w:type="dxa"/>
              <w:end w:w="90" w:type="dxa"/>
            </w:tcMar>
          </w:tcPr>
          <w:p>
            <w:pPr>
              <w:spacing w:after="0"/>
            </w:pPr>
            <w:r/>
            <w:r>
              <w:rPr>
                <w:rFonts w:ascii="Aptos" w:hAnsi="Aptos"/>
                <w:b w:val="0"/>
                <w:color w:val="28343E"/>
                <w:sz w:val="14"/>
              </w:rPr>
              <w:t>Procurement &amp; Vendor Assurance</w:t>
            </w:r>
          </w:p>
        </w:tc>
        <w:tc>
          <w:tcPr>
            <w:tcW w:type="dxa" w:w="2448"/>
            <w:vAlign w:val="center"/>
            <w:tcMar>
              <w:top w:w="70" w:type="dxa"/>
              <w:start w:w="90" w:type="dxa"/>
              <w:bottom w:w="70" w:type="dxa"/>
              <w:end w:w="90" w:type="dxa"/>
            </w:tcMar>
          </w:tcPr>
          <w:p>
            <w:pPr>
              <w:spacing w:after="0"/>
            </w:pPr>
            <w:r/>
            <w:r>
              <w:rPr>
                <w:rFonts w:ascii="Aptos" w:hAnsi="Aptos"/>
                <w:b w:val="0"/>
                <w:color w:val="28343E"/>
                <w:sz w:val="14"/>
              </w:rPr>
              <w:t>Coordinate contract/DPA response.</w:t>
            </w:r>
          </w:p>
        </w:tc>
      </w:tr>
      <w:tr>
        <w:tc>
          <w:tcPr>
            <w:tcW w:type="dxa" w:w="1728"/>
            <w:vAlign w:val="center"/>
            <w:tcMar>
              <w:top w:w="70" w:type="dxa"/>
              <w:start w:w="90" w:type="dxa"/>
              <w:bottom w:w="70" w:type="dxa"/>
              <w:end w:w="90" w:type="dxa"/>
            </w:tcMar>
            <w:shd w:fill="F4F6F7"/>
          </w:tcPr>
          <w:p>
            <w:pPr>
              <w:spacing w:after="0"/>
            </w:pPr>
            <w:r/>
            <w:r>
              <w:rPr>
                <w:rFonts w:ascii="Aptos" w:hAnsi="Aptos"/>
                <w:b w:val="0"/>
                <w:color w:val="28343E"/>
                <w:sz w:val="14"/>
              </w:rPr>
              <w:t>Internal Audit</w:t>
            </w:r>
          </w:p>
        </w:tc>
        <w:tc>
          <w:tcPr>
            <w:tcW w:type="dxa" w:w="3384"/>
            <w:vAlign w:val="center"/>
            <w:tcMar>
              <w:top w:w="70" w:type="dxa"/>
              <w:start w:w="90" w:type="dxa"/>
              <w:bottom w:w="70" w:type="dxa"/>
              <w:end w:w="90" w:type="dxa"/>
            </w:tcMar>
            <w:shd w:fill="F4F6F7"/>
          </w:tcPr>
          <w:p>
            <w:pPr>
              <w:spacing w:after="0"/>
            </w:pPr>
            <w:r/>
            <w:r>
              <w:rPr>
                <w:rFonts w:ascii="Aptos" w:hAnsi="Aptos"/>
                <w:b w:val="0"/>
                <w:color w:val="28343E"/>
                <w:sz w:val="14"/>
              </w:rPr>
              <w:t>Systemic control/evidence concerns relevant to assurance</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4"/>
              </w:rPr>
              <w:t>Head of Internal Audit</w:t>
            </w:r>
          </w:p>
        </w:tc>
        <w:tc>
          <w:tcPr>
            <w:tcW w:type="dxa" w:w="2448"/>
            <w:vAlign w:val="center"/>
            <w:tcMar>
              <w:top w:w="70" w:type="dxa"/>
              <w:start w:w="90" w:type="dxa"/>
              <w:bottom w:w="70" w:type="dxa"/>
              <w:end w:w="90" w:type="dxa"/>
            </w:tcMar>
            <w:shd w:fill="F4F6F7"/>
          </w:tcPr>
          <w:p>
            <w:pPr>
              <w:spacing w:after="0"/>
            </w:pPr>
            <w:r/>
            <w:r>
              <w:rPr>
                <w:rFonts w:ascii="Aptos" w:hAnsi="Aptos"/>
                <w:b w:val="0"/>
                <w:color w:val="28343E"/>
                <w:sz w:val="14"/>
              </w:rPr>
              <w:t>Observer/assurance role; not hotline owner or operational investigator.</w:t>
            </w:r>
          </w:p>
        </w:tc>
      </w:tr>
    </w:tbl>
    <w:p>
      <w:pPr>
        <w:spacing w:after="0"/>
      </w:pPr>
    </w:p>
    <w:p>
      <w:r>
        <w:br w:type="page"/>
      </w:r>
    </w:p>
    <w:p>
      <w:pPr>
        <w:pStyle w:val="Heading1"/>
      </w:pPr>
      <w:r>
        <w:t>11. Immediate AI Stop-Use and Escalation Criteria</w:t>
      </w:r>
    </w:p>
    <w:p>
      <w:pPr>
        <w:spacing w:after="100" w:line="247" w:lineRule="auto"/>
      </w:pPr>
      <w:r>
        <w:t>A whistleblowing report may also trigger an operational incident or stop-use decision. Confidential reporting protection must not delay necessary harm containment.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vAlign w:val="center"/>
            <w:tcMar>
              <w:top w:w="70" w:type="dxa"/>
              <w:start w:w="90" w:type="dxa"/>
              <w:bottom w:w="70" w:type="dxa"/>
              <w:end w:w="90" w:type="dxa"/>
            </w:tcMar>
            <w:shd w:fill="173B57"/>
          </w:tcPr>
          <w:p>
            <w:pPr>
              <w:spacing w:after="0"/>
            </w:pPr>
            <w:r/>
            <w:r>
              <w:rPr>
                <w:rFonts w:ascii="Aptos" w:hAnsi="Aptos"/>
                <w:b/>
                <w:color w:val="FFFFFF"/>
                <w:sz w:val="15"/>
              </w:rPr>
              <w:t>Priority</w:t>
            </w:r>
          </w:p>
        </w:tc>
        <w:tc>
          <w:tcPr>
            <w:tcW w:type="dxa" w:w="5400"/>
            <w:vAlign w:val="center"/>
            <w:tcMar>
              <w:top w:w="70" w:type="dxa"/>
              <w:start w:w="90" w:type="dxa"/>
              <w:bottom w:w="70" w:type="dxa"/>
              <w:end w:w="90" w:type="dxa"/>
            </w:tcMar>
            <w:shd w:fill="173B57"/>
          </w:tcPr>
          <w:p>
            <w:pPr>
              <w:spacing w:after="0"/>
            </w:pPr>
            <w:r/>
            <w:r>
              <w:rPr>
                <w:rFonts w:ascii="Aptos" w:hAnsi="Aptos"/>
                <w:b/>
                <w:color w:val="FFFFFF"/>
                <w:sz w:val="15"/>
              </w:rPr>
              <w:t>Trigger</w:t>
            </w:r>
          </w:p>
        </w:tc>
        <w:tc>
          <w:tcPr>
            <w:tcW w:type="dxa" w:w="2664"/>
            <w:vAlign w:val="center"/>
            <w:tcMar>
              <w:top w:w="70" w:type="dxa"/>
              <w:start w:w="90" w:type="dxa"/>
              <w:bottom w:w="70" w:type="dxa"/>
              <w:end w:w="90" w:type="dxa"/>
            </w:tcMar>
            <w:shd w:fill="173B57"/>
          </w:tcPr>
          <w:p>
            <w:pPr>
              <w:spacing w:after="0"/>
            </w:pPr>
            <w:r/>
            <w:r>
              <w:rPr>
                <w:rFonts w:ascii="Aptos" w:hAnsi="Aptos"/>
                <w:b/>
                <w:color w:val="FFFFFF"/>
                <w:sz w:val="15"/>
              </w:rPr>
              <w:t>Initial escalation</w:t>
            </w:r>
          </w:p>
        </w:tc>
      </w:tr>
      <w:tr>
        <w:tc>
          <w:tcPr>
            <w:tcW w:type="dxa" w:w="1296"/>
            <w:vAlign w:val="center"/>
            <w:tcMar>
              <w:top w:w="70" w:type="dxa"/>
              <w:start w:w="90" w:type="dxa"/>
              <w:bottom w:w="70" w:type="dxa"/>
              <w:end w:w="90" w:type="dxa"/>
            </w:tcMar>
          </w:tcPr>
          <w:p>
            <w:pPr>
              <w:spacing w:after="0"/>
            </w:pPr>
            <w:r/>
            <w:r>
              <w:rPr>
                <w:rFonts w:ascii="Aptos" w:hAnsi="Aptos"/>
                <w:b w:val="0"/>
                <w:color w:val="28343E"/>
                <w:sz w:val="15"/>
              </w:rPr>
              <w:t>Immediate</w:t>
            </w:r>
          </w:p>
        </w:tc>
        <w:tc>
          <w:tcPr>
            <w:tcW w:type="dxa" w:w="5400"/>
            <w:vAlign w:val="center"/>
            <w:tcMar>
              <w:top w:w="70" w:type="dxa"/>
              <w:start w:w="90" w:type="dxa"/>
              <w:bottom w:w="70" w:type="dxa"/>
              <w:end w:w="90" w:type="dxa"/>
            </w:tcMar>
          </w:tcPr>
          <w:p>
            <w:pPr>
              <w:spacing w:after="0"/>
            </w:pPr>
            <w:r/>
            <w:r>
              <w:rPr>
                <w:rFonts w:ascii="Aptos" w:hAnsi="Aptos"/>
                <w:b w:val="0"/>
                <w:color w:val="28343E"/>
                <w:sz w:val="15"/>
              </w:rPr>
              <w:t>Credible imminent physical/product-safety harm</w:t>
            </w:r>
          </w:p>
        </w:tc>
        <w:tc>
          <w:tcPr>
            <w:tcW w:type="dxa" w:w="2664"/>
            <w:vAlign w:val="center"/>
            <w:tcMar>
              <w:top w:w="70" w:type="dxa"/>
              <w:start w:w="90" w:type="dxa"/>
              <w:bottom w:w="70" w:type="dxa"/>
              <w:end w:w="90" w:type="dxa"/>
            </w:tcMar>
          </w:tcPr>
          <w:p>
            <w:pPr>
              <w:spacing w:after="0"/>
            </w:pPr>
            <w:r/>
            <w:r>
              <w:rPr>
                <w:rFonts w:ascii="Aptos" w:hAnsi="Aptos"/>
                <w:b w:val="0"/>
                <w:color w:val="28343E"/>
                <w:sz w:val="15"/>
              </w:rPr>
              <w:t>Product Safety + CISO + Business Owner + CRCO</w:t>
            </w:r>
          </w:p>
        </w:tc>
      </w:tr>
      <w:tr>
        <w:tc>
          <w:tcPr>
            <w:tcW w:type="dxa" w:w="1296"/>
            <w:vAlign w:val="center"/>
            <w:tcMar>
              <w:top w:w="70" w:type="dxa"/>
              <w:start w:w="90" w:type="dxa"/>
              <w:bottom w:w="70" w:type="dxa"/>
              <w:end w:w="90" w:type="dxa"/>
            </w:tcMar>
            <w:shd w:fill="F4F6F7"/>
          </w:tcPr>
          <w:p>
            <w:pPr>
              <w:spacing w:after="0"/>
            </w:pPr>
            <w:r/>
            <w:r>
              <w:rPr>
                <w:rFonts w:ascii="Aptos" w:hAnsi="Aptos"/>
                <w:b w:val="0"/>
                <w:color w:val="28343E"/>
                <w:sz w:val="15"/>
              </w:rPr>
              <w:t>Immediate</w:t>
            </w:r>
          </w:p>
        </w:tc>
        <w:tc>
          <w:tcPr>
            <w:tcW w:type="dxa" w:w="5400"/>
            <w:vAlign w:val="center"/>
            <w:tcMar>
              <w:top w:w="70" w:type="dxa"/>
              <w:start w:w="90" w:type="dxa"/>
              <w:bottom w:w="70" w:type="dxa"/>
              <w:end w:w="90" w:type="dxa"/>
            </w:tcMar>
            <w:shd w:fill="F4F6F7"/>
          </w:tcPr>
          <w:p>
            <w:pPr>
              <w:spacing w:after="0"/>
            </w:pPr>
            <w:r/>
            <w:r>
              <w:rPr>
                <w:rFonts w:ascii="Aptos" w:hAnsi="Aptos"/>
                <w:b w:val="0"/>
                <w:color w:val="28343E"/>
                <w:sz w:val="15"/>
              </w:rPr>
              <w:t>Active personal/confidential data leakage or unauthorized access</w:t>
            </w:r>
          </w:p>
        </w:tc>
        <w:tc>
          <w:tcPr>
            <w:tcW w:type="dxa" w:w="2664"/>
            <w:vAlign w:val="center"/>
            <w:tcMar>
              <w:top w:w="70" w:type="dxa"/>
              <w:start w:w="90" w:type="dxa"/>
              <w:bottom w:w="70" w:type="dxa"/>
              <w:end w:w="90" w:type="dxa"/>
            </w:tcMar>
            <w:shd w:fill="F4F6F7"/>
          </w:tcPr>
          <w:p>
            <w:pPr>
              <w:spacing w:after="0"/>
            </w:pPr>
            <w:r/>
            <w:r>
              <w:rPr>
                <w:rFonts w:ascii="Aptos" w:hAnsi="Aptos"/>
                <w:b w:val="0"/>
                <w:color w:val="28343E"/>
                <w:sz w:val="15"/>
              </w:rPr>
              <w:t>CISO + DPO + Legal</w:t>
            </w:r>
          </w:p>
        </w:tc>
      </w:tr>
      <w:tr>
        <w:tc>
          <w:tcPr>
            <w:tcW w:type="dxa" w:w="1296"/>
            <w:vAlign w:val="center"/>
            <w:tcMar>
              <w:top w:w="70" w:type="dxa"/>
              <w:start w:w="90" w:type="dxa"/>
              <w:bottom w:w="70" w:type="dxa"/>
              <w:end w:w="90" w:type="dxa"/>
            </w:tcMar>
          </w:tcPr>
          <w:p>
            <w:pPr>
              <w:spacing w:after="0"/>
            </w:pPr>
            <w:r/>
            <w:r>
              <w:rPr>
                <w:rFonts w:ascii="Aptos" w:hAnsi="Aptos"/>
                <w:b w:val="0"/>
                <w:color w:val="28343E"/>
                <w:sz w:val="15"/>
              </w:rPr>
              <w:t>Immediate</w:t>
            </w:r>
          </w:p>
        </w:tc>
        <w:tc>
          <w:tcPr>
            <w:tcW w:type="dxa" w:w="5400"/>
            <w:vAlign w:val="center"/>
            <w:tcMar>
              <w:top w:w="70" w:type="dxa"/>
              <w:start w:w="90" w:type="dxa"/>
              <w:bottom w:w="70" w:type="dxa"/>
              <w:end w:w="90" w:type="dxa"/>
            </w:tcMar>
          </w:tcPr>
          <w:p>
            <w:pPr>
              <w:spacing w:after="0"/>
            </w:pPr>
            <w:r/>
            <w:r>
              <w:rPr>
                <w:rFonts w:ascii="Aptos" w:hAnsi="Aptos"/>
                <w:b w:val="0"/>
                <w:color w:val="28343E"/>
                <w:sz w:val="15"/>
              </w:rPr>
              <w:t>Material discriminatory employment outcome or loss of meaningful human review in DuckTalent</w:t>
            </w:r>
          </w:p>
        </w:tc>
        <w:tc>
          <w:tcPr>
            <w:tcW w:type="dxa" w:w="2664"/>
            <w:vAlign w:val="center"/>
            <w:tcMar>
              <w:top w:w="70" w:type="dxa"/>
              <w:start w:w="90" w:type="dxa"/>
              <w:bottom w:w="70" w:type="dxa"/>
              <w:end w:w="90" w:type="dxa"/>
            </w:tcMar>
          </w:tcPr>
          <w:p>
            <w:pPr>
              <w:spacing w:after="0"/>
            </w:pPr>
            <w:r/>
            <w:r>
              <w:rPr>
                <w:rFonts w:ascii="Aptos" w:hAnsi="Aptos"/>
                <w:b w:val="0"/>
                <w:color w:val="28343E"/>
                <w:sz w:val="15"/>
              </w:rPr>
              <w:t>CPO + Legal + CRCO</w:t>
            </w:r>
          </w:p>
        </w:tc>
      </w:tr>
      <w:tr>
        <w:tc>
          <w:tcPr>
            <w:tcW w:type="dxa" w:w="1296"/>
            <w:vAlign w:val="center"/>
            <w:tcMar>
              <w:top w:w="70" w:type="dxa"/>
              <w:start w:w="90" w:type="dxa"/>
              <w:bottom w:w="70" w:type="dxa"/>
              <w:end w:w="90" w:type="dxa"/>
            </w:tcMar>
            <w:shd w:fill="F4F6F7"/>
          </w:tcPr>
          <w:p>
            <w:pPr>
              <w:spacing w:after="0"/>
            </w:pPr>
            <w:r/>
            <w:r>
              <w:rPr>
                <w:rFonts w:ascii="Aptos" w:hAnsi="Aptos"/>
                <w:b w:val="0"/>
                <w:color w:val="28343E"/>
                <w:sz w:val="15"/>
              </w:rPr>
              <w:t>Immediate</w:t>
            </w:r>
          </w:p>
        </w:tc>
        <w:tc>
          <w:tcPr>
            <w:tcW w:type="dxa" w:w="5400"/>
            <w:vAlign w:val="center"/>
            <w:tcMar>
              <w:top w:w="70" w:type="dxa"/>
              <w:start w:w="90" w:type="dxa"/>
              <w:bottom w:w="70" w:type="dxa"/>
              <w:end w:w="90" w:type="dxa"/>
            </w:tcMar>
            <w:shd w:fill="F4F6F7"/>
          </w:tcPr>
          <w:p>
            <w:pPr>
              <w:spacing w:after="0"/>
            </w:pPr>
            <w:r/>
            <w:r>
              <w:rPr>
                <w:rFonts w:ascii="Aptos" w:hAnsi="Aptos"/>
                <w:b w:val="0"/>
                <w:color w:val="28343E"/>
                <w:sz w:val="15"/>
              </w:rPr>
              <w:t>Suspected compromise, malicious tool execution, model/service compromise or uncontrolled autonomous action</w:t>
            </w:r>
          </w:p>
        </w:tc>
        <w:tc>
          <w:tcPr>
            <w:tcW w:type="dxa" w:w="2664"/>
            <w:vAlign w:val="center"/>
            <w:tcMar>
              <w:top w:w="70" w:type="dxa"/>
              <w:start w:w="90" w:type="dxa"/>
              <w:bottom w:w="70" w:type="dxa"/>
              <w:end w:w="90" w:type="dxa"/>
            </w:tcMar>
            <w:shd w:fill="F4F6F7"/>
          </w:tcPr>
          <w:p>
            <w:pPr>
              <w:spacing w:after="0"/>
            </w:pPr>
            <w:r/>
            <w:r>
              <w:rPr>
                <w:rFonts w:ascii="Aptos" w:hAnsi="Aptos"/>
                <w:b w:val="0"/>
                <w:color w:val="28343E"/>
                <w:sz w:val="15"/>
              </w:rPr>
              <w:t>CISO + Technical Owner</w:t>
            </w:r>
          </w:p>
        </w:tc>
      </w:tr>
      <w:tr>
        <w:tc>
          <w:tcPr>
            <w:tcW w:type="dxa" w:w="1296"/>
            <w:vAlign w:val="center"/>
            <w:tcMar>
              <w:top w:w="70" w:type="dxa"/>
              <w:start w:w="90" w:type="dxa"/>
              <w:bottom w:w="70" w:type="dxa"/>
              <w:end w:w="90" w:type="dxa"/>
            </w:tcMar>
          </w:tcPr>
          <w:p>
            <w:pPr>
              <w:spacing w:after="0"/>
            </w:pPr>
            <w:r/>
            <w:r>
              <w:rPr>
                <w:rFonts w:ascii="Aptos" w:hAnsi="Aptos"/>
                <w:b w:val="0"/>
                <w:color w:val="28343E"/>
                <w:sz w:val="15"/>
              </w:rPr>
              <w:t>Immediate</w:t>
            </w:r>
          </w:p>
        </w:tc>
        <w:tc>
          <w:tcPr>
            <w:tcW w:type="dxa" w:w="5400"/>
            <w:vAlign w:val="center"/>
            <w:tcMar>
              <w:top w:w="70" w:type="dxa"/>
              <w:start w:w="90" w:type="dxa"/>
              <w:bottom w:w="70" w:type="dxa"/>
              <w:end w:w="90" w:type="dxa"/>
            </w:tcMar>
          </w:tcPr>
          <w:p>
            <w:pPr>
              <w:spacing w:after="0"/>
            </w:pPr>
            <w:r/>
            <w:r>
              <w:rPr>
                <w:rFonts w:ascii="Aptos" w:hAnsi="Aptos"/>
                <w:b w:val="0"/>
                <w:color w:val="28343E"/>
                <w:sz w:val="15"/>
              </w:rPr>
              <w:t>Evidence destruction, falsification or deliberate concealment of a Critical/High AI issue</w:t>
            </w:r>
          </w:p>
        </w:tc>
        <w:tc>
          <w:tcPr>
            <w:tcW w:type="dxa" w:w="2664"/>
            <w:vAlign w:val="center"/>
            <w:tcMar>
              <w:top w:w="70" w:type="dxa"/>
              <w:start w:w="90" w:type="dxa"/>
              <w:bottom w:w="70" w:type="dxa"/>
              <w:end w:w="90" w:type="dxa"/>
            </w:tcMar>
          </w:tcPr>
          <w:p>
            <w:pPr>
              <w:spacing w:after="0"/>
            </w:pPr>
            <w:r/>
            <w:r>
              <w:rPr>
                <w:rFonts w:ascii="Aptos" w:hAnsi="Aptos"/>
                <w:b w:val="0"/>
                <w:color w:val="28343E"/>
                <w:sz w:val="15"/>
              </w:rPr>
              <w:t>General Counsel + CRCO</w:t>
            </w:r>
          </w:p>
        </w:tc>
      </w:tr>
      <w:tr>
        <w:tc>
          <w:tcPr>
            <w:tcW w:type="dxa" w:w="1296"/>
            <w:vAlign w:val="center"/>
            <w:tcMar>
              <w:top w:w="70" w:type="dxa"/>
              <w:start w:w="90" w:type="dxa"/>
              <w:bottom w:w="70" w:type="dxa"/>
              <w:end w:w="90" w:type="dxa"/>
            </w:tcMar>
            <w:shd w:fill="F4F6F7"/>
          </w:tcPr>
          <w:p>
            <w:pPr>
              <w:spacing w:after="0"/>
            </w:pPr>
            <w:r/>
            <w:r>
              <w:rPr>
                <w:rFonts w:ascii="Aptos" w:hAnsi="Aptos"/>
                <w:b w:val="0"/>
                <w:color w:val="28343E"/>
                <w:sz w:val="15"/>
              </w:rPr>
              <w:t>Urgent</w:t>
            </w:r>
          </w:p>
        </w:tc>
        <w:tc>
          <w:tcPr>
            <w:tcW w:type="dxa" w:w="5400"/>
            <w:vAlign w:val="center"/>
            <w:tcMar>
              <w:top w:w="70" w:type="dxa"/>
              <w:start w:w="90" w:type="dxa"/>
              <w:bottom w:w="70" w:type="dxa"/>
              <w:end w:w="90" w:type="dxa"/>
            </w:tcMar>
            <w:shd w:fill="F4F6F7"/>
          </w:tcPr>
          <w:p>
            <w:pPr>
              <w:spacing w:after="0"/>
            </w:pPr>
            <w:r/>
            <w:r>
              <w:rPr>
                <w:rFonts w:ascii="Aptos" w:hAnsi="Aptos"/>
                <w:b w:val="0"/>
                <w:color w:val="28343E"/>
                <w:sz w:val="15"/>
              </w:rPr>
              <w:t>Unregistered production AI involving sensitive data or consequential decisions</w:t>
            </w:r>
          </w:p>
        </w:tc>
        <w:tc>
          <w:tcPr>
            <w:tcW w:type="dxa" w:w="2664"/>
            <w:vAlign w:val="center"/>
            <w:tcMar>
              <w:top w:w="70" w:type="dxa"/>
              <w:start w:w="90" w:type="dxa"/>
              <w:bottom w:w="70" w:type="dxa"/>
              <w:end w:w="90" w:type="dxa"/>
            </w:tcMar>
            <w:shd w:fill="F4F6F7"/>
          </w:tcPr>
          <w:p>
            <w:pPr>
              <w:spacing w:after="0"/>
            </w:pPr>
            <w:r/>
            <w:r>
              <w:rPr>
                <w:rFonts w:ascii="Aptos" w:hAnsi="Aptos"/>
                <w:b w:val="0"/>
                <w:color w:val="28343E"/>
                <w:sz w:val="15"/>
              </w:rPr>
              <w:t>CISO + AI Governance + relevant business owner</w:t>
            </w:r>
          </w:p>
        </w:tc>
      </w:tr>
    </w:tbl>
    <w:p>
      <w:pPr>
        <w:spacing w:after="0"/>
      </w:pPr>
    </w:p>
    <w:tbl>
      <w:tblPr>
        <w:tblW w:type="auto" w:w="0"/>
        <w:jc w:val="center"/>
        <w:tblLook w:firstColumn="1" w:firstRow="1" w:lastColumn="0" w:lastRow="0" w:noHBand="0" w:noVBand="1" w:val="04A0"/>
      </w:tblPr>
      <w:tblGrid>
        <w:gridCol w:w="10166"/>
      </w:tblGrid>
      <w:tr>
        <w:tc>
          <w:tcPr>
            <w:tcW w:type="dxa" w:w="10166"/>
            <w:shd w:fill="E8F3E5"/>
            <w:tcMar>
              <w:top w:w="120" w:type="dxa"/>
              <w:start w:w="140" w:type="dxa"/>
              <w:bottom w:w="120" w:type="dxa"/>
              <w:end w:w="140" w:type="dxa"/>
            </w:tcMar>
            <w:tcBorders>
              <w:left w:val="single" w:sz="18" w:color="2D6F6D"/>
            </w:tcBorders>
          </w:tcPr>
          <w:p>
            <w:pPr>
              <w:spacing w:after="60"/>
            </w:pPr>
            <w:r>
              <w:rPr>
                <w:b/>
                <w:color w:val="173B57"/>
                <w:sz w:val="20"/>
              </w:rPr>
              <w:t>Identity separation</w:t>
            </w:r>
          </w:p>
          <w:p>
            <w:pPr>
              <w:spacing w:after="0"/>
            </w:pPr>
            <w:r>
              <w:rPr>
                <w:color w:val="28343E"/>
                <w:sz w:val="18"/>
              </w:rPr>
              <w:t>The operational team may need to know what happened and what to contain; it usually does not need to know who reported it. Case handlers should separate allegation/evidence from reporter-identifying information whenever feasible.</w:t>
            </w:r>
          </w:p>
        </w:tc>
      </w:tr>
    </w:tbl>
    <w:p>
      <w:pPr>
        <w:spacing w:after="0"/>
      </w:pPr>
    </w:p>
    <w:p>
      <w:pPr>
        <w:pStyle w:val="Heading1"/>
      </w:pPr>
      <w:r>
        <w:t>12. Fair Treatment of All Parties</w:t>
      </w:r>
    </w:p>
    <w:p>
      <w:pPr>
        <w:spacing w:after="100" w:line="247" w:lineRule="auto"/>
      </w:pPr>
      <w:r>
        <w:t>A report is an allegation, not a finding. Persons named in a report are entitled to fair treatment, appropriate confidentiality, and the applicable rights of defence and response. Investigations should be evidence-based, proportionate and free from conflicts of interest.</w:t>
      </w:r>
    </w:p>
    <w:p>
      <w:pPr>
        <w:spacing w:after="100" w:line="247" w:lineRule="auto"/>
      </w:pPr>
      <w:r>
        <w:t>A reporter is not expected to prove a case before reporting. Honest mistakes or reports that are not substantiated will not, by themselves, result in adverse action. Knowingly reporting false information may lead to disciplinary or contractual consequences subject to applicable law. This must not be used to deter reasonable reporting or punish an unproven allegation.</w:t>
      </w:r>
    </w:p>
    <w:p>
      <w:pPr>
        <w:pStyle w:val="Heading1"/>
      </w:pPr>
      <w:r>
        <w:t>13. Personal Data, Records and Evidence</w:t>
      </w:r>
    </w:p>
    <w:p>
      <w:pPr>
        <w:pStyle w:val="ListBullet"/>
        <w:spacing w:after="50"/>
      </w:pPr>
      <w:r>
        <w:t>Collect only personal data reasonably necessary to receive, assess, investigate and follow up the report.</w:t>
      </w:r>
    </w:p>
    <w:p>
      <w:pPr>
        <w:pStyle w:val="ListBullet"/>
        <w:spacing w:after="50"/>
      </w:pPr>
      <w:r>
        <w:t>Manifestly irrelevant personal data should not be collected; if collected accidentally, it should be deleted without undue delay where required.</w:t>
      </w:r>
    </w:p>
    <w:p>
      <w:pPr>
        <w:pStyle w:val="ListBullet"/>
        <w:spacing w:after="50"/>
      </w:pPr>
      <w:r>
        <w:t>Whistleblowing case records must be segregated from ordinary AI project repositories where broad access would undermine confidentiality.</w:t>
      </w:r>
    </w:p>
    <w:p>
      <w:pPr>
        <w:pStyle w:val="ListBullet"/>
        <w:spacing w:after="50"/>
      </w:pPr>
      <w:r>
        <w:t>Retention must be necessary and proportionate and comply with applicable national law, GDPR and litigation/investigation holds.</w:t>
      </w:r>
    </w:p>
    <w:p>
      <w:pPr>
        <w:pStyle w:val="ListBullet"/>
        <w:spacing w:after="50"/>
      </w:pPr>
      <w:r>
        <w:t>Oral reports or meetings should be documented in accordance with applicable legal requirements, consent rules and reporter rights to review/agree records where relevant.</w:t>
      </w:r>
    </w:p>
    <w:p>
      <w:pPr>
        <w:pStyle w:val="ListBullet"/>
        <w:spacing w:after="50"/>
      </w:pPr>
      <w:r>
        <w:t>Technical evidence should preserve provenance, timestamps, system/version identifiers, chain of custody and integrity without exposing reporter identity unnecessarily.</w:t>
      </w:r>
    </w:p>
    <w:p>
      <w:pPr>
        <w:pStyle w:val="Heading2"/>
      </w:pPr>
      <w:r>
        <w:t>13.1 Minimum case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70" w:type="dxa"/>
              <w:start w:w="90" w:type="dxa"/>
              <w:bottom w:w="70" w:type="dxa"/>
              <w:end w:w="90" w:type="dxa"/>
            </w:tcMar>
            <w:shd w:fill="173B57"/>
          </w:tcPr>
          <w:p>
            <w:pPr>
              <w:spacing w:after="0"/>
            </w:pPr>
            <w:r/>
            <w:r>
              <w:rPr>
                <w:rFonts w:ascii="Aptos" w:hAnsi="Aptos"/>
                <w:b/>
                <w:color w:val="FFFFFF"/>
                <w:sz w:val="15"/>
              </w:rPr>
              <w:t>Record element</w:t>
            </w:r>
          </w:p>
        </w:tc>
        <w:tc>
          <w:tcPr>
            <w:tcW w:type="dxa" w:w="6768"/>
            <w:vAlign w:val="center"/>
            <w:tcMar>
              <w:top w:w="70" w:type="dxa"/>
              <w:start w:w="90" w:type="dxa"/>
              <w:bottom w:w="70" w:type="dxa"/>
              <w:end w:w="90" w:type="dxa"/>
            </w:tcMar>
            <w:shd w:fill="173B57"/>
          </w:tcPr>
          <w:p>
            <w:pPr>
              <w:spacing w:after="0"/>
            </w:pPr>
            <w:r/>
            <w:r>
              <w:rPr>
                <w:rFonts w:ascii="Aptos" w:hAnsi="Aptos"/>
                <w:b/>
                <w:color w:val="FFFFFF"/>
                <w:sz w:val="15"/>
              </w:rPr>
              <w:t>Minimum content</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Case ID</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Unique identifier not revealing reporter identity</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Receipt channel / date</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How and when report was received</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Contact status</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Named / anonymous / confidential contact available</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Statutory-scope screen</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Potential Directive / AI Act / national-law applicability; Legal confirmation</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AI linkage</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AI ID, vendor/model, business process, lifecycle gate</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Allegation summary</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Facts, reasonable suspicions, potential concealment</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Immediate risk</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Safety, security, privacy, rights, retaliation, evidence loss</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Conflict check</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Handler/investigator independence</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Referrals</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Need-to-know specialist routing</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Evidence</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Evidence IDs and custody</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Follow-up actions</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Investigation / containment / remediation</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Feedback</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Acknowledgement and feedback milestones</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Outcome</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Substantiated / partially / unsubstantiated / unable to determine / other</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Governance impact</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Risk/AIA/incident/change/vendor/control updates</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5"/>
              </w:rPr>
              <w:t>Retaliation safeguards</w:t>
            </w:r>
          </w:p>
        </w:tc>
        <w:tc>
          <w:tcPr>
            <w:tcW w:type="dxa" w:w="6768"/>
            <w:vAlign w:val="center"/>
            <w:tcMar>
              <w:top w:w="70" w:type="dxa"/>
              <w:start w:w="90" w:type="dxa"/>
              <w:bottom w:w="70" w:type="dxa"/>
              <w:end w:w="90" w:type="dxa"/>
            </w:tcMar>
          </w:tcPr>
          <w:p>
            <w:pPr>
              <w:spacing w:after="0"/>
            </w:pPr>
            <w:r/>
            <w:r>
              <w:rPr>
                <w:rFonts w:ascii="Aptos" w:hAnsi="Aptos"/>
                <w:b w:val="0"/>
                <w:color w:val="28343E"/>
                <w:sz w:val="15"/>
              </w:rPr>
              <w:t>Actions and monitoring where needed</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5"/>
              </w:rPr>
              <w:t>Closure</w:t>
            </w:r>
          </w:p>
        </w:tc>
        <w:tc>
          <w:tcPr>
            <w:tcW w:type="dxa" w:w="6768"/>
            <w:vAlign w:val="center"/>
            <w:tcMar>
              <w:top w:w="70" w:type="dxa"/>
              <w:start w:w="90" w:type="dxa"/>
              <w:bottom w:w="70" w:type="dxa"/>
              <w:end w:w="90" w:type="dxa"/>
            </w:tcMar>
            <w:shd w:fill="F4F6F7"/>
          </w:tcPr>
          <w:p>
            <w:pPr>
              <w:spacing w:after="0"/>
            </w:pPr>
            <w:r/>
            <w:r>
              <w:rPr>
                <w:rFonts w:ascii="Aptos" w:hAnsi="Aptos"/>
                <w:b w:val="0"/>
                <w:color w:val="28343E"/>
                <w:sz w:val="15"/>
              </w:rPr>
              <w:t>Approver, rationale and retained actions</w:t>
            </w:r>
          </w:p>
        </w:tc>
      </w:tr>
    </w:tbl>
    <w:p>
      <w:pPr>
        <w:spacing w:after="0"/>
      </w:pPr>
    </w:p>
    <w:p>
      <w:pPr>
        <w:pStyle w:val="Heading1"/>
      </w:pPr>
      <w:r>
        <w:t>14.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vAlign w:val="center"/>
            <w:tcMar>
              <w:top w:w="35" w:type="dxa"/>
              <w:start w:w="65" w:type="dxa"/>
              <w:bottom w:w="35" w:type="dxa"/>
              <w:end w:w="65" w:type="dxa"/>
            </w:tcMar>
            <w:shd w:fill="173B57"/>
          </w:tcPr>
          <w:p>
            <w:pPr>
              <w:spacing w:after="0" w:before="0"/>
            </w:pPr>
            <w:r>
              <w:rPr>
                <w:sz w:val="13"/>
              </w:rPr>
            </w:r>
            <w:r>
              <w:rPr>
                <w:rFonts w:ascii="Aptos" w:hAnsi="Aptos"/>
                <w:b/>
                <w:color w:val="FFFFFF"/>
                <w:sz w:val="13"/>
              </w:rPr>
              <w:t>Role</w:t>
            </w:r>
          </w:p>
        </w:tc>
        <w:tc>
          <w:tcPr>
            <w:tcW w:type="dxa" w:w="6120"/>
            <w:vAlign w:val="center"/>
            <w:tcMar>
              <w:top w:w="35" w:type="dxa"/>
              <w:start w:w="65" w:type="dxa"/>
              <w:bottom w:w="35" w:type="dxa"/>
              <w:end w:w="65" w:type="dxa"/>
            </w:tcMar>
            <w:shd w:fill="173B57"/>
          </w:tcPr>
          <w:p>
            <w:pPr>
              <w:spacing w:after="0" w:before="0"/>
            </w:pPr>
            <w:r>
              <w:rPr>
                <w:sz w:val="13"/>
              </w:rPr>
            </w:r>
            <w:r>
              <w:rPr>
                <w:rFonts w:ascii="Aptos" w:hAnsi="Aptos"/>
                <w:b/>
                <w:color w:val="FFFFFF"/>
                <w:sz w:val="13"/>
              </w:rPr>
              <w:t>Responsibility</w:t>
            </w:r>
          </w:p>
        </w:tc>
      </w:tr>
      <w:tr>
        <w:tc>
          <w:tcPr>
            <w:tcW w:type="dxa" w:w="3240"/>
            <w:vAlign w:val="center"/>
            <w:tcMar>
              <w:top w:w="35" w:type="dxa"/>
              <w:start w:w="65" w:type="dxa"/>
              <w:bottom w:w="35" w:type="dxa"/>
              <w:end w:w="65" w:type="dxa"/>
            </w:tcMar>
          </w:tcPr>
          <w:p>
            <w:pPr>
              <w:spacing w:after="0" w:before="0"/>
            </w:pPr>
            <w:r>
              <w:rPr>
                <w:sz w:val="13"/>
              </w:rPr>
            </w:r>
            <w:r>
              <w:rPr>
                <w:rFonts w:ascii="Aptos" w:hAnsi="Aptos"/>
                <w:b w:val="0"/>
                <w:color w:val="28343E"/>
                <w:sz w:val="13"/>
              </w:rPr>
              <w:t>Board Audit &amp; Risk Committee</w:t>
            </w:r>
          </w:p>
        </w:tc>
        <w:tc>
          <w:tcPr>
            <w:tcW w:type="dxa" w:w="6120"/>
            <w:vAlign w:val="center"/>
            <w:tcMar>
              <w:top w:w="35" w:type="dxa"/>
              <w:start w:w="65" w:type="dxa"/>
              <w:bottom w:w="35" w:type="dxa"/>
              <w:end w:w="65" w:type="dxa"/>
            </w:tcMar>
          </w:tcPr>
          <w:p>
            <w:pPr>
              <w:spacing w:after="0" w:before="0"/>
            </w:pPr>
            <w:r>
              <w:rPr>
                <w:sz w:val="13"/>
              </w:rPr>
            </w:r>
            <w:r>
              <w:rPr>
                <w:rFonts w:ascii="Aptos" w:hAnsi="Aptos"/>
                <w:b w:val="0"/>
                <w:color w:val="28343E"/>
                <w:sz w:val="13"/>
              </w:rPr>
              <w:t>Oversight of serious/conflicted executive reports, retaliation trends and systemic issues; does not receive reporter identity unless necessary.</w:t>
            </w:r>
          </w:p>
        </w:tc>
      </w:tr>
      <w:tr>
        <w:tc>
          <w:tcPr>
            <w:tcW w:type="dxa" w:w="324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CEO / Executive Management</w:t>
            </w:r>
          </w:p>
        </w:tc>
        <w:tc>
          <w:tcPr>
            <w:tcW w:type="dxa" w:w="612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Support non-retaliation culture and ensure resources; must not interfere with independent handling.</w:t>
            </w:r>
          </w:p>
        </w:tc>
      </w:tr>
      <w:tr>
        <w:tc>
          <w:tcPr>
            <w:tcW w:type="dxa" w:w="3240"/>
            <w:vAlign w:val="center"/>
            <w:tcMar>
              <w:top w:w="35" w:type="dxa"/>
              <w:start w:w="65" w:type="dxa"/>
              <w:bottom w:w="35" w:type="dxa"/>
              <w:end w:w="65" w:type="dxa"/>
            </w:tcMar>
          </w:tcPr>
          <w:p>
            <w:pPr>
              <w:spacing w:after="0" w:before="0"/>
            </w:pPr>
            <w:r>
              <w:rPr>
                <w:sz w:val="13"/>
              </w:rPr>
            </w:r>
            <w:r>
              <w:rPr>
                <w:rFonts w:ascii="Aptos" w:hAnsi="Aptos"/>
                <w:b w:val="0"/>
                <w:color w:val="28343E"/>
                <w:sz w:val="13"/>
              </w:rPr>
              <w:t>CRCO — Reginald Duckman</w:t>
            </w:r>
          </w:p>
        </w:tc>
        <w:tc>
          <w:tcPr>
            <w:tcW w:type="dxa" w:w="6120"/>
            <w:vAlign w:val="center"/>
            <w:tcMar>
              <w:top w:w="35" w:type="dxa"/>
              <w:start w:w="65" w:type="dxa"/>
              <w:bottom w:w="35" w:type="dxa"/>
              <w:end w:w="65" w:type="dxa"/>
            </w:tcMar>
          </w:tcPr>
          <w:p>
            <w:pPr>
              <w:spacing w:after="0" w:before="0"/>
            </w:pPr>
            <w:r>
              <w:rPr>
                <w:sz w:val="13"/>
              </w:rPr>
            </w:r>
            <w:r>
              <w:rPr>
                <w:rFonts w:ascii="Aptos" w:hAnsi="Aptos"/>
                <w:b w:val="0"/>
                <w:color w:val="28343E"/>
                <w:sz w:val="13"/>
              </w:rPr>
              <w:t>Policy owner; governance escalation and aggregate trend oversight. Not case handler where conflicted.</w:t>
            </w:r>
          </w:p>
        </w:tc>
      </w:tr>
      <w:tr>
        <w:tc>
          <w:tcPr>
            <w:tcW w:type="dxa" w:w="324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Designated Whistleblowing Officer / function — TBD</w:t>
            </w:r>
          </w:p>
        </w:tc>
        <w:tc>
          <w:tcPr>
            <w:tcW w:type="dxa" w:w="612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Receive, acknowledge, triage, protect confidentiality, coordinate impartial follow-up, maintain records and feedback.</w:t>
            </w:r>
          </w:p>
        </w:tc>
      </w:tr>
      <w:tr>
        <w:tc>
          <w:tcPr>
            <w:tcW w:type="dxa" w:w="3240"/>
            <w:vAlign w:val="center"/>
            <w:tcMar>
              <w:top w:w="35" w:type="dxa"/>
              <w:start w:w="65" w:type="dxa"/>
              <w:bottom w:w="35" w:type="dxa"/>
              <w:end w:w="65" w:type="dxa"/>
            </w:tcMar>
          </w:tcPr>
          <w:p>
            <w:pPr>
              <w:spacing w:after="0" w:before="0"/>
            </w:pPr>
            <w:r>
              <w:rPr>
                <w:sz w:val="13"/>
              </w:rPr>
            </w:r>
            <w:r>
              <w:rPr>
                <w:rFonts w:ascii="Aptos" w:hAnsi="Aptos"/>
                <w:b w:val="0"/>
                <w:color w:val="28343E"/>
                <w:sz w:val="13"/>
              </w:rPr>
              <w:t>General Counsel — Amelia Duckett</w:t>
            </w:r>
          </w:p>
        </w:tc>
        <w:tc>
          <w:tcPr>
            <w:tcW w:type="dxa" w:w="6120"/>
            <w:vAlign w:val="center"/>
            <w:tcMar>
              <w:top w:w="35" w:type="dxa"/>
              <w:start w:w="65" w:type="dxa"/>
              <w:bottom w:w="35" w:type="dxa"/>
              <w:end w:w="65" w:type="dxa"/>
            </w:tcMar>
          </w:tcPr>
          <w:p>
            <w:pPr>
              <w:spacing w:after="0" w:before="0"/>
            </w:pPr>
            <w:r>
              <w:rPr>
                <w:sz w:val="13"/>
              </w:rPr>
            </w:r>
            <w:r>
              <w:rPr>
                <w:rFonts w:ascii="Aptos" w:hAnsi="Aptos"/>
                <w:b w:val="0"/>
                <w:color w:val="28343E"/>
                <w:sz w:val="13"/>
              </w:rPr>
              <w:t>Legal-scope analysis, privilege, external authority/public-disclosure information, complex/conflicted investigations.</w:t>
            </w:r>
          </w:p>
        </w:tc>
      </w:tr>
      <w:tr>
        <w:tc>
          <w:tcPr>
            <w:tcW w:type="dxa" w:w="324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DPO — Delia Duckham</w:t>
            </w:r>
          </w:p>
        </w:tc>
        <w:tc>
          <w:tcPr>
            <w:tcW w:type="dxa" w:w="612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Privacy advice and monitoring of personal-data handling.</w:t>
            </w:r>
          </w:p>
        </w:tc>
      </w:tr>
      <w:tr>
        <w:tc>
          <w:tcPr>
            <w:tcW w:type="dxa" w:w="3240"/>
            <w:vAlign w:val="center"/>
            <w:tcMar>
              <w:top w:w="35" w:type="dxa"/>
              <w:start w:w="65" w:type="dxa"/>
              <w:bottom w:w="35" w:type="dxa"/>
              <w:end w:w="65" w:type="dxa"/>
            </w:tcMar>
          </w:tcPr>
          <w:p>
            <w:pPr>
              <w:spacing w:after="0" w:before="0"/>
            </w:pPr>
            <w:r>
              <w:rPr>
                <w:sz w:val="13"/>
              </w:rPr>
            </w:r>
            <w:r>
              <w:rPr>
                <w:rFonts w:ascii="Aptos" w:hAnsi="Aptos"/>
                <w:b w:val="0"/>
                <w:color w:val="28343E"/>
                <w:sz w:val="13"/>
              </w:rPr>
              <w:t>CISO — Cassandra Duckley</w:t>
            </w:r>
          </w:p>
        </w:tc>
        <w:tc>
          <w:tcPr>
            <w:tcW w:type="dxa" w:w="6120"/>
            <w:vAlign w:val="center"/>
            <w:tcMar>
              <w:top w:w="35" w:type="dxa"/>
              <w:start w:w="65" w:type="dxa"/>
              <w:bottom w:w="35" w:type="dxa"/>
              <w:end w:w="65" w:type="dxa"/>
            </w:tcMar>
          </w:tcPr>
          <w:p>
            <w:pPr>
              <w:spacing w:after="0" w:before="0"/>
            </w:pPr>
            <w:r>
              <w:rPr>
                <w:sz w:val="13"/>
              </w:rPr>
            </w:r>
            <w:r>
              <w:rPr>
                <w:rFonts w:ascii="Aptos" w:hAnsi="Aptos"/>
                <w:b w:val="0"/>
                <w:color w:val="28343E"/>
                <w:sz w:val="13"/>
              </w:rPr>
              <w:t>Technical/security containment and evidence support for AI security reports.</w:t>
            </w:r>
          </w:p>
        </w:tc>
      </w:tr>
      <w:tr>
        <w:tc>
          <w:tcPr>
            <w:tcW w:type="dxa" w:w="324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AI Governance Lead — Eleanor Duckford</w:t>
            </w:r>
          </w:p>
        </w:tc>
        <w:tc>
          <w:tcPr>
            <w:tcW w:type="dxa" w:w="612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Receive de-identified governance referrals, update risk/control/approval artifacts and committee actions.</w:t>
            </w:r>
          </w:p>
        </w:tc>
      </w:tr>
      <w:tr>
        <w:tc>
          <w:tcPr>
            <w:tcW w:type="dxa" w:w="3240"/>
            <w:vAlign w:val="center"/>
            <w:tcMar>
              <w:top w:w="35" w:type="dxa"/>
              <w:start w:w="65" w:type="dxa"/>
              <w:bottom w:w="35" w:type="dxa"/>
              <w:end w:w="65" w:type="dxa"/>
            </w:tcMar>
          </w:tcPr>
          <w:p>
            <w:pPr>
              <w:spacing w:after="0" w:before="0"/>
            </w:pPr>
            <w:r>
              <w:rPr>
                <w:sz w:val="13"/>
              </w:rPr>
            </w:r>
            <w:r>
              <w:rPr>
                <w:rFonts w:ascii="Aptos" w:hAnsi="Aptos"/>
                <w:b w:val="0"/>
                <w:color w:val="28343E"/>
                <w:sz w:val="13"/>
              </w:rPr>
              <w:t>HR / CPO — Beatrice Van Duck</w:t>
            </w:r>
          </w:p>
        </w:tc>
        <w:tc>
          <w:tcPr>
            <w:tcW w:type="dxa" w:w="6120"/>
            <w:vAlign w:val="center"/>
            <w:tcMar>
              <w:top w:w="35" w:type="dxa"/>
              <w:start w:w="65" w:type="dxa"/>
              <w:bottom w:w="35" w:type="dxa"/>
              <w:end w:w="65" w:type="dxa"/>
            </w:tcMar>
          </w:tcPr>
          <w:p>
            <w:pPr>
              <w:spacing w:after="0" w:before="0"/>
            </w:pPr>
            <w:r>
              <w:rPr>
                <w:sz w:val="13"/>
              </w:rPr>
            </w:r>
            <w:r>
              <w:rPr>
                <w:rFonts w:ascii="Aptos" w:hAnsi="Aptos"/>
                <w:b w:val="0"/>
                <w:color w:val="28343E"/>
                <w:sz w:val="13"/>
              </w:rPr>
              <w:t>Retaliation safeguards and people-impact cases, subject to conflict controls.</w:t>
            </w:r>
          </w:p>
        </w:tc>
      </w:tr>
      <w:tr>
        <w:tc>
          <w:tcPr>
            <w:tcW w:type="dxa" w:w="324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System / Business / Technical Owners</w:t>
            </w:r>
          </w:p>
        </w:tc>
        <w:tc>
          <w:tcPr>
            <w:tcW w:type="dxa" w:w="6120"/>
            <w:vAlign w:val="center"/>
            <w:tcMar>
              <w:top w:w="35" w:type="dxa"/>
              <w:start w:w="65" w:type="dxa"/>
              <w:bottom w:w="35" w:type="dxa"/>
              <w:end w:w="65" w:type="dxa"/>
            </w:tcMar>
            <w:shd w:fill="F4F6F7"/>
          </w:tcPr>
          <w:p>
            <w:pPr>
              <w:spacing w:after="0" w:before="0"/>
            </w:pPr>
            <w:r>
              <w:rPr>
                <w:sz w:val="13"/>
              </w:rPr>
            </w:r>
            <w:r>
              <w:rPr>
                <w:rFonts w:ascii="Aptos" w:hAnsi="Aptos"/>
                <w:b w:val="0"/>
                <w:color w:val="28343E"/>
                <w:sz w:val="13"/>
              </w:rPr>
              <w:t>Provide evidence and implement remediation; do not control the case if implicated.</w:t>
            </w:r>
          </w:p>
        </w:tc>
      </w:tr>
      <w:tr>
        <w:tc>
          <w:tcPr>
            <w:tcW w:type="dxa" w:w="3240"/>
            <w:vAlign w:val="center"/>
            <w:tcMar>
              <w:top w:w="35" w:type="dxa"/>
              <w:start w:w="65" w:type="dxa"/>
              <w:bottom w:w="35" w:type="dxa"/>
              <w:end w:w="65" w:type="dxa"/>
            </w:tcMar>
          </w:tcPr>
          <w:p>
            <w:pPr>
              <w:spacing w:after="0" w:before="0"/>
            </w:pPr>
            <w:r>
              <w:rPr>
                <w:sz w:val="13"/>
              </w:rPr>
            </w:r>
            <w:r>
              <w:rPr>
                <w:rFonts w:ascii="Aptos" w:hAnsi="Aptos"/>
                <w:b w:val="0"/>
                <w:color w:val="28343E"/>
                <w:sz w:val="13"/>
              </w:rPr>
              <w:t>Internal Audit — Penelope Duckins</w:t>
            </w:r>
          </w:p>
        </w:tc>
        <w:tc>
          <w:tcPr>
            <w:tcW w:type="dxa" w:w="6120"/>
            <w:vAlign w:val="center"/>
            <w:tcMar>
              <w:top w:w="35" w:type="dxa"/>
              <w:start w:w="65" w:type="dxa"/>
              <w:bottom w:w="35" w:type="dxa"/>
              <w:end w:w="65" w:type="dxa"/>
            </w:tcMar>
          </w:tcPr>
          <w:p>
            <w:pPr>
              <w:spacing w:after="0" w:before="0"/>
            </w:pPr>
            <w:r>
              <w:rPr>
                <w:sz w:val="13"/>
              </w:rPr>
            </w:r>
            <w:r>
              <w:rPr>
                <w:rFonts w:ascii="Aptos" w:hAnsi="Aptos"/>
                <w:b w:val="0"/>
                <w:color w:val="28343E"/>
                <w:sz w:val="13"/>
              </w:rPr>
              <w:t>Independent assurance over the design/operation of the reporting framework; no first/second-line ownership.</w:t>
            </w:r>
          </w:p>
        </w:tc>
      </w:tr>
    </w:tbl>
    <w:p>
      <w:pPr>
        <w:spacing w:after="0"/>
      </w:pPr>
    </w:p>
    <w:p>
      <w:r>
        <w:br w:type="page"/>
      </w:r>
    </w:p>
    <w:p>
      <w:pPr>
        <w:pStyle w:val="Heading1"/>
      </w:pPr>
      <w:r>
        <w:t>15. Training, Awareness and Accessibility</w:t>
      </w:r>
    </w:p>
    <w:p>
      <w:pPr>
        <w:pStyle w:val="ListBullet"/>
        <w:spacing w:after="50"/>
      </w:pPr>
      <w:r>
        <w:t>All workers receive clear information on protected reporting channels, confidentiality and prohibition of retaliation.</w:t>
      </w:r>
    </w:p>
    <w:p>
      <w:pPr>
        <w:pStyle w:val="ListBullet"/>
        <w:spacing w:after="50"/>
      </w:pPr>
      <w:r>
        <w:t>Managers receive specific training that concerns must be escalated and must not be suppressed, investigated informally outside the process, or used against the reporter.</w:t>
      </w:r>
    </w:p>
    <w:p>
      <w:pPr>
        <w:pStyle w:val="ListBullet"/>
        <w:spacing w:after="50"/>
      </w:pPr>
      <w:r>
        <w:t>AI system owners, developers, data teams, recruiters, engineers, inspectors and customer-support staff receive examples relevant to their AI use cases.</w:t>
      </w:r>
    </w:p>
    <w:p>
      <w:pPr>
        <w:pStyle w:val="ListBullet"/>
        <w:spacing w:after="50"/>
      </w:pPr>
      <w:r>
        <w:t>Reporting information must be accessible to contractors and other eligible work-related persons where applicable.</w:t>
      </w:r>
    </w:p>
    <w:p>
      <w:pPr>
        <w:pStyle w:val="ListBullet"/>
        <w:spacing w:after="50"/>
      </w:pPr>
      <w:r>
        <w:t>Accessibility, language and reasonable-accommodation needs should be considered so that the reporting mechanism is usable in practice.</w:t>
      </w:r>
    </w:p>
    <w:p>
      <w:pPr>
        <w:pStyle w:val="Heading1"/>
      </w:pPr>
      <w:r>
        <w:t>16. Monitoring and Governance Reporting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vAlign w:val="center"/>
            <w:tcMar>
              <w:top w:w="70" w:type="dxa"/>
              <w:start w:w="90" w:type="dxa"/>
              <w:bottom w:w="70" w:type="dxa"/>
              <w:end w:w="90" w:type="dxa"/>
            </w:tcMar>
            <w:shd w:fill="173B57"/>
          </w:tcPr>
          <w:p>
            <w:pPr>
              <w:spacing w:after="0"/>
            </w:pPr>
            <w:r/>
            <w:r>
              <w:rPr>
                <w:rFonts w:ascii="Aptos" w:hAnsi="Aptos"/>
                <w:b/>
                <w:color w:val="FFFFFF"/>
                <w:sz w:val="15"/>
              </w:rPr>
              <w:t>Metric</w:t>
            </w:r>
          </w:p>
        </w:tc>
        <w:tc>
          <w:tcPr>
            <w:tcW w:type="dxa" w:w="4608"/>
            <w:vAlign w:val="center"/>
            <w:tcMar>
              <w:top w:w="70" w:type="dxa"/>
              <w:start w:w="90" w:type="dxa"/>
              <w:bottom w:w="70" w:type="dxa"/>
              <w:end w:w="90" w:type="dxa"/>
            </w:tcMar>
            <w:shd w:fill="173B57"/>
          </w:tcPr>
          <w:p>
            <w:pPr>
              <w:spacing w:after="0"/>
            </w:pPr>
            <w:r/>
            <w:r>
              <w:rPr>
                <w:rFonts w:ascii="Aptos" w:hAnsi="Aptos"/>
                <w:b/>
                <w:color w:val="FFFFFF"/>
                <w:sz w:val="15"/>
              </w:rPr>
              <w:t>Purpose</w:t>
            </w:r>
          </w:p>
        </w:tc>
        <w:tc>
          <w:tcPr>
            <w:tcW w:type="dxa" w:w="1728"/>
            <w:vAlign w:val="center"/>
            <w:tcMar>
              <w:top w:w="70" w:type="dxa"/>
              <w:start w:w="90" w:type="dxa"/>
              <w:bottom w:w="70" w:type="dxa"/>
              <w:end w:w="90" w:type="dxa"/>
            </w:tcMar>
            <w:shd w:fill="173B57"/>
          </w:tcPr>
          <w:p>
            <w:pPr>
              <w:spacing w:after="0"/>
            </w:pPr>
            <w:r/>
            <w:r>
              <w:rPr>
                <w:rFonts w:ascii="Aptos" w:hAnsi="Aptos"/>
                <w:b/>
                <w:color w:val="FFFFFF"/>
                <w:sz w:val="15"/>
              </w:rPr>
              <w:t>Cadence</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AI whistleblowing reports received</w:t>
            </w:r>
          </w:p>
        </w:tc>
        <w:tc>
          <w:tcPr>
            <w:tcW w:type="dxa" w:w="4608"/>
            <w:vAlign w:val="center"/>
            <w:tcMar>
              <w:top w:w="70" w:type="dxa"/>
              <w:start w:w="90" w:type="dxa"/>
              <w:bottom w:w="70" w:type="dxa"/>
              <w:end w:w="90" w:type="dxa"/>
            </w:tcMar>
          </w:tcPr>
          <w:p>
            <w:pPr>
              <w:spacing w:after="0"/>
            </w:pPr>
            <w:r/>
            <w:r>
              <w:rPr>
                <w:rFonts w:ascii="Aptos" w:hAnsi="Aptos"/>
                <w:b w:val="0"/>
                <w:color w:val="28343E"/>
                <w:sz w:val="15"/>
              </w:rPr>
              <w:t>Count by category/system, without identifying reporters</w:t>
            </w:r>
          </w:p>
        </w:tc>
        <w:tc>
          <w:tcPr>
            <w:tcW w:type="dxa" w:w="1728"/>
            <w:vAlign w:val="center"/>
            <w:tcMar>
              <w:top w:w="70" w:type="dxa"/>
              <w:start w:w="90" w:type="dxa"/>
              <w:bottom w:w="70" w:type="dxa"/>
              <w:end w:w="90" w:type="dxa"/>
            </w:tcMar>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Acknowledgement timeliness</w:t>
            </w:r>
          </w:p>
        </w:tc>
        <w:tc>
          <w:tcPr>
            <w:tcW w:type="dxa" w:w="4608"/>
            <w:vAlign w:val="center"/>
            <w:tcMar>
              <w:top w:w="70" w:type="dxa"/>
              <w:start w:w="90" w:type="dxa"/>
              <w:bottom w:w="70" w:type="dxa"/>
              <w:end w:w="90" w:type="dxa"/>
            </w:tcMar>
            <w:shd w:fill="F4F6F7"/>
          </w:tcPr>
          <w:p>
            <w:pPr>
              <w:spacing w:after="0"/>
            </w:pPr>
            <w:r/>
            <w:r>
              <w:rPr>
                <w:rFonts w:ascii="Aptos" w:hAnsi="Aptos"/>
                <w:b w:val="0"/>
                <w:color w:val="28343E"/>
                <w:sz w:val="15"/>
              </w:rPr>
              <w:t>% acknowledged within applicable baseline</w:t>
            </w:r>
          </w:p>
        </w:tc>
        <w:tc>
          <w:tcPr>
            <w:tcW w:type="dxa" w:w="1728"/>
            <w:vAlign w:val="center"/>
            <w:tcMar>
              <w:top w:w="70" w:type="dxa"/>
              <w:start w:w="90" w:type="dxa"/>
              <w:bottom w:w="70" w:type="dxa"/>
              <w:end w:w="90" w:type="dxa"/>
            </w:tcMar>
            <w:shd w:fill="F4F6F7"/>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Feedback timeliness</w:t>
            </w:r>
          </w:p>
        </w:tc>
        <w:tc>
          <w:tcPr>
            <w:tcW w:type="dxa" w:w="4608"/>
            <w:vAlign w:val="center"/>
            <w:tcMar>
              <w:top w:w="70" w:type="dxa"/>
              <w:start w:w="90" w:type="dxa"/>
              <w:bottom w:w="70" w:type="dxa"/>
              <w:end w:w="90" w:type="dxa"/>
            </w:tcMar>
          </w:tcPr>
          <w:p>
            <w:pPr>
              <w:spacing w:after="0"/>
            </w:pPr>
            <w:r/>
            <w:r>
              <w:rPr>
                <w:rFonts w:ascii="Aptos" w:hAnsi="Aptos"/>
                <w:b w:val="0"/>
                <w:color w:val="28343E"/>
                <w:sz w:val="15"/>
              </w:rPr>
              <w:t>% receiving feedback within applicable timeframe</w:t>
            </w:r>
          </w:p>
        </w:tc>
        <w:tc>
          <w:tcPr>
            <w:tcW w:type="dxa" w:w="1728"/>
            <w:vAlign w:val="center"/>
            <w:tcMar>
              <w:top w:w="70" w:type="dxa"/>
              <w:start w:w="90" w:type="dxa"/>
              <w:bottom w:w="70" w:type="dxa"/>
              <w:end w:w="90" w:type="dxa"/>
            </w:tcMar>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Substantiation / outcome mix</w:t>
            </w:r>
          </w:p>
        </w:tc>
        <w:tc>
          <w:tcPr>
            <w:tcW w:type="dxa" w:w="4608"/>
            <w:vAlign w:val="center"/>
            <w:tcMar>
              <w:top w:w="70" w:type="dxa"/>
              <w:start w:w="90" w:type="dxa"/>
              <w:bottom w:w="70" w:type="dxa"/>
              <w:end w:w="90" w:type="dxa"/>
            </w:tcMar>
            <w:shd w:fill="F4F6F7"/>
          </w:tcPr>
          <w:p>
            <w:pPr>
              <w:spacing w:after="0"/>
            </w:pPr>
            <w:r/>
            <w:r>
              <w:rPr>
                <w:rFonts w:ascii="Aptos" w:hAnsi="Aptos"/>
                <w:b w:val="0"/>
                <w:color w:val="28343E"/>
                <w:sz w:val="15"/>
              </w:rPr>
              <w:t>Trend, not a performance target</w:t>
            </w:r>
          </w:p>
        </w:tc>
        <w:tc>
          <w:tcPr>
            <w:tcW w:type="dxa" w:w="1728"/>
            <w:vAlign w:val="center"/>
            <w:tcMar>
              <w:top w:w="70" w:type="dxa"/>
              <w:start w:w="90" w:type="dxa"/>
              <w:bottom w:w="70" w:type="dxa"/>
              <w:end w:w="90" w:type="dxa"/>
            </w:tcMar>
            <w:shd w:fill="F4F6F7"/>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Retaliation allegations</w:t>
            </w:r>
          </w:p>
        </w:tc>
        <w:tc>
          <w:tcPr>
            <w:tcW w:type="dxa" w:w="4608"/>
            <w:vAlign w:val="center"/>
            <w:tcMar>
              <w:top w:w="70" w:type="dxa"/>
              <w:start w:w="90" w:type="dxa"/>
              <w:bottom w:w="70" w:type="dxa"/>
              <w:end w:w="90" w:type="dxa"/>
            </w:tcMar>
          </w:tcPr>
          <w:p>
            <w:pPr>
              <w:spacing w:after="0"/>
            </w:pPr>
            <w:r/>
            <w:r>
              <w:rPr>
                <w:rFonts w:ascii="Aptos" w:hAnsi="Aptos"/>
                <w:b w:val="0"/>
                <w:color w:val="28343E"/>
                <w:sz w:val="15"/>
              </w:rPr>
              <w:t>Number, status and confirmed cases</w:t>
            </w:r>
          </w:p>
        </w:tc>
        <w:tc>
          <w:tcPr>
            <w:tcW w:type="dxa" w:w="1728"/>
            <w:vAlign w:val="center"/>
            <w:tcMar>
              <w:top w:w="70" w:type="dxa"/>
              <w:start w:w="90" w:type="dxa"/>
              <w:bottom w:w="70" w:type="dxa"/>
              <w:end w:w="90" w:type="dxa"/>
            </w:tcMar>
          </w:tcPr>
          <w:p>
            <w:pPr>
              <w:spacing w:after="0"/>
            </w:pPr>
            <w:r/>
            <w:r>
              <w:rPr>
                <w:rFonts w:ascii="Aptos" w:hAnsi="Aptos"/>
                <w:b w:val="0"/>
                <w:color w:val="28343E"/>
                <w:sz w:val="15"/>
              </w:rPr>
              <w:t>Immediate / quarterly trend</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Stop-use / incident referrals</w:t>
            </w:r>
          </w:p>
        </w:tc>
        <w:tc>
          <w:tcPr>
            <w:tcW w:type="dxa" w:w="4608"/>
            <w:vAlign w:val="center"/>
            <w:tcMar>
              <w:top w:w="70" w:type="dxa"/>
              <w:start w:w="90" w:type="dxa"/>
              <w:bottom w:w="70" w:type="dxa"/>
              <w:end w:w="90" w:type="dxa"/>
            </w:tcMar>
            <w:shd w:fill="F4F6F7"/>
          </w:tcPr>
          <w:p>
            <w:pPr>
              <w:spacing w:after="0"/>
            </w:pPr>
            <w:r/>
            <w:r>
              <w:rPr>
                <w:rFonts w:ascii="Aptos" w:hAnsi="Aptos"/>
                <w:b w:val="0"/>
                <w:color w:val="28343E"/>
                <w:sz w:val="15"/>
              </w:rPr>
              <w:t>Cases triggering operational containment</w:t>
            </w:r>
          </w:p>
        </w:tc>
        <w:tc>
          <w:tcPr>
            <w:tcW w:type="dxa" w:w="1728"/>
            <w:vAlign w:val="center"/>
            <w:tcMar>
              <w:top w:w="70" w:type="dxa"/>
              <w:start w:w="90" w:type="dxa"/>
              <w:bottom w:w="70" w:type="dxa"/>
              <w:end w:w="90" w:type="dxa"/>
            </w:tcMar>
            <w:shd w:fill="F4F6F7"/>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Control / risk updates</w:t>
            </w:r>
          </w:p>
        </w:tc>
        <w:tc>
          <w:tcPr>
            <w:tcW w:type="dxa" w:w="4608"/>
            <w:vAlign w:val="center"/>
            <w:tcMar>
              <w:top w:w="70" w:type="dxa"/>
              <w:start w:w="90" w:type="dxa"/>
              <w:bottom w:w="70" w:type="dxa"/>
              <w:end w:w="90" w:type="dxa"/>
            </w:tcMar>
          </w:tcPr>
          <w:p>
            <w:pPr>
              <w:spacing w:after="0"/>
            </w:pPr>
            <w:r/>
            <w:r>
              <w:rPr>
                <w:rFonts w:ascii="Aptos" w:hAnsi="Aptos"/>
                <w:b w:val="0"/>
                <w:color w:val="28343E"/>
                <w:sz w:val="15"/>
              </w:rPr>
              <w:t>Reports causing reassessment, new controls or changed governance gate</w:t>
            </w:r>
          </w:p>
        </w:tc>
        <w:tc>
          <w:tcPr>
            <w:tcW w:type="dxa" w:w="1728"/>
            <w:vAlign w:val="center"/>
            <w:tcMar>
              <w:top w:w="70" w:type="dxa"/>
              <w:start w:w="90" w:type="dxa"/>
              <w:bottom w:w="70" w:type="dxa"/>
              <w:end w:w="90" w:type="dxa"/>
            </w:tcMar>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Repeat themes</w:t>
            </w:r>
          </w:p>
        </w:tc>
        <w:tc>
          <w:tcPr>
            <w:tcW w:type="dxa" w:w="4608"/>
            <w:vAlign w:val="center"/>
            <w:tcMar>
              <w:top w:w="70" w:type="dxa"/>
              <w:start w:w="90" w:type="dxa"/>
              <w:bottom w:w="70" w:type="dxa"/>
              <w:end w:w="90" w:type="dxa"/>
            </w:tcMar>
            <w:shd w:fill="F4F6F7"/>
          </w:tcPr>
          <w:p>
            <w:pPr>
              <w:spacing w:after="0"/>
            </w:pPr>
            <w:r/>
            <w:r>
              <w:rPr>
                <w:rFonts w:ascii="Aptos" w:hAnsi="Aptos"/>
                <w:b w:val="0"/>
                <w:color w:val="28343E"/>
                <w:sz w:val="15"/>
              </w:rPr>
              <w:t>Recurring vendor, model, process, team or control patterns</w:t>
            </w:r>
          </w:p>
        </w:tc>
        <w:tc>
          <w:tcPr>
            <w:tcW w:type="dxa" w:w="1728"/>
            <w:vAlign w:val="center"/>
            <w:tcMar>
              <w:top w:w="70" w:type="dxa"/>
              <w:start w:w="90" w:type="dxa"/>
              <w:bottom w:w="70" w:type="dxa"/>
              <w:end w:w="90" w:type="dxa"/>
            </w:tcMar>
            <w:shd w:fill="F4F6F7"/>
          </w:tcPr>
          <w:p>
            <w:pPr>
              <w:spacing w:after="0"/>
            </w:pPr>
            <w:r/>
            <w:r>
              <w:rPr>
                <w:rFonts w:ascii="Aptos" w:hAnsi="Aptos"/>
                <w:b w:val="0"/>
                <w:color w:val="28343E"/>
                <w:sz w:val="15"/>
              </w:rPr>
              <w:t>Quarterly</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Confidentiality breaches</w:t>
            </w:r>
          </w:p>
        </w:tc>
        <w:tc>
          <w:tcPr>
            <w:tcW w:type="dxa" w:w="4608"/>
            <w:vAlign w:val="center"/>
            <w:tcMar>
              <w:top w:w="70" w:type="dxa"/>
              <w:start w:w="90" w:type="dxa"/>
              <w:bottom w:w="70" w:type="dxa"/>
              <w:end w:w="90" w:type="dxa"/>
            </w:tcMar>
          </w:tcPr>
          <w:p>
            <w:pPr>
              <w:spacing w:after="0"/>
            </w:pPr>
            <w:r/>
            <w:r>
              <w:rPr>
                <w:rFonts w:ascii="Aptos" w:hAnsi="Aptos"/>
                <w:b w:val="0"/>
                <w:color w:val="28343E"/>
                <w:sz w:val="15"/>
              </w:rPr>
              <w:t>Any unauthorized disclosure of reporter identity or case data</w:t>
            </w:r>
          </w:p>
        </w:tc>
        <w:tc>
          <w:tcPr>
            <w:tcW w:type="dxa" w:w="1728"/>
            <w:vAlign w:val="center"/>
            <w:tcMar>
              <w:top w:w="70" w:type="dxa"/>
              <w:start w:w="90" w:type="dxa"/>
              <w:bottom w:w="70" w:type="dxa"/>
              <w:end w:w="90" w:type="dxa"/>
            </w:tcMar>
          </w:tcPr>
          <w:p>
            <w:pPr>
              <w:spacing w:after="0"/>
            </w:pPr>
            <w:r/>
            <w:r>
              <w:rPr>
                <w:rFonts w:ascii="Aptos" w:hAnsi="Aptos"/>
                <w:b w:val="0"/>
                <w:color w:val="28343E"/>
                <w:sz w:val="15"/>
              </w:rPr>
              <w:t>Immediate</w:t>
            </w:r>
          </w:p>
        </w:tc>
      </w:tr>
    </w:tbl>
    <w:p>
      <w:pPr>
        <w:spacing w:after="0"/>
      </w:pPr>
    </w:p>
    <w:tbl>
      <w:tblPr>
        <w:tblW w:type="auto" w:w="0"/>
        <w:jc w:val="center"/>
        <w:tblLook w:firstColumn="1" w:firstRow="1" w:lastColumn="0" w:lastRow="0" w:noHBand="0" w:noVBand="1" w:val="04A0"/>
      </w:tblPr>
      <w:tblGrid>
        <w:gridCol w:w="10166"/>
      </w:tblGrid>
      <w:tr>
        <w:tc>
          <w:tcPr>
            <w:tcW w:type="dxa" w:w="10166"/>
            <w:shd w:fill="FFF1D5"/>
            <w:tcMar>
              <w:top w:w="120" w:type="dxa"/>
              <w:start w:w="140" w:type="dxa"/>
              <w:bottom w:w="120" w:type="dxa"/>
              <w:end w:w="140" w:type="dxa"/>
            </w:tcMar>
            <w:tcBorders>
              <w:left w:val="single" w:sz="18" w:color="2D6F6D"/>
            </w:tcBorders>
          </w:tcPr>
          <w:p>
            <w:pPr>
              <w:spacing w:after="60"/>
            </w:pPr>
            <w:r>
              <w:rPr>
                <w:b/>
                <w:color w:val="173B57"/>
                <w:sz w:val="20"/>
              </w:rPr>
              <w:t>Metric misuse prohibition</w:t>
            </w:r>
          </w:p>
          <w:p>
            <w:pPr>
              <w:spacing w:after="0"/>
            </w:pPr>
            <w:r>
              <w:rPr>
                <w:color w:val="28343E"/>
                <w:sz w:val="18"/>
              </w:rPr>
              <w:t>Report volume is not a target for managers and must not be used to penalize teams. A low number of reports can indicate low misconduct, but it can also indicate fear, poor awareness or inaccessible channels. Trend interpretation requires context.</w:t>
            </w:r>
          </w:p>
        </w:tc>
      </w:tr>
    </w:tbl>
    <w:p>
      <w:pPr>
        <w:spacing w:after="0"/>
      </w:pPr>
    </w:p>
    <w:p>
      <w:pPr>
        <w:pStyle w:val="Heading1"/>
      </w:pPr>
      <w:r>
        <w:t>17. Policy Breaches</w:t>
      </w:r>
    </w:p>
    <w:p>
      <w:pPr>
        <w:spacing w:after="100" w:line="247" w:lineRule="auto"/>
      </w:pPr>
      <w:r>
        <w:t>Failure to preserve confidentiality, retaliation, deliberate suppression of a report, evidence destruction, obstruction of follow-up, unauthorized investigation, or misuse of case information may result in disciplinary or contractual action subject to applicable law. Material breaches may also trigger AI incident response, security investigation, privacy response, legal escalation or external reporting obligations.</w:t>
      </w:r>
    </w:p>
    <w:p>
      <w:pPr>
        <w:pStyle w:val="Heading1"/>
      </w:pPr>
      <w:r>
        <w:t>18. Review and Maintenance</w:t>
      </w:r>
    </w:p>
    <w:p>
      <w:pPr>
        <w:spacing w:after="100" w:line="247" w:lineRule="auto"/>
      </w:pPr>
      <w:r>
        <w:t>The CRCO and General Counsel will review this policy at least annually and after a material change in applicable whistleblower law, the EU AI Act, Duckworks reporting channels, organizational structure, or a significant case that identifies a design weakness. Country-specific competent-authority information should be maintained separately and reviewed more frequently as needed.</w:t>
      </w:r>
    </w:p>
    <w:p>
      <w:pPr>
        <w:pStyle w:val="Heading1"/>
      </w:pPr>
      <w:r>
        <w:t>Appendix A — AI Whistleblowing Examples by Duckworks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70" w:type="dxa"/>
              <w:start w:w="90" w:type="dxa"/>
              <w:bottom w:w="70" w:type="dxa"/>
              <w:end w:w="90" w:type="dxa"/>
            </w:tcMar>
            <w:shd w:fill="173B57"/>
          </w:tcPr>
          <w:p>
            <w:pPr>
              <w:spacing w:after="0"/>
            </w:pPr>
            <w:r/>
            <w:r>
              <w:rPr>
                <w:rFonts w:ascii="Aptos" w:hAnsi="Aptos"/>
                <w:b/>
                <w:color w:val="FFFFFF"/>
                <w:sz w:val="15"/>
              </w:rPr>
              <w:t>System</w:t>
            </w:r>
          </w:p>
        </w:tc>
        <w:tc>
          <w:tcPr>
            <w:tcW w:type="dxa" w:w="6912"/>
            <w:vAlign w:val="center"/>
            <w:tcMar>
              <w:top w:w="70" w:type="dxa"/>
              <w:start w:w="90" w:type="dxa"/>
              <w:bottom w:w="70" w:type="dxa"/>
              <w:end w:w="90" w:type="dxa"/>
            </w:tcMar>
            <w:shd w:fill="173B57"/>
          </w:tcPr>
          <w:p>
            <w:pPr>
              <w:spacing w:after="0"/>
            </w:pPr>
            <w:r/>
            <w:r>
              <w:rPr>
                <w:rFonts w:ascii="Aptos" w:hAnsi="Aptos"/>
                <w:b/>
                <w:color w:val="FFFFFF"/>
                <w:sz w:val="15"/>
              </w:rPr>
              <w:t>Illustrative report</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AI-001 DuckDesign AI</w:t>
            </w:r>
          </w:p>
        </w:tc>
        <w:tc>
          <w:tcPr>
            <w:tcW w:type="dxa" w:w="6912"/>
            <w:vAlign w:val="center"/>
            <w:tcMar>
              <w:top w:w="70" w:type="dxa"/>
              <w:start w:w="90" w:type="dxa"/>
              <w:bottom w:w="70" w:type="dxa"/>
              <w:end w:w="90" w:type="dxa"/>
            </w:tcMar>
          </w:tcPr>
          <w:p>
            <w:pPr>
              <w:spacing w:after="0"/>
            </w:pPr>
            <w:r/>
            <w:r>
              <w:rPr>
                <w:rFonts w:ascii="Aptos" w:hAnsi="Aptos"/>
                <w:b w:val="0"/>
                <w:color w:val="28343E"/>
                <w:sz w:val="15"/>
              </w:rPr>
              <w:t>Engineer is pressured to approve an AI-generated design despite failed validation; evidence of failure is removed from the release file.</w:t>
            </w:r>
          </w:p>
        </w:tc>
      </w:tr>
      <w:tr>
        <w:tc>
          <w:tcPr>
            <w:tcW w:type="dxa" w:w="2448"/>
            <w:vAlign w:val="center"/>
            <w:tcMar>
              <w:top w:w="70" w:type="dxa"/>
              <w:start w:w="90" w:type="dxa"/>
              <w:bottom w:w="70" w:type="dxa"/>
              <w:end w:w="90" w:type="dxa"/>
            </w:tcMar>
            <w:shd w:fill="F4F6F7"/>
          </w:tcPr>
          <w:p>
            <w:pPr>
              <w:spacing w:after="0"/>
            </w:pPr>
            <w:r/>
            <w:r>
              <w:rPr>
                <w:rFonts w:ascii="Aptos" w:hAnsi="Aptos"/>
                <w:b w:val="0"/>
                <w:color w:val="28343E"/>
                <w:sz w:val="15"/>
              </w:rPr>
              <w:t>AI-002 QuackBot</w:t>
            </w:r>
          </w:p>
        </w:tc>
        <w:tc>
          <w:tcPr>
            <w:tcW w:type="dxa" w:w="6912"/>
            <w:vAlign w:val="center"/>
            <w:tcMar>
              <w:top w:w="70" w:type="dxa"/>
              <w:start w:w="90" w:type="dxa"/>
              <w:bottom w:w="70" w:type="dxa"/>
              <w:end w:w="90" w:type="dxa"/>
            </w:tcMar>
            <w:shd w:fill="F4F6F7"/>
          </w:tcPr>
          <w:p>
            <w:pPr>
              <w:spacing w:after="0"/>
            </w:pPr>
            <w:r/>
            <w:r>
              <w:rPr>
                <w:rFonts w:ascii="Aptos" w:hAnsi="Aptos"/>
                <w:b w:val="0"/>
                <w:color w:val="28343E"/>
                <w:sz w:val="15"/>
              </w:rPr>
              <w:t>Team knowingly suppresses repeated unsafe troubleshooting responses to avoid delaying launch.</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AI-003 FeatherForecast</w:t>
            </w:r>
          </w:p>
        </w:tc>
        <w:tc>
          <w:tcPr>
            <w:tcW w:type="dxa" w:w="6912"/>
            <w:vAlign w:val="center"/>
            <w:tcMar>
              <w:top w:w="70" w:type="dxa"/>
              <w:start w:w="90" w:type="dxa"/>
              <w:bottom w:w="70" w:type="dxa"/>
              <w:end w:w="90" w:type="dxa"/>
            </w:tcMar>
          </w:tcPr>
          <w:p>
            <w:pPr>
              <w:spacing w:after="0"/>
            </w:pPr>
            <w:r/>
            <w:r>
              <w:rPr>
                <w:rFonts w:ascii="Aptos" w:hAnsi="Aptos"/>
                <w:b w:val="0"/>
                <w:color w:val="28343E"/>
                <w:sz w:val="15"/>
              </w:rPr>
              <w:t>Forecast limitations are concealed while managers are told the model has validated accuracy it does not possess.</w:t>
            </w:r>
          </w:p>
        </w:tc>
      </w:tr>
      <w:tr>
        <w:tc>
          <w:tcPr>
            <w:tcW w:type="dxa" w:w="2448"/>
            <w:vAlign w:val="center"/>
            <w:tcMar>
              <w:top w:w="70" w:type="dxa"/>
              <w:start w:w="90" w:type="dxa"/>
              <w:bottom w:w="70" w:type="dxa"/>
              <w:end w:w="90" w:type="dxa"/>
            </w:tcMar>
            <w:shd w:fill="F4F6F7"/>
          </w:tcPr>
          <w:p>
            <w:pPr>
              <w:spacing w:after="0"/>
            </w:pPr>
            <w:r/>
            <w:r>
              <w:rPr>
                <w:rFonts w:ascii="Aptos" w:hAnsi="Aptos"/>
                <w:b w:val="0"/>
                <w:color w:val="28343E"/>
                <w:sz w:val="15"/>
              </w:rPr>
              <w:t>AI-004 WingInspect Vision</w:t>
            </w:r>
          </w:p>
        </w:tc>
        <w:tc>
          <w:tcPr>
            <w:tcW w:type="dxa" w:w="6912"/>
            <w:vAlign w:val="center"/>
            <w:tcMar>
              <w:top w:w="70" w:type="dxa"/>
              <w:start w:w="90" w:type="dxa"/>
              <w:bottom w:w="70" w:type="dxa"/>
              <w:end w:w="90" w:type="dxa"/>
            </w:tcMar>
            <w:shd w:fill="F4F6F7"/>
          </w:tcPr>
          <w:p>
            <w:pPr>
              <w:spacing w:after="0"/>
            </w:pPr>
            <w:r/>
            <w:r>
              <w:rPr>
                <w:rFonts w:ascii="Aptos" w:hAnsi="Aptos"/>
                <w:b w:val="0"/>
                <w:color w:val="28343E"/>
                <w:sz w:val="15"/>
              </w:rPr>
              <w:t>Known false-negative defect rate is manipulated or omitted from quality reporting.</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AI-005 DuckTalent AI</w:t>
            </w:r>
          </w:p>
        </w:tc>
        <w:tc>
          <w:tcPr>
            <w:tcW w:type="dxa" w:w="6912"/>
            <w:vAlign w:val="center"/>
            <w:tcMar>
              <w:top w:w="70" w:type="dxa"/>
              <w:start w:w="90" w:type="dxa"/>
              <w:bottom w:w="70" w:type="dxa"/>
              <w:end w:w="90" w:type="dxa"/>
            </w:tcMar>
          </w:tcPr>
          <w:p>
            <w:pPr>
              <w:spacing w:after="0"/>
            </w:pPr>
            <w:r/>
            <w:r>
              <w:rPr>
                <w:rFonts w:ascii="Aptos" w:hAnsi="Aptos"/>
                <w:b w:val="0"/>
                <w:color w:val="28343E"/>
                <w:sz w:val="15"/>
              </w:rPr>
              <w:t>Recruitment ranking criteria knowingly use discriminatory proxies; staff are told not to document fairness concerns.</w:t>
            </w:r>
          </w:p>
        </w:tc>
      </w:tr>
      <w:tr>
        <w:tc>
          <w:tcPr>
            <w:tcW w:type="dxa" w:w="2448"/>
            <w:vAlign w:val="center"/>
            <w:tcMar>
              <w:top w:w="70" w:type="dxa"/>
              <w:start w:w="90" w:type="dxa"/>
              <w:bottom w:w="70" w:type="dxa"/>
              <w:end w:w="90" w:type="dxa"/>
            </w:tcMar>
            <w:shd w:fill="F4F6F7"/>
          </w:tcPr>
          <w:p>
            <w:pPr>
              <w:spacing w:after="0"/>
            </w:pPr>
            <w:r/>
            <w:r>
              <w:rPr>
                <w:rFonts w:ascii="Aptos" w:hAnsi="Aptos"/>
                <w:b w:val="0"/>
                <w:color w:val="28343E"/>
                <w:sz w:val="15"/>
              </w:rPr>
              <w:t>AI-006 PondGPT</w:t>
            </w:r>
          </w:p>
        </w:tc>
        <w:tc>
          <w:tcPr>
            <w:tcW w:type="dxa" w:w="6912"/>
            <w:vAlign w:val="center"/>
            <w:tcMar>
              <w:top w:w="70" w:type="dxa"/>
              <w:start w:w="90" w:type="dxa"/>
              <w:bottom w:w="70" w:type="dxa"/>
              <w:end w:w="90" w:type="dxa"/>
            </w:tcMar>
            <w:shd w:fill="F4F6F7"/>
          </w:tcPr>
          <w:p>
            <w:pPr>
              <w:spacing w:after="0"/>
            </w:pPr>
            <w:r/>
            <w:r>
              <w:rPr>
                <w:rFonts w:ascii="Aptos" w:hAnsi="Aptos"/>
                <w:b w:val="0"/>
                <w:color w:val="28343E"/>
                <w:sz w:val="15"/>
              </w:rPr>
              <w:t>A privileged-access flaw exposes documents across users and the issue is intentionally not escalated.</w:t>
            </w:r>
          </w:p>
        </w:tc>
      </w:tr>
      <w:tr>
        <w:tc>
          <w:tcPr>
            <w:tcW w:type="dxa" w:w="2448"/>
            <w:vAlign w:val="center"/>
            <w:tcMar>
              <w:top w:w="70" w:type="dxa"/>
              <w:start w:w="90" w:type="dxa"/>
              <w:bottom w:w="70" w:type="dxa"/>
              <w:end w:w="90" w:type="dxa"/>
            </w:tcMar>
          </w:tcPr>
          <w:p>
            <w:pPr>
              <w:spacing w:after="0"/>
            </w:pPr>
            <w:r/>
            <w:r>
              <w:rPr>
                <w:rFonts w:ascii="Aptos" w:hAnsi="Aptos"/>
                <w:b w:val="0"/>
                <w:color w:val="28343E"/>
                <w:sz w:val="15"/>
              </w:rPr>
              <w:t>AI-007 Unregistered GenAI</w:t>
            </w:r>
          </w:p>
        </w:tc>
        <w:tc>
          <w:tcPr>
            <w:tcW w:type="dxa" w:w="6912"/>
            <w:vAlign w:val="center"/>
            <w:tcMar>
              <w:top w:w="70" w:type="dxa"/>
              <w:start w:w="90" w:type="dxa"/>
              <w:bottom w:w="70" w:type="dxa"/>
              <w:end w:w="90" w:type="dxa"/>
            </w:tcMar>
          </w:tcPr>
          <w:p>
            <w:pPr>
              <w:spacing w:after="0"/>
            </w:pPr>
            <w:r/>
            <w:r>
              <w:rPr>
                <w:rFonts w:ascii="Aptos" w:hAnsi="Aptos"/>
                <w:b w:val="0"/>
                <w:color w:val="28343E"/>
                <w:sz w:val="15"/>
              </w:rPr>
              <w:t>A manager instructs staff to use an unapproved public AI service with applicant/customer data and conceal the use from Security/Privacy.</w:t>
            </w:r>
          </w:p>
        </w:tc>
      </w:tr>
    </w:tbl>
    <w:p>
      <w:pPr>
        <w:spacing w:after="0"/>
      </w:pPr>
    </w:p>
    <w:p>
      <w:pPr>
        <w:pStyle w:val="Heading1"/>
      </w:pPr>
      <w:r>
        <w:t>Appendix B — Protected Case Intake &amp; Triage 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tcMar>
              <w:top w:w="70" w:type="dxa"/>
              <w:start w:w="90" w:type="dxa"/>
              <w:bottom w:w="70" w:type="dxa"/>
              <w:end w:w="90" w:type="dxa"/>
            </w:tcMar>
            <w:shd w:fill="173B57"/>
          </w:tcPr>
          <w:p>
            <w:pPr>
              <w:spacing w:after="0"/>
            </w:pPr>
            <w:r/>
            <w:r>
              <w:rPr>
                <w:rFonts w:ascii="Aptos" w:hAnsi="Aptos"/>
                <w:b/>
                <w:color w:val="FFFFFF"/>
                <w:sz w:val="15"/>
              </w:rPr>
              <w:t>Field</w:t>
            </w:r>
          </w:p>
        </w:tc>
        <w:tc>
          <w:tcPr>
            <w:tcW w:type="dxa" w:w="6336"/>
            <w:vAlign w:val="center"/>
            <w:tcMar>
              <w:top w:w="70" w:type="dxa"/>
              <w:start w:w="90" w:type="dxa"/>
              <w:bottom w:w="70" w:type="dxa"/>
              <w:end w:w="90" w:type="dxa"/>
            </w:tcMar>
            <w:shd w:fill="173B57"/>
          </w:tcPr>
          <w:p>
            <w:pPr>
              <w:spacing w:after="0"/>
            </w:pPr>
            <w:r/>
            <w:r>
              <w:rPr>
                <w:rFonts w:ascii="Aptos" w:hAnsi="Aptos"/>
                <w:b/>
                <w:color w:val="FFFFFF"/>
                <w:sz w:val="15"/>
              </w:rPr>
              <w:t>Record</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Case ID</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[WB-AI-####]</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Date/time received</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[TBD]</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Channel</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[portal / phone / meeting / written / referral]</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Reporter</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[named / anonymous / confidential contact available]</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AI system / AI ID</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[TBD]</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Summary</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[facts / reasonable suspicions / attempted concealment]</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Immediate harm risk</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[safety / security / privacy / rights / retaliation / evidence loss]</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Potential legal scope</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[AI Act / Directive / national law / other / uncertain]</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Conflict check</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[handler / implicated parties]</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Immediate containment</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[yes/no + action]</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Specialist referrals</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[Legal / DPO / CISO / HR / Safety / AI Governance / Procurement]</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Acknowledgement due/sent</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[TBD]</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Feedback due/sent</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[TBD]</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Investigation owner</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[TBD]</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Evidence location</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[restricted case repository]</w:t>
            </w:r>
          </w:p>
        </w:tc>
      </w:tr>
      <w:tr>
        <w:tc>
          <w:tcPr>
            <w:tcW w:type="dxa" w:w="3024"/>
            <w:vAlign w:val="center"/>
            <w:tcMar>
              <w:top w:w="70" w:type="dxa"/>
              <w:start w:w="90" w:type="dxa"/>
              <w:bottom w:w="70" w:type="dxa"/>
              <w:end w:w="90" w:type="dxa"/>
            </w:tcMar>
            <w:shd w:fill="F4F6F7"/>
          </w:tcPr>
          <w:p>
            <w:pPr>
              <w:spacing w:after="0"/>
            </w:pPr>
            <w:r/>
            <w:r>
              <w:rPr>
                <w:rFonts w:ascii="Aptos" w:hAnsi="Aptos"/>
                <w:b w:val="0"/>
                <w:color w:val="28343E"/>
                <w:sz w:val="15"/>
              </w:rPr>
              <w:t>Outcome / actions</w:t>
            </w:r>
          </w:p>
        </w:tc>
        <w:tc>
          <w:tcPr>
            <w:tcW w:type="dxa" w:w="6336"/>
            <w:vAlign w:val="center"/>
            <w:tcMar>
              <w:top w:w="70" w:type="dxa"/>
              <w:start w:w="90" w:type="dxa"/>
              <w:bottom w:w="70" w:type="dxa"/>
              <w:end w:w="90" w:type="dxa"/>
            </w:tcMar>
            <w:shd w:fill="F4F6F7"/>
          </w:tcPr>
          <w:p>
            <w:pPr>
              <w:spacing w:after="0"/>
            </w:pPr>
            <w:r/>
            <w:r>
              <w:rPr>
                <w:rFonts w:ascii="Aptos" w:hAnsi="Aptos"/>
                <w:b w:val="0"/>
                <w:color w:val="28343E"/>
                <w:sz w:val="15"/>
              </w:rPr>
              <w:t>[TBD]</w:t>
            </w:r>
          </w:p>
        </w:tc>
      </w:tr>
      <w:tr>
        <w:tc>
          <w:tcPr>
            <w:tcW w:type="dxa" w:w="3024"/>
            <w:vAlign w:val="center"/>
            <w:tcMar>
              <w:top w:w="70" w:type="dxa"/>
              <w:start w:w="90" w:type="dxa"/>
              <w:bottom w:w="70" w:type="dxa"/>
              <w:end w:w="90" w:type="dxa"/>
            </w:tcMar>
          </w:tcPr>
          <w:p>
            <w:pPr>
              <w:spacing w:after="0"/>
            </w:pPr>
            <w:r/>
            <w:r>
              <w:rPr>
                <w:rFonts w:ascii="Aptos" w:hAnsi="Aptos"/>
                <w:b w:val="0"/>
                <w:color w:val="28343E"/>
                <w:sz w:val="15"/>
              </w:rPr>
              <w:t>Retaliation safeguards</w:t>
            </w:r>
          </w:p>
        </w:tc>
        <w:tc>
          <w:tcPr>
            <w:tcW w:type="dxa" w:w="6336"/>
            <w:vAlign w:val="center"/>
            <w:tcMar>
              <w:top w:w="70" w:type="dxa"/>
              <w:start w:w="90" w:type="dxa"/>
              <w:bottom w:w="70" w:type="dxa"/>
              <w:end w:w="90" w:type="dxa"/>
            </w:tcMar>
          </w:tcPr>
          <w:p>
            <w:pPr>
              <w:spacing w:after="0"/>
            </w:pPr>
            <w:r/>
            <w:r>
              <w:rPr>
                <w:rFonts w:ascii="Aptos" w:hAnsi="Aptos"/>
                <w:b w:val="0"/>
                <w:color w:val="28343E"/>
                <w:sz w:val="15"/>
              </w:rPr>
              <w:t>[TBD]</w:t>
            </w:r>
          </w:p>
        </w:tc>
      </w:tr>
    </w:tbl>
    <w:p>
      <w:pPr>
        <w:spacing w:after="0"/>
      </w:pPr>
    </w:p>
    <w:p>
      <w:pPr>
        <w:pStyle w:val="Heading1"/>
      </w:pPr>
      <w:r>
        <w:t>Appendix C — Retaliation Monitoring Checklist</w:t>
      </w:r>
    </w:p>
    <w:p>
      <w:pPr>
        <w:spacing w:after="40"/>
      </w:pPr>
      <w:r>
        <w:t>☐ Reporter has a confidential route to raise suspected retaliation.</w:t>
      </w:r>
    </w:p>
    <w:p>
      <w:pPr>
        <w:spacing w:after="40"/>
      </w:pPr>
      <w:r>
        <w:t>☐ Any contemplated adverse employment/contract action is independently justified and documented where retaliation risk is relevant.</w:t>
      </w:r>
    </w:p>
    <w:p>
      <w:pPr>
        <w:spacing w:after="40"/>
      </w:pPr>
      <w:r>
        <w:t>☐ Access to reporter identity is logged and limited.</w:t>
      </w:r>
    </w:p>
    <w:p>
      <w:pPr>
        <w:spacing w:after="40"/>
      </w:pPr>
      <w:r>
        <w:t>☐ Managers do not receive unnecessary case information.</w:t>
      </w:r>
    </w:p>
    <w:p>
      <w:pPr>
        <w:spacing w:after="40"/>
      </w:pPr>
      <w:r>
        <w:t>☐ AI/analytics are not used to identify or profile reporters.</w:t>
      </w:r>
    </w:p>
    <w:p>
      <w:pPr>
        <w:spacing w:after="40"/>
      </w:pPr>
      <w:r>
        <w:t>☐ Performance, promotion, contract renewal or assignment decisions are not influenced by protected reporting.</w:t>
      </w:r>
    </w:p>
    <w:p>
      <w:pPr>
        <w:spacing w:after="40"/>
      </w:pPr>
      <w:r>
        <w:t>☐ Any retaliation allegation is independently assessed and escalated.</w:t>
      </w:r>
    </w:p>
    <w:p>
      <w:pPr>
        <w:spacing w:after="40"/>
      </w:pPr>
      <w:r>
        <w:t>☐ Confirmed retaliation results in remediation and governance review.</w:t>
      </w:r>
    </w:p>
    <w:p>
      <w:pPr>
        <w:pStyle w:val="Heading1"/>
      </w:pPr>
      <w:r>
        <w:t>Appendix D — Legal and Project Source 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92"/>
            <w:vAlign w:val="center"/>
            <w:tcMar>
              <w:top w:w="70" w:type="dxa"/>
              <w:start w:w="90" w:type="dxa"/>
              <w:bottom w:w="70" w:type="dxa"/>
              <w:end w:w="90" w:type="dxa"/>
            </w:tcMar>
            <w:shd w:fill="173B57"/>
          </w:tcPr>
          <w:p>
            <w:pPr>
              <w:spacing w:after="0"/>
            </w:pPr>
            <w:r/>
            <w:r>
              <w:rPr>
                <w:rFonts w:ascii="Aptos" w:hAnsi="Aptos"/>
                <w:b/>
                <w:color w:val="FFFFFF"/>
                <w:sz w:val="13"/>
              </w:rPr>
              <w:t>Source</w:t>
            </w:r>
          </w:p>
        </w:tc>
        <w:tc>
          <w:tcPr>
            <w:tcW w:type="dxa" w:w="2232"/>
            <w:vAlign w:val="center"/>
            <w:tcMar>
              <w:top w:w="70" w:type="dxa"/>
              <w:start w:w="90" w:type="dxa"/>
              <w:bottom w:w="70" w:type="dxa"/>
              <w:end w:w="90" w:type="dxa"/>
            </w:tcMar>
            <w:shd w:fill="173B57"/>
          </w:tcPr>
          <w:p>
            <w:pPr>
              <w:spacing w:after="0"/>
            </w:pPr>
            <w:r/>
            <w:r>
              <w:rPr>
                <w:rFonts w:ascii="Aptos" w:hAnsi="Aptos"/>
                <w:b/>
                <w:color w:val="FFFFFF"/>
                <w:sz w:val="13"/>
              </w:rPr>
              <w:t>Provision / area</w:t>
            </w:r>
          </w:p>
        </w:tc>
        <w:tc>
          <w:tcPr>
            <w:tcW w:type="dxa" w:w="3528"/>
            <w:vAlign w:val="center"/>
            <w:tcMar>
              <w:top w:w="70" w:type="dxa"/>
              <w:start w:w="90" w:type="dxa"/>
              <w:bottom w:w="70" w:type="dxa"/>
              <w:end w:w="90" w:type="dxa"/>
            </w:tcMar>
            <w:shd w:fill="173B57"/>
          </w:tcPr>
          <w:p>
            <w:pPr>
              <w:spacing w:after="0"/>
            </w:pPr>
            <w:r/>
            <w:r>
              <w:rPr>
                <w:rFonts w:ascii="Aptos" w:hAnsi="Aptos"/>
                <w:b/>
                <w:color w:val="FFFFFF"/>
                <w:sz w:val="13"/>
              </w:rPr>
              <w:t>Use in policy</w:t>
            </w:r>
          </w:p>
        </w:tc>
        <w:tc>
          <w:tcPr>
            <w:tcW w:type="dxa" w:w="1800"/>
            <w:vAlign w:val="center"/>
            <w:tcMar>
              <w:top w:w="70" w:type="dxa"/>
              <w:start w:w="90" w:type="dxa"/>
              <w:bottom w:w="70" w:type="dxa"/>
              <w:end w:w="90" w:type="dxa"/>
            </w:tcMar>
            <w:shd w:fill="173B57"/>
          </w:tcPr>
          <w:p>
            <w:pPr>
              <w:spacing w:after="0"/>
            </w:pPr>
            <w:r/>
            <w:r>
              <w:rPr>
                <w:rFonts w:ascii="Aptos" w:hAnsi="Aptos"/>
                <w:b/>
                <w:color w:val="FFFFFF"/>
                <w:sz w:val="13"/>
              </w:rPr>
              <w:t>Classification</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3"/>
              </w:rPr>
              <w:t>Regulation (EU) 2024/1689 — AI Act</w:t>
            </w:r>
          </w:p>
        </w:tc>
        <w:tc>
          <w:tcPr>
            <w:tcW w:type="dxa" w:w="2232"/>
            <w:vAlign w:val="center"/>
            <w:tcMar>
              <w:top w:w="70" w:type="dxa"/>
              <w:start w:w="90" w:type="dxa"/>
              <w:bottom w:w="70" w:type="dxa"/>
              <w:end w:w="90" w:type="dxa"/>
            </w:tcMar>
          </w:tcPr>
          <w:p>
            <w:pPr>
              <w:spacing w:after="0"/>
            </w:pPr>
            <w:r/>
            <w:r>
              <w:rPr>
                <w:rFonts w:ascii="Aptos" w:hAnsi="Aptos"/>
                <w:b w:val="0"/>
                <w:color w:val="28343E"/>
                <w:sz w:val="13"/>
              </w:rPr>
              <w:t>Article 87</w:t>
            </w:r>
          </w:p>
        </w:tc>
        <w:tc>
          <w:tcPr>
            <w:tcW w:type="dxa" w:w="3528"/>
            <w:vAlign w:val="center"/>
            <w:tcMar>
              <w:top w:w="70" w:type="dxa"/>
              <w:start w:w="90" w:type="dxa"/>
              <w:bottom w:w="70" w:type="dxa"/>
              <w:end w:w="90" w:type="dxa"/>
            </w:tcMar>
          </w:tcPr>
          <w:p>
            <w:pPr>
              <w:spacing w:after="0"/>
            </w:pPr>
            <w:r/>
            <w:r>
              <w:rPr>
                <w:rFonts w:ascii="Aptos" w:hAnsi="Aptos"/>
                <w:b w:val="0"/>
                <w:color w:val="28343E"/>
                <w:sz w:val="13"/>
              </w:rPr>
              <w:t>Reporting AI Act infringements and protection of reporting persons</w:t>
            </w:r>
          </w:p>
        </w:tc>
        <w:tc>
          <w:tcPr>
            <w:tcW w:type="dxa" w:w="1800"/>
            <w:vAlign w:val="center"/>
            <w:tcMar>
              <w:top w:w="70" w:type="dxa"/>
              <w:start w:w="90" w:type="dxa"/>
              <w:bottom w:w="70" w:type="dxa"/>
              <w:end w:w="90" w:type="dxa"/>
            </w:tcMar>
          </w:tcPr>
          <w:p>
            <w:pPr>
              <w:spacing w:after="0"/>
            </w:pPr>
            <w:r/>
            <w:r>
              <w:rPr>
                <w:rFonts w:ascii="Aptos" w:hAnsi="Aptos"/>
                <w:b w:val="0"/>
                <w:color w:val="28343E"/>
                <w:sz w:val="13"/>
              </w:rPr>
              <w:t>Binding EU regulation where applicable.</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3"/>
              </w:rPr>
              <w:t>Directive (EU) 2019/1937</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3"/>
              </w:rPr>
              <w:t>Articles 4, 6–10</w:t>
            </w:r>
          </w:p>
        </w:tc>
        <w:tc>
          <w:tcPr>
            <w:tcW w:type="dxa" w:w="3528"/>
            <w:vAlign w:val="center"/>
            <w:tcMar>
              <w:top w:w="70" w:type="dxa"/>
              <w:start w:w="90" w:type="dxa"/>
              <w:bottom w:w="70" w:type="dxa"/>
              <w:end w:w="90" w:type="dxa"/>
            </w:tcMar>
            <w:shd w:fill="F4F6F7"/>
          </w:tcPr>
          <w:p>
            <w:pPr>
              <w:spacing w:after="0"/>
            </w:pPr>
            <w:r/>
            <w:r>
              <w:rPr>
                <w:rFonts w:ascii="Aptos" w:hAnsi="Aptos"/>
                <w:b w:val="0"/>
                <w:color w:val="28343E"/>
                <w:sz w:val="13"/>
              </w:rPr>
              <w:t>Personal scope, protection conditions, internal/external reporting channels and procedures</w:t>
            </w:r>
          </w:p>
        </w:tc>
        <w:tc>
          <w:tcPr>
            <w:tcW w:type="dxa" w:w="1800"/>
            <w:vAlign w:val="center"/>
            <w:tcMar>
              <w:top w:w="70" w:type="dxa"/>
              <w:start w:w="90" w:type="dxa"/>
              <w:bottom w:w="70" w:type="dxa"/>
              <w:end w:w="90" w:type="dxa"/>
            </w:tcMar>
            <w:shd w:fill="F4F6F7"/>
          </w:tcPr>
          <w:p>
            <w:pPr>
              <w:spacing w:after="0"/>
            </w:pPr>
            <w:r/>
            <w:r>
              <w:rPr>
                <w:rFonts w:ascii="Aptos" w:hAnsi="Aptos"/>
                <w:b w:val="0"/>
                <w:color w:val="28343E"/>
                <w:sz w:val="13"/>
              </w:rPr>
              <w:t>Directive implemented through national law; verify local implementation.</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3"/>
              </w:rPr>
              <w:t>Directive (EU) 2019/1937</w:t>
            </w:r>
          </w:p>
        </w:tc>
        <w:tc>
          <w:tcPr>
            <w:tcW w:type="dxa" w:w="2232"/>
            <w:vAlign w:val="center"/>
            <w:tcMar>
              <w:top w:w="70" w:type="dxa"/>
              <w:start w:w="90" w:type="dxa"/>
              <w:bottom w:w="70" w:type="dxa"/>
              <w:end w:w="90" w:type="dxa"/>
            </w:tcMar>
          </w:tcPr>
          <w:p>
            <w:pPr>
              <w:spacing w:after="0"/>
            </w:pPr>
            <w:r/>
            <w:r>
              <w:rPr>
                <w:rFonts w:ascii="Aptos" w:hAnsi="Aptos"/>
                <w:b w:val="0"/>
                <w:color w:val="28343E"/>
                <w:sz w:val="13"/>
              </w:rPr>
              <w:t>Articles 16–18</w:t>
            </w:r>
          </w:p>
        </w:tc>
        <w:tc>
          <w:tcPr>
            <w:tcW w:type="dxa" w:w="3528"/>
            <w:vAlign w:val="center"/>
            <w:tcMar>
              <w:top w:w="70" w:type="dxa"/>
              <w:start w:w="90" w:type="dxa"/>
              <w:bottom w:w="70" w:type="dxa"/>
              <w:end w:w="90" w:type="dxa"/>
            </w:tcMar>
          </w:tcPr>
          <w:p>
            <w:pPr>
              <w:spacing w:after="0"/>
            </w:pPr>
            <w:r/>
            <w:r>
              <w:rPr>
                <w:rFonts w:ascii="Aptos" w:hAnsi="Aptos"/>
                <w:b w:val="0"/>
                <w:color w:val="28343E"/>
                <w:sz w:val="13"/>
              </w:rPr>
              <w:t>Confidentiality, personal-data handling and recordkeeping</w:t>
            </w:r>
          </w:p>
        </w:tc>
        <w:tc>
          <w:tcPr>
            <w:tcW w:type="dxa" w:w="1800"/>
            <w:vAlign w:val="center"/>
            <w:tcMar>
              <w:top w:w="70" w:type="dxa"/>
              <w:start w:w="90" w:type="dxa"/>
              <w:bottom w:w="70" w:type="dxa"/>
              <w:end w:w="90" w:type="dxa"/>
            </w:tcMar>
          </w:tcPr>
          <w:p>
            <w:pPr>
              <w:spacing w:after="0"/>
            </w:pPr>
            <w:r/>
            <w:r>
              <w:rPr>
                <w:rFonts w:ascii="Aptos" w:hAnsi="Aptos"/>
                <w:b w:val="0"/>
                <w:color w:val="28343E"/>
                <w:sz w:val="13"/>
              </w:rPr>
              <w:t>Verify national implementation.</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3"/>
              </w:rPr>
              <w:t>Directive (EU) 2019/1937</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3"/>
              </w:rPr>
              <w:t>Articles 19–24</w:t>
            </w:r>
          </w:p>
        </w:tc>
        <w:tc>
          <w:tcPr>
            <w:tcW w:type="dxa" w:w="3528"/>
            <w:vAlign w:val="center"/>
            <w:tcMar>
              <w:top w:w="70" w:type="dxa"/>
              <w:start w:w="90" w:type="dxa"/>
              <w:bottom w:w="70" w:type="dxa"/>
              <w:end w:w="90" w:type="dxa"/>
            </w:tcMar>
            <w:shd w:fill="F4F6F7"/>
          </w:tcPr>
          <w:p>
            <w:pPr>
              <w:spacing w:after="0"/>
            </w:pPr>
            <w:r/>
            <w:r>
              <w:rPr>
                <w:rFonts w:ascii="Aptos" w:hAnsi="Aptos"/>
                <w:b w:val="0"/>
                <w:color w:val="28343E"/>
                <w:sz w:val="13"/>
              </w:rPr>
              <w:t>Retaliation prohibition, protection measures, rights of persons concerned, penalties, non-waiver</w:t>
            </w:r>
          </w:p>
        </w:tc>
        <w:tc>
          <w:tcPr>
            <w:tcW w:type="dxa" w:w="1800"/>
            <w:vAlign w:val="center"/>
            <w:tcMar>
              <w:top w:w="70" w:type="dxa"/>
              <w:start w:w="90" w:type="dxa"/>
              <w:bottom w:w="70" w:type="dxa"/>
              <w:end w:w="90" w:type="dxa"/>
            </w:tcMar>
            <w:shd w:fill="F4F6F7"/>
          </w:tcPr>
          <w:p>
            <w:pPr>
              <w:spacing w:after="0"/>
            </w:pPr>
            <w:r/>
            <w:r>
              <w:rPr>
                <w:rFonts w:ascii="Aptos" w:hAnsi="Aptos"/>
                <w:b w:val="0"/>
                <w:color w:val="28343E"/>
                <w:sz w:val="13"/>
              </w:rPr>
              <w:t>Verify national implementation.</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3"/>
              </w:rPr>
              <w:t>Duckworks Project Objectives</w:t>
            </w:r>
          </w:p>
        </w:tc>
        <w:tc>
          <w:tcPr>
            <w:tcW w:type="dxa" w:w="2232"/>
            <w:vAlign w:val="center"/>
            <w:tcMar>
              <w:top w:w="70" w:type="dxa"/>
              <w:start w:w="90" w:type="dxa"/>
              <w:bottom w:w="70" w:type="dxa"/>
              <w:end w:w="90" w:type="dxa"/>
            </w:tcMar>
          </w:tcPr>
          <w:p>
            <w:pPr>
              <w:spacing w:after="0"/>
            </w:pPr>
            <w:r/>
            <w:r>
              <w:rPr>
                <w:rFonts w:ascii="Aptos" w:hAnsi="Aptos"/>
                <w:b w:val="0"/>
                <w:color w:val="28343E"/>
                <w:sz w:val="13"/>
              </w:rPr>
              <w:t>Reporting channels, incidents, evidence, integration with enterprise processes</w:t>
            </w:r>
          </w:p>
        </w:tc>
        <w:tc>
          <w:tcPr>
            <w:tcW w:type="dxa" w:w="3528"/>
            <w:vAlign w:val="center"/>
            <w:tcMar>
              <w:top w:w="70" w:type="dxa"/>
              <w:start w:w="90" w:type="dxa"/>
              <w:bottom w:w="70" w:type="dxa"/>
              <w:end w:w="90" w:type="dxa"/>
            </w:tcMar>
          </w:tcPr>
          <w:p>
            <w:pPr>
              <w:spacing w:after="0"/>
            </w:pPr>
            <w:r/>
            <w:r>
              <w:rPr>
                <w:rFonts w:ascii="Aptos" w:hAnsi="Aptos"/>
                <w:b w:val="0"/>
                <w:color w:val="28343E"/>
                <w:sz w:val="13"/>
              </w:rPr>
              <w:t>Project design basis</w:t>
            </w:r>
          </w:p>
        </w:tc>
        <w:tc>
          <w:tcPr>
            <w:tcW w:type="dxa" w:w="1800"/>
            <w:vAlign w:val="center"/>
            <w:tcMar>
              <w:top w:w="70" w:type="dxa"/>
              <w:start w:w="90" w:type="dxa"/>
              <w:bottom w:w="70" w:type="dxa"/>
              <w:end w:w="90" w:type="dxa"/>
            </w:tcMar>
          </w:tcPr>
          <w:p>
            <w:pPr>
              <w:spacing w:after="0"/>
            </w:pPr>
            <w:r/>
            <w:r>
              <w:rPr>
                <w:rFonts w:ascii="Aptos" w:hAnsi="Aptos"/>
                <w:b w:val="0"/>
                <w:color w:val="28343E"/>
                <w:sz w:val="13"/>
              </w:rPr>
              <w:t>Duckworks organizational practice.</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3"/>
              </w:rPr>
              <w:t>Duckworks Stakeholder Register</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3"/>
              </w:rPr>
              <w:t>CRCO, Legal, DPO, CISO, HR, Internal Audit, AI Governance, Product Safety roles</w:t>
            </w:r>
          </w:p>
        </w:tc>
        <w:tc>
          <w:tcPr>
            <w:tcW w:type="dxa" w:w="3528"/>
            <w:vAlign w:val="center"/>
            <w:tcMar>
              <w:top w:w="70" w:type="dxa"/>
              <w:start w:w="90" w:type="dxa"/>
              <w:bottom w:w="70" w:type="dxa"/>
              <w:end w:w="90" w:type="dxa"/>
            </w:tcMar>
            <w:shd w:fill="F4F6F7"/>
          </w:tcPr>
          <w:p>
            <w:pPr>
              <w:spacing w:after="0"/>
            </w:pPr>
            <w:r/>
            <w:r>
              <w:rPr>
                <w:rFonts w:ascii="Aptos" w:hAnsi="Aptos"/>
                <w:b w:val="0"/>
                <w:color w:val="28343E"/>
                <w:sz w:val="13"/>
              </w:rPr>
              <w:t>Governance role basis</w:t>
            </w:r>
          </w:p>
        </w:tc>
        <w:tc>
          <w:tcPr>
            <w:tcW w:type="dxa" w:w="1800"/>
            <w:vAlign w:val="center"/>
            <w:tcMar>
              <w:top w:w="70" w:type="dxa"/>
              <w:start w:w="90" w:type="dxa"/>
              <w:bottom w:w="70" w:type="dxa"/>
              <w:end w:w="90" w:type="dxa"/>
            </w:tcMar>
            <w:shd w:fill="F4F6F7"/>
          </w:tcPr>
          <w:p>
            <w:pPr>
              <w:spacing w:after="0"/>
            </w:pPr>
            <w:r/>
            <w:r>
              <w:rPr>
                <w:rFonts w:ascii="Aptos" w:hAnsi="Aptos"/>
                <w:b w:val="0"/>
                <w:color w:val="28343E"/>
                <w:sz w:val="13"/>
              </w:rPr>
              <w:t>Duckworks organizational practice.</w:t>
            </w:r>
          </w:p>
        </w:tc>
      </w:tr>
      <w:tr>
        <w:tc>
          <w:tcPr>
            <w:tcW w:type="dxa" w:w="2592"/>
            <w:vAlign w:val="center"/>
            <w:tcMar>
              <w:top w:w="70" w:type="dxa"/>
              <w:start w:w="90" w:type="dxa"/>
              <w:bottom w:w="70" w:type="dxa"/>
              <w:end w:w="90" w:type="dxa"/>
            </w:tcMar>
          </w:tcPr>
          <w:p>
            <w:pPr>
              <w:spacing w:after="0"/>
            </w:pPr>
            <w:r/>
            <w:r>
              <w:rPr>
                <w:rFonts w:ascii="Aptos" w:hAnsi="Aptos"/>
                <w:b w:val="0"/>
                <w:color w:val="28343E"/>
                <w:sz w:val="13"/>
              </w:rPr>
              <w:t>Duckworks Responsible Use Policy</w:t>
            </w:r>
          </w:p>
        </w:tc>
        <w:tc>
          <w:tcPr>
            <w:tcW w:type="dxa" w:w="2232"/>
            <w:vAlign w:val="center"/>
            <w:tcMar>
              <w:top w:w="70" w:type="dxa"/>
              <w:start w:w="90" w:type="dxa"/>
              <w:bottom w:w="70" w:type="dxa"/>
              <w:end w:w="90" w:type="dxa"/>
            </w:tcMar>
          </w:tcPr>
          <w:p>
            <w:pPr>
              <w:spacing w:after="0"/>
            </w:pPr>
            <w:r/>
            <w:r>
              <w:rPr>
                <w:rFonts w:ascii="Aptos" w:hAnsi="Aptos"/>
                <w:b w:val="0"/>
                <w:color w:val="28343E"/>
                <w:sz w:val="13"/>
              </w:rPr>
              <w:t>Incident reporting and stop-use criteria</w:t>
            </w:r>
          </w:p>
        </w:tc>
        <w:tc>
          <w:tcPr>
            <w:tcW w:type="dxa" w:w="3528"/>
            <w:vAlign w:val="center"/>
            <w:tcMar>
              <w:top w:w="70" w:type="dxa"/>
              <w:start w:w="90" w:type="dxa"/>
              <w:bottom w:w="70" w:type="dxa"/>
              <w:end w:w="90" w:type="dxa"/>
            </w:tcMar>
          </w:tcPr>
          <w:p>
            <w:pPr>
              <w:spacing w:after="0"/>
            </w:pPr>
            <w:r/>
            <w:r>
              <w:rPr>
                <w:rFonts w:ascii="Aptos" w:hAnsi="Aptos"/>
                <w:b w:val="0"/>
                <w:color w:val="28343E"/>
                <w:sz w:val="13"/>
              </w:rPr>
              <w:t>Operational escalation basis</w:t>
            </w:r>
          </w:p>
        </w:tc>
        <w:tc>
          <w:tcPr>
            <w:tcW w:type="dxa" w:w="1800"/>
            <w:vAlign w:val="center"/>
            <w:tcMar>
              <w:top w:w="70" w:type="dxa"/>
              <w:start w:w="90" w:type="dxa"/>
              <w:bottom w:w="70" w:type="dxa"/>
              <w:end w:w="90" w:type="dxa"/>
            </w:tcMar>
          </w:tcPr>
          <w:p>
            <w:pPr>
              <w:spacing w:after="0"/>
            </w:pPr>
            <w:r/>
            <w:r>
              <w:rPr>
                <w:rFonts w:ascii="Aptos" w:hAnsi="Aptos"/>
                <w:b w:val="0"/>
                <w:color w:val="28343E"/>
                <w:sz w:val="13"/>
              </w:rPr>
              <w:t>Duckworks organizational practice.</w:t>
            </w:r>
          </w:p>
        </w:tc>
      </w:tr>
      <w:tr>
        <w:tc>
          <w:tcPr>
            <w:tcW w:type="dxa" w:w="2592"/>
            <w:vAlign w:val="center"/>
            <w:tcMar>
              <w:top w:w="70" w:type="dxa"/>
              <w:start w:w="90" w:type="dxa"/>
              <w:bottom w:w="70" w:type="dxa"/>
              <w:end w:w="90" w:type="dxa"/>
            </w:tcMar>
            <w:shd w:fill="F4F6F7"/>
          </w:tcPr>
          <w:p>
            <w:pPr>
              <w:spacing w:after="0"/>
            </w:pPr>
            <w:r/>
            <w:r>
              <w:rPr>
                <w:rFonts w:ascii="Aptos" w:hAnsi="Aptos"/>
                <w:b w:val="0"/>
                <w:color w:val="28343E"/>
                <w:sz w:val="13"/>
              </w:rPr>
              <w:t>Duckworks Risk Methodology</w:t>
            </w:r>
          </w:p>
        </w:tc>
        <w:tc>
          <w:tcPr>
            <w:tcW w:type="dxa" w:w="2232"/>
            <w:vAlign w:val="center"/>
            <w:tcMar>
              <w:top w:w="70" w:type="dxa"/>
              <w:start w:w="90" w:type="dxa"/>
              <w:bottom w:w="70" w:type="dxa"/>
              <w:end w:w="90" w:type="dxa"/>
            </w:tcMar>
            <w:shd w:fill="F4F6F7"/>
          </w:tcPr>
          <w:p>
            <w:pPr>
              <w:spacing w:after="0"/>
            </w:pPr>
            <w:r/>
            <w:r>
              <w:rPr>
                <w:rFonts w:ascii="Aptos" w:hAnsi="Aptos"/>
                <w:b w:val="0"/>
                <w:color w:val="28343E"/>
                <w:sz w:val="13"/>
              </w:rPr>
              <w:t>Legal/risk separation, evidence credit, escalation, reassessment</w:t>
            </w:r>
          </w:p>
        </w:tc>
        <w:tc>
          <w:tcPr>
            <w:tcW w:type="dxa" w:w="3528"/>
            <w:vAlign w:val="center"/>
            <w:tcMar>
              <w:top w:w="70" w:type="dxa"/>
              <w:start w:w="90" w:type="dxa"/>
              <w:bottom w:w="70" w:type="dxa"/>
              <w:end w:w="90" w:type="dxa"/>
            </w:tcMar>
            <w:shd w:fill="F4F6F7"/>
          </w:tcPr>
          <w:p>
            <w:pPr>
              <w:spacing w:after="0"/>
            </w:pPr>
            <w:r/>
            <w:r>
              <w:rPr>
                <w:rFonts w:ascii="Aptos" w:hAnsi="Aptos"/>
                <w:b w:val="0"/>
                <w:color w:val="28343E"/>
                <w:sz w:val="13"/>
              </w:rPr>
              <w:t>Governance decision basis</w:t>
            </w:r>
          </w:p>
        </w:tc>
        <w:tc>
          <w:tcPr>
            <w:tcW w:type="dxa" w:w="1800"/>
            <w:vAlign w:val="center"/>
            <w:tcMar>
              <w:top w:w="70" w:type="dxa"/>
              <w:start w:w="90" w:type="dxa"/>
              <w:bottom w:w="70" w:type="dxa"/>
              <w:end w:w="90" w:type="dxa"/>
            </w:tcMar>
            <w:shd w:fill="F4F6F7"/>
          </w:tcPr>
          <w:p>
            <w:pPr>
              <w:spacing w:after="0"/>
            </w:pPr>
            <w:r/>
            <w:r>
              <w:rPr>
                <w:rFonts w:ascii="Aptos" w:hAnsi="Aptos"/>
                <w:b w:val="0"/>
                <w:color w:val="28343E"/>
                <w:sz w:val="13"/>
              </w:rPr>
              <w:t>Duckworks organizational practice.</w:t>
            </w:r>
          </w:p>
        </w:tc>
      </w:tr>
    </w:tbl>
    <w:p>
      <w:pPr>
        <w:spacing w:after="0"/>
      </w:pPr>
    </w:p>
    <w:p>
      <w:pPr>
        <w:pStyle w:val="Heading1"/>
      </w:pPr>
      <w:r>
        <w:t>Appendix E — Implementation Gaps to Resolve Before Real Use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440"/>
            <w:vAlign w:val="center"/>
            <w:tcMar>
              <w:top w:w="70" w:type="dxa"/>
              <w:start w:w="90" w:type="dxa"/>
              <w:bottom w:w="70" w:type="dxa"/>
              <w:end w:w="90" w:type="dxa"/>
            </w:tcMar>
            <w:shd w:fill="173B57"/>
          </w:tcPr>
          <w:p>
            <w:pPr>
              <w:spacing w:after="0"/>
            </w:pPr>
            <w:r/>
            <w:r>
              <w:rPr>
                <w:rFonts w:ascii="Aptos" w:hAnsi="Aptos"/>
                <w:b/>
                <w:color w:val="FFFFFF"/>
                <w:sz w:val="14"/>
              </w:rPr>
              <w:t>Gap</w:t>
            </w:r>
          </w:p>
        </w:tc>
        <w:tc>
          <w:tcPr>
            <w:tcW w:type="dxa" w:w="5112"/>
            <w:vAlign w:val="center"/>
            <w:tcMar>
              <w:top w:w="70" w:type="dxa"/>
              <w:start w:w="90" w:type="dxa"/>
              <w:bottom w:w="70" w:type="dxa"/>
              <w:end w:w="90" w:type="dxa"/>
            </w:tcMar>
            <w:shd w:fill="173B57"/>
          </w:tcPr>
          <w:p>
            <w:pPr>
              <w:spacing w:after="0"/>
            </w:pPr>
            <w:r/>
            <w:r>
              <w:rPr>
                <w:rFonts w:ascii="Aptos" w:hAnsi="Aptos"/>
                <w:b/>
                <w:color w:val="FFFFFF"/>
                <w:sz w:val="14"/>
              </w:rPr>
              <w:t>Required action</w:t>
            </w:r>
          </w:p>
        </w:tc>
        <w:tc>
          <w:tcPr>
            <w:tcW w:type="dxa" w:w="2016"/>
            <w:vAlign w:val="center"/>
            <w:tcMar>
              <w:top w:w="70" w:type="dxa"/>
              <w:start w:w="90" w:type="dxa"/>
              <w:bottom w:w="70" w:type="dxa"/>
              <w:end w:w="90" w:type="dxa"/>
            </w:tcMar>
            <w:shd w:fill="173B57"/>
          </w:tcPr>
          <w:p>
            <w:pPr>
              <w:spacing w:after="0"/>
            </w:pPr>
            <w:r/>
            <w:r>
              <w:rPr>
                <w:rFonts w:ascii="Aptos" w:hAnsi="Aptos"/>
                <w:b/>
                <w:color w:val="FFFFFF"/>
                <w:sz w:val="14"/>
              </w:rPr>
              <w:t>Owner</w:t>
            </w:r>
          </w:p>
        </w:tc>
        <w:tc>
          <w:tcPr>
            <w:tcW w:type="dxa" w:w="1584"/>
            <w:vAlign w:val="center"/>
            <w:tcMar>
              <w:top w:w="70" w:type="dxa"/>
              <w:start w:w="90" w:type="dxa"/>
              <w:bottom w:w="70" w:type="dxa"/>
              <w:end w:w="90" w:type="dxa"/>
            </w:tcMar>
            <w:shd w:fill="173B57"/>
          </w:tcPr>
          <w:p>
            <w:pPr>
              <w:spacing w:after="0"/>
            </w:pPr>
            <w:r/>
            <w:r>
              <w:rPr>
                <w:rFonts w:ascii="Aptos" w:hAnsi="Aptos"/>
                <w:b/>
                <w:color w:val="FFFFFF"/>
                <w:sz w:val="14"/>
              </w:rPr>
              <w:t>Status</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8343E"/>
                <w:sz w:val="14"/>
              </w:rPr>
              <w:t>GAP-WB-01</w:t>
            </w:r>
          </w:p>
        </w:tc>
        <w:tc>
          <w:tcPr>
            <w:tcW w:type="dxa" w:w="5112"/>
            <w:vAlign w:val="center"/>
            <w:tcMar>
              <w:top w:w="70" w:type="dxa"/>
              <w:start w:w="90" w:type="dxa"/>
              <w:bottom w:w="70" w:type="dxa"/>
              <w:end w:w="90" w:type="dxa"/>
            </w:tcMar>
          </w:tcPr>
          <w:p>
            <w:pPr>
              <w:spacing w:after="0"/>
            </w:pPr>
            <w:r/>
            <w:r>
              <w:rPr>
                <w:rFonts w:ascii="Aptos" w:hAnsi="Aptos"/>
                <w:b w:val="0"/>
                <w:color w:val="28343E"/>
                <w:sz w:val="14"/>
              </w:rPr>
              <w:t>Identify Duckworks’ actual legal entities, establishments and national whistleblower implementing laws.</w:t>
            </w:r>
          </w:p>
        </w:tc>
        <w:tc>
          <w:tcPr>
            <w:tcW w:type="dxa" w:w="2016"/>
            <w:vAlign w:val="center"/>
            <w:tcMar>
              <w:top w:w="70" w:type="dxa"/>
              <w:start w:w="90" w:type="dxa"/>
              <w:bottom w:w="70" w:type="dxa"/>
              <w:end w:w="90" w:type="dxa"/>
            </w:tcMar>
          </w:tcPr>
          <w:p>
            <w:pPr>
              <w:spacing w:after="0"/>
            </w:pPr>
            <w:r/>
            <w:r>
              <w:rPr>
                <w:rFonts w:ascii="Aptos" w:hAnsi="Aptos"/>
                <w:b w:val="0"/>
                <w:color w:val="28343E"/>
                <w:sz w:val="14"/>
              </w:rPr>
              <w:t>General Counsel</w:t>
            </w:r>
          </w:p>
        </w:tc>
        <w:tc>
          <w:tcPr>
            <w:tcW w:type="dxa" w:w="1584"/>
            <w:vAlign w:val="center"/>
            <w:tcMar>
              <w:top w:w="70" w:type="dxa"/>
              <w:start w:w="90" w:type="dxa"/>
              <w:bottom w:w="70" w:type="dxa"/>
              <w:end w:w="90" w:type="dxa"/>
            </w:tcMar>
          </w:tcPr>
          <w:p>
            <w:pPr>
              <w:spacing w:after="0"/>
            </w:pPr>
            <w:r/>
            <w:r>
              <w:rPr>
                <w:rFonts w:ascii="Aptos" w:hAnsi="Aptos"/>
                <w:b w:val="0"/>
                <w:color w:val="28343E"/>
                <w:sz w:val="14"/>
              </w:rPr>
              <w:t>Blocking for legal deployment</w:t>
            </w:r>
          </w:p>
        </w:tc>
      </w:tr>
      <w:tr>
        <w:trPr>
          <w:cantSplit/>
        </w:trPr>
        <w:tc>
          <w:tcPr>
            <w:tcW w:type="dxa" w:w="1440"/>
            <w:vAlign w:val="center"/>
            <w:tcMar>
              <w:top w:w="70" w:type="dxa"/>
              <w:start w:w="90" w:type="dxa"/>
              <w:bottom w:w="70" w:type="dxa"/>
              <w:end w:w="90" w:type="dxa"/>
            </w:tcMar>
            <w:shd w:fill="F4F6F7"/>
          </w:tcPr>
          <w:p>
            <w:pPr>
              <w:spacing w:after="0"/>
            </w:pPr>
            <w:r/>
            <w:r>
              <w:rPr>
                <w:rFonts w:ascii="Aptos" w:hAnsi="Aptos"/>
                <w:b w:val="0"/>
                <w:color w:val="28343E"/>
                <w:sz w:val="14"/>
              </w:rPr>
              <w:t>GAP-WB-02</w:t>
            </w:r>
          </w:p>
        </w:tc>
        <w:tc>
          <w:tcPr>
            <w:tcW w:type="dxa" w:w="5112"/>
            <w:vAlign w:val="center"/>
            <w:tcMar>
              <w:top w:w="70" w:type="dxa"/>
              <w:start w:w="90" w:type="dxa"/>
              <w:bottom w:w="70" w:type="dxa"/>
              <w:end w:w="90" w:type="dxa"/>
            </w:tcMar>
            <w:shd w:fill="F4F6F7"/>
          </w:tcPr>
          <w:p>
            <w:pPr>
              <w:spacing w:after="0"/>
            </w:pPr>
            <w:r/>
            <w:r>
              <w:rPr>
                <w:rFonts w:ascii="Aptos" w:hAnsi="Aptos"/>
                <w:b w:val="0"/>
                <w:color w:val="28343E"/>
                <w:sz w:val="14"/>
              </w:rPr>
              <w:t>Confirm whether an enterprise whistleblowing program/channel already exists and integrate AI routing rather than duplicate it.</w:t>
            </w:r>
          </w:p>
        </w:tc>
        <w:tc>
          <w:tcPr>
            <w:tcW w:type="dxa" w:w="2016"/>
            <w:vAlign w:val="center"/>
            <w:tcMar>
              <w:top w:w="70" w:type="dxa"/>
              <w:start w:w="90" w:type="dxa"/>
              <w:bottom w:w="70" w:type="dxa"/>
              <w:end w:w="90" w:type="dxa"/>
            </w:tcMar>
            <w:shd w:fill="F4F6F7"/>
          </w:tcPr>
          <w:p>
            <w:pPr>
              <w:spacing w:after="0"/>
            </w:pPr>
            <w:r/>
            <w:r>
              <w:rPr>
                <w:rFonts w:ascii="Aptos" w:hAnsi="Aptos"/>
                <w:b w:val="0"/>
                <w:color w:val="28343E"/>
                <w:sz w:val="14"/>
              </w:rPr>
              <w:t>CRCO / Legal</w:t>
            </w:r>
          </w:p>
        </w:tc>
        <w:tc>
          <w:tcPr>
            <w:tcW w:type="dxa" w:w="1584"/>
            <w:vAlign w:val="center"/>
            <w:tcMar>
              <w:top w:w="70" w:type="dxa"/>
              <w:start w:w="90" w:type="dxa"/>
              <w:bottom w:w="70" w:type="dxa"/>
              <w:end w:w="90" w:type="dxa"/>
            </w:tcMar>
            <w:shd w:fill="F4F6F7"/>
          </w:tcPr>
          <w:p>
            <w:pPr>
              <w:spacing w:after="0"/>
            </w:pPr>
            <w:r/>
            <w:r>
              <w:rPr>
                <w:rFonts w:ascii="Aptos" w:hAnsi="Aptos"/>
                <w:b w:val="0"/>
                <w:color w:val="28343E"/>
                <w:sz w:val="14"/>
              </w:rPr>
              <w:t>Blocking for operating model</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8343E"/>
                <w:sz w:val="14"/>
              </w:rPr>
              <w:t>GAP-WB-03</w:t>
            </w:r>
          </w:p>
        </w:tc>
        <w:tc>
          <w:tcPr>
            <w:tcW w:type="dxa" w:w="5112"/>
            <w:vAlign w:val="center"/>
            <w:tcMar>
              <w:top w:w="70" w:type="dxa"/>
              <w:start w:w="90" w:type="dxa"/>
              <w:bottom w:w="70" w:type="dxa"/>
              <w:end w:w="90" w:type="dxa"/>
            </w:tcMar>
          </w:tcPr>
          <w:p>
            <w:pPr>
              <w:spacing w:after="0"/>
            </w:pPr>
            <w:r/>
            <w:r>
              <w:rPr>
                <w:rFonts w:ascii="Aptos" w:hAnsi="Aptos"/>
                <w:b w:val="0"/>
                <w:color w:val="28343E"/>
                <w:sz w:val="14"/>
              </w:rPr>
              <w:t>Appoint an impartial Designated Whistleblowing Officer/function and conflict back-up.</w:t>
            </w:r>
          </w:p>
        </w:tc>
        <w:tc>
          <w:tcPr>
            <w:tcW w:type="dxa" w:w="2016"/>
            <w:vAlign w:val="center"/>
            <w:tcMar>
              <w:top w:w="70" w:type="dxa"/>
              <w:start w:w="90" w:type="dxa"/>
              <w:bottom w:w="70" w:type="dxa"/>
              <w:end w:w="90" w:type="dxa"/>
            </w:tcMar>
          </w:tcPr>
          <w:p>
            <w:pPr>
              <w:spacing w:after="0"/>
            </w:pPr>
            <w:r/>
            <w:r>
              <w:rPr>
                <w:rFonts w:ascii="Aptos" w:hAnsi="Aptos"/>
                <w:b w:val="0"/>
                <w:color w:val="28343E"/>
                <w:sz w:val="14"/>
              </w:rPr>
              <w:t>CRCO / Board</w:t>
            </w:r>
          </w:p>
        </w:tc>
        <w:tc>
          <w:tcPr>
            <w:tcW w:type="dxa" w:w="1584"/>
            <w:vAlign w:val="center"/>
            <w:tcMar>
              <w:top w:w="70" w:type="dxa"/>
              <w:start w:w="90" w:type="dxa"/>
              <w:bottom w:w="70" w:type="dxa"/>
              <w:end w:w="90" w:type="dxa"/>
            </w:tcMar>
          </w:tcPr>
          <w:p>
            <w:pPr>
              <w:spacing w:after="0"/>
            </w:pPr>
            <w:r/>
            <w:r>
              <w:rPr>
                <w:rFonts w:ascii="Aptos" w:hAnsi="Aptos"/>
                <w:b w:val="0"/>
                <w:color w:val="28343E"/>
                <w:sz w:val="14"/>
              </w:rPr>
              <w:t>Blocking</w:t>
            </w:r>
          </w:p>
        </w:tc>
      </w:tr>
      <w:tr>
        <w:trPr>
          <w:cantSplit/>
        </w:trPr>
        <w:tc>
          <w:tcPr>
            <w:tcW w:type="dxa" w:w="1440"/>
            <w:vAlign w:val="center"/>
            <w:tcMar>
              <w:top w:w="70" w:type="dxa"/>
              <w:start w:w="90" w:type="dxa"/>
              <w:bottom w:w="70" w:type="dxa"/>
              <w:end w:w="90" w:type="dxa"/>
            </w:tcMar>
            <w:shd w:fill="F4F6F7"/>
          </w:tcPr>
          <w:p>
            <w:pPr>
              <w:spacing w:after="0"/>
            </w:pPr>
            <w:r/>
            <w:r>
              <w:rPr>
                <w:rFonts w:ascii="Aptos" w:hAnsi="Aptos"/>
                <w:b w:val="0"/>
                <w:color w:val="28343E"/>
                <w:sz w:val="14"/>
              </w:rPr>
              <w:t>GAP-WB-04</w:t>
            </w:r>
          </w:p>
        </w:tc>
        <w:tc>
          <w:tcPr>
            <w:tcW w:type="dxa" w:w="5112"/>
            <w:vAlign w:val="center"/>
            <w:tcMar>
              <w:top w:w="70" w:type="dxa"/>
              <w:start w:w="90" w:type="dxa"/>
              <w:bottom w:w="70" w:type="dxa"/>
              <w:end w:w="90" w:type="dxa"/>
            </w:tcMar>
            <w:shd w:fill="F4F6F7"/>
          </w:tcPr>
          <w:p>
            <w:pPr>
              <w:spacing w:after="0"/>
            </w:pPr>
            <w:r/>
            <w:r>
              <w:rPr>
                <w:rFonts w:ascii="Aptos" w:hAnsi="Aptos"/>
                <w:b w:val="0"/>
                <w:color w:val="28343E"/>
                <w:sz w:val="14"/>
              </w:rPr>
              <w:t>Configure secure written/oral/meeting channels and access controls.</w:t>
            </w:r>
          </w:p>
        </w:tc>
        <w:tc>
          <w:tcPr>
            <w:tcW w:type="dxa" w:w="2016"/>
            <w:vAlign w:val="center"/>
            <w:tcMar>
              <w:top w:w="70" w:type="dxa"/>
              <w:start w:w="90" w:type="dxa"/>
              <w:bottom w:w="70" w:type="dxa"/>
              <w:end w:w="90" w:type="dxa"/>
            </w:tcMar>
            <w:shd w:fill="F4F6F7"/>
          </w:tcPr>
          <w:p>
            <w:pPr>
              <w:spacing w:after="0"/>
            </w:pPr>
            <w:r/>
            <w:r>
              <w:rPr>
                <w:rFonts w:ascii="Aptos" w:hAnsi="Aptos"/>
                <w:b w:val="0"/>
                <w:color w:val="28343E"/>
                <w:sz w:val="14"/>
              </w:rPr>
              <w:t>Legal / IT / Security</w:t>
            </w:r>
          </w:p>
        </w:tc>
        <w:tc>
          <w:tcPr>
            <w:tcW w:type="dxa" w:w="1584"/>
            <w:vAlign w:val="center"/>
            <w:tcMar>
              <w:top w:w="70" w:type="dxa"/>
              <w:start w:w="90" w:type="dxa"/>
              <w:bottom w:w="70" w:type="dxa"/>
              <w:end w:w="90" w:type="dxa"/>
            </w:tcMar>
            <w:shd w:fill="F4F6F7"/>
          </w:tcPr>
          <w:p>
            <w:pPr>
              <w:spacing w:after="0"/>
            </w:pPr>
            <w:r/>
            <w:r>
              <w:rPr>
                <w:rFonts w:ascii="Aptos" w:hAnsi="Aptos"/>
                <w:b w:val="0"/>
                <w:color w:val="28343E"/>
                <w:sz w:val="14"/>
              </w:rPr>
              <w:t>Blocking</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8343E"/>
                <w:sz w:val="14"/>
              </w:rPr>
              <w:t>GAP-WB-05</w:t>
            </w:r>
          </w:p>
        </w:tc>
        <w:tc>
          <w:tcPr>
            <w:tcW w:type="dxa" w:w="5112"/>
            <w:vAlign w:val="center"/>
            <w:tcMar>
              <w:top w:w="70" w:type="dxa"/>
              <w:start w:w="90" w:type="dxa"/>
              <w:bottom w:w="70" w:type="dxa"/>
              <w:end w:w="90" w:type="dxa"/>
            </w:tcMar>
          </w:tcPr>
          <w:p>
            <w:pPr>
              <w:spacing w:after="0"/>
            </w:pPr>
            <w:r/>
            <w:r>
              <w:rPr>
                <w:rFonts w:ascii="Aptos" w:hAnsi="Aptos"/>
                <w:b w:val="0"/>
                <w:color w:val="28343E"/>
                <w:sz w:val="14"/>
              </w:rPr>
              <w:t>Create country-specific external competent-authority information.</w:t>
            </w:r>
          </w:p>
        </w:tc>
        <w:tc>
          <w:tcPr>
            <w:tcW w:type="dxa" w:w="2016"/>
            <w:vAlign w:val="center"/>
            <w:tcMar>
              <w:top w:w="70" w:type="dxa"/>
              <w:start w:w="90" w:type="dxa"/>
              <w:bottom w:w="70" w:type="dxa"/>
              <w:end w:w="90" w:type="dxa"/>
            </w:tcMar>
          </w:tcPr>
          <w:p>
            <w:pPr>
              <w:spacing w:after="0"/>
            </w:pPr>
            <w:r/>
            <w:r>
              <w:rPr>
                <w:rFonts w:ascii="Aptos" w:hAnsi="Aptos"/>
                <w:b w:val="0"/>
                <w:color w:val="28343E"/>
                <w:sz w:val="14"/>
              </w:rPr>
              <w:t>Legal</w:t>
            </w:r>
          </w:p>
        </w:tc>
        <w:tc>
          <w:tcPr>
            <w:tcW w:type="dxa" w:w="1584"/>
            <w:vAlign w:val="center"/>
            <w:tcMar>
              <w:top w:w="70" w:type="dxa"/>
              <w:start w:w="90" w:type="dxa"/>
              <w:bottom w:w="70" w:type="dxa"/>
              <w:end w:w="90" w:type="dxa"/>
            </w:tcMar>
          </w:tcPr>
          <w:p>
            <w:pPr>
              <w:spacing w:after="0"/>
            </w:pPr>
            <w:r/>
            <w:r>
              <w:rPr>
                <w:rFonts w:ascii="Aptos" w:hAnsi="Aptos"/>
                <w:b w:val="0"/>
                <w:color w:val="28343E"/>
                <w:sz w:val="14"/>
              </w:rPr>
              <w:t>Required</w:t>
            </w:r>
          </w:p>
        </w:tc>
      </w:tr>
      <w:tr>
        <w:trPr>
          <w:cantSplit/>
        </w:trPr>
        <w:tc>
          <w:tcPr>
            <w:tcW w:type="dxa" w:w="1440"/>
            <w:vAlign w:val="center"/>
            <w:tcMar>
              <w:top w:w="70" w:type="dxa"/>
              <w:start w:w="90" w:type="dxa"/>
              <w:bottom w:w="70" w:type="dxa"/>
              <w:end w:w="90" w:type="dxa"/>
            </w:tcMar>
            <w:shd w:fill="F4F6F7"/>
          </w:tcPr>
          <w:p>
            <w:pPr>
              <w:spacing w:after="0"/>
            </w:pPr>
            <w:r/>
            <w:r>
              <w:rPr>
                <w:rFonts w:ascii="Aptos" w:hAnsi="Aptos"/>
                <w:b w:val="0"/>
                <w:color w:val="28343E"/>
                <w:sz w:val="14"/>
              </w:rPr>
              <w:t>GAP-WB-06</w:t>
            </w:r>
          </w:p>
        </w:tc>
        <w:tc>
          <w:tcPr>
            <w:tcW w:type="dxa" w:w="5112"/>
            <w:vAlign w:val="center"/>
            <w:tcMar>
              <w:top w:w="70" w:type="dxa"/>
              <w:start w:w="90" w:type="dxa"/>
              <w:bottom w:w="70" w:type="dxa"/>
              <w:end w:w="90" w:type="dxa"/>
            </w:tcMar>
            <w:shd w:fill="F4F6F7"/>
          </w:tcPr>
          <w:p>
            <w:pPr>
              <w:spacing w:after="0"/>
            </w:pPr>
            <w:r/>
            <w:r>
              <w:rPr>
                <w:rFonts w:ascii="Aptos" w:hAnsi="Aptos"/>
                <w:b w:val="0"/>
                <w:color w:val="28343E"/>
                <w:sz w:val="14"/>
              </w:rPr>
              <w:t>Validate anonymous-reporting obligations and policy in each jurisdiction.</w:t>
            </w:r>
          </w:p>
        </w:tc>
        <w:tc>
          <w:tcPr>
            <w:tcW w:type="dxa" w:w="2016"/>
            <w:vAlign w:val="center"/>
            <w:tcMar>
              <w:top w:w="70" w:type="dxa"/>
              <w:start w:w="90" w:type="dxa"/>
              <w:bottom w:w="70" w:type="dxa"/>
              <w:end w:w="90" w:type="dxa"/>
            </w:tcMar>
            <w:shd w:fill="F4F6F7"/>
          </w:tcPr>
          <w:p>
            <w:pPr>
              <w:spacing w:after="0"/>
            </w:pPr>
            <w:r/>
            <w:r>
              <w:rPr>
                <w:rFonts w:ascii="Aptos" w:hAnsi="Aptos"/>
                <w:b w:val="0"/>
                <w:color w:val="28343E"/>
                <w:sz w:val="14"/>
              </w:rPr>
              <w:t>Legal</w:t>
            </w:r>
          </w:p>
        </w:tc>
        <w:tc>
          <w:tcPr>
            <w:tcW w:type="dxa" w:w="1584"/>
            <w:vAlign w:val="center"/>
            <w:tcMar>
              <w:top w:w="70" w:type="dxa"/>
              <w:start w:w="90" w:type="dxa"/>
              <w:bottom w:w="70" w:type="dxa"/>
              <w:end w:w="90" w:type="dxa"/>
            </w:tcMar>
            <w:shd w:fill="F4F6F7"/>
          </w:tcPr>
          <w:p>
            <w:pPr>
              <w:spacing w:after="0"/>
            </w:pPr>
            <w:r/>
            <w:r>
              <w:rPr>
                <w:rFonts w:ascii="Aptos" w:hAnsi="Aptos"/>
                <w:b w:val="0"/>
                <w:color w:val="28343E"/>
                <w:sz w:val="14"/>
              </w:rPr>
              <w:t>Required</w:t>
            </w:r>
          </w:p>
        </w:tc>
      </w:tr>
      <w:tr>
        <w:trPr>
          <w:cantSplit/>
        </w:trPr>
        <w:tc>
          <w:tcPr>
            <w:tcW w:type="dxa" w:w="1440"/>
            <w:vAlign w:val="center"/>
            <w:tcMar>
              <w:top w:w="70" w:type="dxa"/>
              <w:start w:w="90" w:type="dxa"/>
              <w:bottom w:w="70" w:type="dxa"/>
              <w:end w:w="90" w:type="dxa"/>
            </w:tcMar>
          </w:tcPr>
          <w:p>
            <w:pPr>
              <w:spacing w:after="0"/>
            </w:pPr>
            <w:r/>
            <w:r>
              <w:rPr>
                <w:rFonts w:ascii="Aptos" w:hAnsi="Aptos"/>
                <w:b w:val="0"/>
                <w:color w:val="28343E"/>
                <w:sz w:val="14"/>
              </w:rPr>
              <w:t>GAP-WB-07</w:t>
            </w:r>
          </w:p>
        </w:tc>
        <w:tc>
          <w:tcPr>
            <w:tcW w:type="dxa" w:w="5112"/>
            <w:vAlign w:val="center"/>
            <w:tcMar>
              <w:top w:w="70" w:type="dxa"/>
              <w:start w:w="90" w:type="dxa"/>
              <w:bottom w:w="70" w:type="dxa"/>
              <w:end w:w="90" w:type="dxa"/>
            </w:tcMar>
          </w:tcPr>
          <w:p>
            <w:pPr>
              <w:spacing w:after="0"/>
            </w:pPr>
            <w:r/>
            <w:r>
              <w:rPr>
                <w:rFonts w:ascii="Aptos" w:hAnsi="Aptos"/>
                <w:b w:val="0"/>
                <w:color w:val="28343E"/>
                <w:sz w:val="14"/>
              </w:rPr>
              <w:t>Approve retention schedule, privacy notice and case-data security controls.</w:t>
            </w:r>
          </w:p>
        </w:tc>
        <w:tc>
          <w:tcPr>
            <w:tcW w:type="dxa" w:w="2016"/>
            <w:vAlign w:val="center"/>
            <w:tcMar>
              <w:top w:w="70" w:type="dxa"/>
              <w:start w:w="90" w:type="dxa"/>
              <w:bottom w:w="70" w:type="dxa"/>
              <w:end w:w="90" w:type="dxa"/>
            </w:tcMar>
          </w:tcPr>
          <w:p>
            <w:pPr>
              <w:spacing w:after="0"/>
            </w:pPr>
            <w:r/>
            <w:r>
              <w:rPr>
                <w:rFonts w:ascii="Aptos" w:hAnsi="Aptos"/>
                <w:b w:val="0"/>
                <w:color w:val="28343E"/>
                <w:sz w:val="14"/>
              </w:rPr>
              <w:t>DPO / Legal / CISO</w:t>
            </w:r>
          </w:p>
        </w:tc>
        <w:tc>
          <w:tcPr>
            <w:tcW w:type="dxa" w:w="1584"/>
            <w:vAlign w:val="center"/>
            <w:tcMar>
              <w:top w:w="70" w:type="dxa"/>
              <w:start w:w="90" w:type="dxa"/>
              <w:bottom w:w="70" w:type="dxa"/>
              <w:end w:w="90" w:type="dxa"/>
            </w:tcMar>
          </w:tcPr>
          <w:p>
            <w:pPr>
              <w:spacing w:after="0"/>
            </w:pPr>
            <w:r/>
            <w:r>
              <w:rPr>
                <w:rFonts w:ascii="Aptos" w:hAnsi="Aptos"/>
                <w:b w:val="0"/>
                <w:color w:val="28343E"/>
                <w:sz w:val="14"/>
              </w:rPr>
              <w:t>Required</w:t>
            </w:r>
          </w:p>
        </w:tc>
      </w:tr>
      <w:tr>
        <w:trPr>
          <w:cantSplit/>
        </w:trPr>
        <w:tc>
          <w:tcPr>
            <w:tcW w:type="dxa" w:w="1440"/>
            <w:vAlign w:val="center"/>
            <w:tcMar>
              <w:top w:w="70" w:type="dxa"/>
              <w:start w:w="90" w:type="dxa"/>
              <w:bottom w:w="70" w:type="dxa"/>
              <w:end w:w="90" w:type="dxa"/>
            </w:tcMar>
            <w:shd w:fill="F4F6F7"/>
          </w:tcPr>
          <w:p>
            <w:pPr>
              <w:spacing w:after="0"/>
            </w:pPr>
            <w:r/>
            <w:r>
              <w:rPr>
                <w:rFonts w:ascii="Aptos" w:hAnsi="Aptos"/>
                <w:b w:val="0"/>
                <w:color w:val="28343E"/>
                <w:sz w:val="14"/>
              </w:rPr>
              <w:t>GAP-WB-08</w:t>
            </w:r>
          </w:p>
        </w:tc>
        <w:tc>
          <w:tcPr>
            <w:tcW w:type="dxa" w:w="5112"/>
            <w:vAlign w:val="center"/>
            <w:tcMar>
              <w:top w:w="70" w:type="dxa"/>
              <w:start w:w="90" w:type="dxa"/>
              <w:bottom w:w="70" w:type="dxa"/>
              <w:end w:w="90" w:type="dxa"/>
            </w:tcMar>
            <w:shd w:fill="F4F6F7"/>
          </w:tcPr>
          <w:p>
            <w:pPr>
              <w:spacing w:after="0"/>
            </w:pPr>
            <w:r/>
            <w:r>
              <w:rPr>
                <w:rFonts w:ascii="Aptos" w:hAnsi="Aptos"/>
                <w:b w:val="0"/>
                <w:color w:val="28343E"/>
                <w:sz w:val="14"/>
              </w:rPr>
              <w:t>Train managers, investigators and AI specialists on confidentiality and non-retaliation.</w:t>
            </w:r>
          </w:p>
        </w:tc>
        <w:tc>
          <w:tcPr>
            <w:tcW w:type="dxa" w:w="2016"/>
            <w:vAlign w:val="center"/>
            <w:tcMar>
              <w:top w:w="70" w:type="dxa"/>
              <w:start w:w="90" w:type="dxa"/>
              <w:bottom w:w="70" w:type="dxa"/>
              <w:end w:w="90" w:type="dxa"/>
            </w:tcMar>
            <w:shd w:fill="F4F6F7"/>
          </w:tcPr>
          <w:p>
            <w:pPr>
              <w:spacing w:after="0"/>
            </w:pPr>
            <w:r/>
            <w:r>
              <w:rPr>
                <w:rFonts w:ascii="Aptos" w:hAnsi="Aptos"/>
                <w:b w:val="0"/>
                <w:color w:val="28343E"/>
                <w:sz w:val="14"/>
              </w:rPr>
              <w:t>HR / Legal / AI Governance</w:t>
            </w:r>
          </w:p>
        </w:tc>
        <w:tc>
          <w:tcPr>
            <w:tcW w:type="dxa" w:w="1584"/>
            <w:vAlign w:val="center"/>
            <w:tcMar>
              <w:top w:w="70" w:type="dxa"/>
              <w:start w:w="90" w:type="dxa"/>
              <w:bottom w:w="70" w:type="dxa"/>
              <w:end w:w="90" w:type="dxa"/>
            </w:tcMar>
            <w:shd w:fill="F4F6F7"/>
          </w:tcPr>
          <w:p>
            <w:pPr>
              <w:spacing w:after="0"/>
            </w:pPr>
            <w:r/>
            <w:r>
              <w:rPr>
                <w:rFonts w:ascii="Aptos" w:hAnsi="Aptos"/>
                <w:b w:val="0"/>
                <w:color w:val="28343E"/>
                <w:sz w:val="14"/>
              </w:rPr>
              <w:t>Required</w:t>
            </w:r>
          </w:p>
        </w:tc>
      </w:tr>
    </w:tbl>
    <w:p>
      <w:pPr>
        <w:spacing w:after="0"/>
      </w:pPr>
    </w:p>
    <w:p>
      <w:pPr>
        <w:pStyle w:val="Heading1"/>
      </w:pPr>
      <w:r>
        <w:t>Portfolio Disclaimer</w:t>
      </w:r>
    </w:p>
    <w:p>
      <w:pPr>
        <w:spacing w:after="100" w:line="247" w:lineRule="auto"/>
      </w:pPr>
      <w:r>
        <w:t>Duckworks, Project W.I.N.G., all named personnel, AI systems, reports, cases, data, incidents, investigations and decisions in this document are fictional and created solely for educational and professional portfolio purposes.</w:t>
      </w:r>
    </w:p>
    <w:p>
      <w:pPr>
        <w:spacing w:after="100" w:line="247" w:lineRule="auto"/>
      </w:pPr>
      <w:r>
        <w:t>This policy is not legal advice and does not determine the national law applicable to any real organization. Directive (EU) 2019/1937 is implemented through Member State law, and real use requires country-specific legal validation. The policy intentionally distinguishes statutory whistleblower protection from the broader confidentiality and non-retaliation protections Duckworks chooses to provide as an internal organizational practice.</w:t>
      </w:r>
    </w:p>
    <w:sectPr w:rsidR="00FC693F" w:rsidRPr="0006063C" w:rsidSect="00034616">
      <w:headerReference w:type="default" r:id="rId9"/>
      <w:footerReference w:type="default" r:id="rId10"/>
      <w:pgSz w:w="12240" w:h="15840"/>
      <w:pgMar w:top="936" w:right="1037" w:bottom="893" w:left="103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 xml:space="preserve">DW-WING-POL-03  |  Version 1.0  |  Fictional portfolio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2D6F6D"/>
        <w:sz w:val="16"/>
      </w:rPr>
      <w:t>DUCKWORKS  |  PROJECT W.I.N.G.  |  AI WHISTLEBLOWER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color w:val="28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B57"/>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F6D"/>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Whistleblower Policy</dc:title>
  <dc:subject>AI governance whistleblowing, speak-up and anti-retaliation policy</dc:subject>
  <dc:creator>Duckworks (fictional)</dc:creator>
  <cp:keywords>Duckworks, Project W.I.N.G., whistleblower, AI Act, retaliation, confidential reporting, AI governance</cp:keywords>
  <dc:description>Fictional portfolio document using synthetic data.</dc:description>
  <cp:lastModifiedBy/>
  <cp:revision>1</cp:revision>
  <dcterms:created xsi:type="dcterms:W3CDTF">2013-12-23T23:15:00Z</dcterms:created>
  <dcterms:modified xsi:type="dcterms:W3CDTF">2013-12-23T23:15:00Z</dcterms:modified>
  <cp:category/>
</cp:coreProperties>
</file>