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2D6F6D"/>
          <w:sz w:val="32"/>
        </w:rPr>
        <w:t>DUCKWORKS</w:t>
      </w:r>
    </w:p>
    <w:p>
      <w:pPr>
        <w:pStyle w:val="Title"/>
      </w:pPr>
      <w:r>
        <w:t>AI Change Management Process</w:t>
        <w:br/>
        <w:t>Documentation Pack</w:t>
      </w:r>
    </w:p>
    <w:p>
      <w:pPr>
        <w:spacing w:after="300"/>
      </w:pPr>
      <w:r>
        <w:rPr>
          <w:color w:val="26333D"/>
          <w:sz w:val="25"/>
        </w:rPr>
        <w:t>Project W.I.N.G. — controlled change, reassessment, release and evidence management for AI systems</w:t>
      </w:r>
    </w:p>
    <w:tbl>
      <w:tblPr>
        <w:tblW w:type="auto" w:w="0"/>
        <w:jc w:val="center"/>
        <w:tblLook w:firstColumn="1" w:firstRow="1" w:lastColumn="0" w:lastRow="0" w:noHBand="0" w:noVBand="1" w:val="04A0"/>
      </w:tblPr>
      <w:tblGrid>
        <w:gridCol w:w="10224"/>
      </w:tblGrid>
      <w:tr>
        <w:trPr>
          <w:cantSplit/>
        </w:trPr>
        <w:tc>
          <w:tcPr>
            <w:tcW w:type="dxa" w:w="10224"/>
            <w:shd w:fill="E4F0EF"/>
            <w:tcMar>
              <w:top w:w="120" w:type="dxa"/>
              <w:start w:w="140" w:type="dxa"/>
              <w:bottom w:w="120" w:type="dxa"/>
              <w:end w:w="140" w:type="dxa"/>
            </w:tcMar>
            <w:tcBorders>
              <w:left w:val="single" w:sz="18" w:color="2D6F6D"/>
            </w:tcBorders>
          </w:tcPr>
          <w:p>
            <w:pPr>
              <w:spacing w:after="60"/>
            </w:pPr>
            <w:r>
              <w:rPr>
                <w:b/>
                <w:color w:val="173B57"/>
                <w:sz w:val="20"/>
              </w:rPr>
              <w:t>Purpose</w:t>
            </w:r>
          </w:p>
          <w:p>
            <w:pPr>
              <w:spacing w:after="0"/>
            </w:pPr>
            <w:r>
              <w:rPr>
                <w:color w:val="26333D"/>
                <w:sz w:val="18"/>
              </w:rPr>
              <w:t>Establish a repeatable and auditable process for changing AI systems without silently invalidating prior risk, impact, legal, privacy, security, safety, human-oversight or approval conclusions. The process applies to internally developed AI, third-party AI services, AI-enabled SaaS, model/API changes, data/retrieval changes, configuration changes and material changes in intended use.</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after="0" w:before="0"/>
            </w:pPr>
            <w:r/>
            <w:r>
              <w:rPr>
                <w:rFonts w:ascii="Aptos" w:hAnsi="Aptos"/>
                <w:b/>
                <w:color w:val="FFFFFF"/>
                <w:sz w:val="17"/>
              </w:rPr>
              <w:t>Field</w:t>
            </w:r>
          </w:p>
        </w:tc>
        <w:tc>
          <w:tcPr>
            <w:tcW w:type="dxa" w:w="6768"/>
            <w:vAlign w:val="center"/>
            <w:tcMar>
              <w:top w:w="70" w:type="dxa"/>
              <w:start w:w="85" w:type="dxa"/>
              <w:bottom w:w="70" w:type="dxa"/>
              <w:end w:w="85" w:type="dxa"/>
            </w:tcMar>
            <w:shd w:fill="173B57"/>
          </w:tcPr>
          <w:p>
            <w:pPr>
              <w:spacing w:after="0" w:before="0"/>
            </w:pPr>
            <w:r/>
            <w:r>
              <w:rPr>
                <w:rFonts w:ascii="Aptos" w:hAnsi="Aptos"/>
                <w:b/>
                <w:color w:val="FFFFFF"/>
                <w:sz w:val="17"/>
              </w:rPr>
              <w:t>Value</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7"/>
              </w:rPr>
              <w:t>Organization</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7"/>
              </w:rPr>
              <w:t>Duckworks (fictional)</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7"/>
              </w:rPr>
              <w:t>Program</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7"/>
              </w:rPr>
              <w:t>Project W.I.N.G.</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7"/>
              </w:rPr>
              <w:t>Document ID</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7"/>
              </w:rPr>
              <w:t>DW-WING-CM-00</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7"/>
              </w:rPr>
              <w:t>Version</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7"/>
              </w:rPr>
              <w:t>1.0</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7"/>
              </w:rPr>
              <w:t>Status</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7"/>
              </w:rPr>
              <w:t>Portfolio Baseline</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7"/>
              </w:rPr>
              <w:t>Classification</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7"/>
              </w:rPr>
              <w:t>Portfolio / Synthetic / Non-production</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7"/>
              </w:rPr>
              <w:t>Owner</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7"/>
              </w:rPr>
              <w:t>AI Governance Lead — Eleanor Duckford</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7"/>
              </w:rPr>
              <w:t>Governance Sponsor</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7"/>
              </w:rPr>
              <w:t>Chief Risk &amp; Compliance Officer — Reginald Duckman</w:t>
            </w:r>
          </w:p>
        </w:tc>
      </w:tr>
    </w:tbl>
    <w:p>
      <w:pPr>
        <w:spacing w:after="0"/>
      </w:pPr>
    </w:p>
    <w:p>
      <w:pPr>
        <w:spacing w:before="300" w:after="0"/>
      </w:pPr>
      <w:r>
        <w:rPr>
          <w:b/>
          <w:color w:val="173B57"/>
        </w:rPr>
        <w:t>Duckworks change principle</w:t>
      </w:r>
    </w:p>
    <w:p>
      <w:pPr>
        <w:spacing w:after="0"/>
      </w:pPr>
      <w:r>
        <w:rPr>
          <w:i/>
          <w:sz w:val="22"/>
        </w:rPr>
        <w:t>“No material AI change without impact screening, no changed control without evidence, and no release without an accountable decision.”</w:t>
      </w:r>
    </w:p>
    <w:p>
      <w:r>
        <w:br w:type="page"/>
      </w:r>
    </w:p>
    <w:p>
      <w:pPr>
        <w:pStyle w:val="Heading1"/>
      </w:pPr>
      <w:r>
        <w:t>1. Document Set and Operating Position</w:t>
      </w:r>
    </w:p>
    <w:p>
      <w:pPr>
        <w:spacing w:after="100" w:line="247" w:lineRule="auto"/>
      </w:pPr>
      <w:r>
        <w:t>This pack converts Duckworks’ existing reassessment triggers, governance gates and evidence expectations into an operational change-management process. It is intentionally integrated with the existing AI inventory, risk assessment, impact assessment, security, privacy, procurement, incident, human-oversight and monitoring processes.</w:t>
      </w:r>
    </w:p>
    <w:tbl>
      <w:tblPr>
        <w:tblW w:type="auto" w:w="0"/>
        <w:jc w:val="center"/>
        <w:tblLook w:firstColumn="1" w:firstRow="1" w:lastColumn="0" w:lastRow="0" w:noHBand="0" w:noVBand="1" w:val="04A0"/>
      </w:tblPr>
      <w:tblGrid>
        <w:gridCol w:w="10224"/>
      </w:tblGrid>
      <w:tr>
        <w:trPr>
          <w:cantSplit/>
        </w:trPr>
        <w:tc>
          <w:tcPr>
            <w:tcW w:type="dxa" w:w="10224"/>
            <w:shd w:fill="FFF1D5"/>
            <w:tcMar>
              <w:top w:w="120" w:type="dxa"/>
              <w:start w:w="140" w:type="dxa"/>
              <w:bottom w:w="120" w:type="dxa"/>
              <w:end w:w="140" w:type="dxa"/>
            </w:tcMar>
            <w:tcBorders>
              <w:left w:val="single" w:sz="18" w:color="2D6F6D"/>
            </w:tcBorders>
          </w:tcPr>
          <w:p>
            <w:pPr>
              <w:spacing w:after="60"/>
            </w:pPr>
            <w:r>
              <w:rPr>
                <w:b/>
                <w:color w:val="173B57"/>
                <w:sz w:val="20"/>
              </w:rPr>
              <w:t>Important terminology</w:t>
            </w:r>
          </w:p>
          <w:p>
            <w:pPr>
              <w:spacing w:after="0"/>
            </w:pPr>
            <w:r>
              <w:rPr>
                <w:color w:val="26333D"/>
                <w:sz w:val="18"/>
              </w:rPr>
              <w:t>“Material AI change” and the change classes in this pack are Duckworks internal governance terms. They are not substitutes for statutory concepts such as “substantial modification” or other legal classifications. Where a change may alter legal role, intended purpose, regulatory classification or obligations, Legal/Compliance must perform a separate applicability review.</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80"/>
            <w:vAlign w:val="center"/>
            <w:tcMar>
              <w:top w:w="70" w:type="dxa"/>
              <w:start w:w="85" w:type="dxa"/>
              <w:bottom w:w="70" w:type="dxa"/>
              <w:end w:w="85" w:type="dxa"/>
            </w:tcMar>
            <w:shd w:fill="173B57"/>
          </w:tcPr>
          <w:p>
            <w:pPr>
              <w:spacing w:after="0" w:before="0"/>
            </w:pPr>
            <w:r/>
            <w:r>
              <w:rPr>
                <w:rFonts w:ascii="Aptos" w:hAnsi="Aptos"/>
                <w:b/>
                <w:color w:val="FFFFFF"/>
                <w:sz w:val="15"/>
              </w:rPr>
              <w:t>ID</w:t>
            </w:r>
          </w:p>
        </w:tc>
        <w:tc>
          <w:tcPr>
            <w:tcW w:type="dxa" w:w="3528"/>
            <w:vAlign w:val="center"/>
            <w:tcMar>
              <w:top w:w="70" w:type="dxa"/>
              <w:start w:w="85" w:type="dxa"/>
              <w:bottom w:w="70" w:type="dxa"/>
              <w:end w:w="85" w:type="dxa"/>
            </w:tcMar>
            <w:shd w:fill="173B57"/>
          </w:tcPr>
          <w:p>
            <w:pPr>
              <w:spacing w:after="0" w:before="0"/>
            </w:pPr>
            <w:r/>
            <w:r>
              <w:rPr>
                <w:rFonts w:ascii="Aptos" w:hAnsi="Aptos"/>
                <w:b/>
                <w:color w:val="FFFFFF"/>
                <w:sz w:val="15"/>
              </w:rPr>
              <w:t>Document</w:t>
            </w:r>
          </w:p>
        </w:tc>
        <w:tc>
          <w:tcPr>
            <w:tcW w:type="dxa" w:w="4824"/>
            <w:vAlign w:val="center"/>
            <w:tcMar>
              <w:top w:w="70" w:type="dxa"/>
              <w:start w:w="85" w:type="dxa"/>
              <w:bottom w:w="70" w:type="dxa"/>
              <w:end w:w="85" w:type="dxa"/>
            </w:tcMar>
            <w:shd w:fill="173B57"/>
          </w:tcPr>
          <w:p>
            <w:pPr>
              <w:spacing w:after="0" w:before="0"/>
            </w:pPr>
            <w:r/>
            <w:r>
              <w:rPr>
                <w:rFonts w:ascii="Aptos" w:hAnsi="Aptos"/>
                <w:b/>
                <w:color w:val="FFFFFF"/>
                <w:sz w:val="15"/>
              </w:rPr>
              <w:t>Purpose</w:t>
            </w:r>
          </w:p>
        </w:tc>
      </w:tr>
      <w:tr>
        <w:trPr>
          <w:cantSplit/>
        </w:trPr>
        <w:tc>
          <w:tcPr>
            <w:tcW w:type="dxa" w:w="1080"/>
            <w:vAlign w:val="center"/>
            <w:tcMar>
              <w:top w:w="70" w:type="dxa"/>
              <w:start w:w="85" w:type="dxa"/>
              <w:bottom w:w="70" w:type="dxa"/>
              <w:end w:w="85" w:type="dxa"/>
            </w:tcMar>
          </w:tcPr>
          <w:p>
            <w:pPr>
              <w:spacing w:after="0" w:before="0"/>
            </w:pPr>
            <w:r/>
            <w:r>
              <w:rPr>
                <w:rFonts w:ascii="Aptos" w:hAnsi="Aptos"/>
                <w:b w:val="0"/>
                <w:color w:val="26333D"/>
                <w:sz w:val="15"/>
              </w:rPr>
              <w:t>CM-01</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5"/>
              </w:rPr>
              <w:t>AI Change Management Standard &amp; Process</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Policy-level process, scope, change classes, workflow, approvals and evidence.</w:t>
            </w:r>
          </w:p>
        </w:tc>
      </w:tr>
      <w:tr>
        <w:trPr>
          <w:cantSplit/>
        </w:trPr>
        <w:tc>
          <w:tcPr>
            <w:tcW w:type="dxa" w:w="1080"/>
            <w:vAlign w:val="center"/>
            <w:tcMar>
              <w:top w:w="70" w:type="dxa"/>
              <w:start w:w="85" w:type="dxa"/>
              <w:bottom w:w="70" w:type="dxa"/>
              <w:end w:w="85" w:type="dxa"/>
            </w:tcMar>
            <w:shd w:fill="F4F6F7"/>
          </w:tcPr>
          <w:p>
            <w:pPr>
              <w:spacing w:after="0" w:before="0"/>
            </w:pPr>
            <w:r/>
            <w:r>
              <w:rPr>
                <w:rFonts w:ascii="Aptos" w:hAnsi="Aptos"/>
                <w:b w:val="0"/>
                <w:color w:val="26333D"/>
                <w:sz w:val="15"/>
              </w:rPr>
              <w:t>CM-02</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5"/>
              </w:rPr>
              <w:t>AI Change Request Form</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Standard request for planned changes.</w:t>
            </w:r>
          </w:p>
        </w:tc>
      </w:tr>
      <w:tr>
        <w:trPr>
          <w:cantSplit/>
        </w:trPr>
        <w:tc>
          <w:tcPr>
            <w:tcW w:type="dxa" w:w="1080"/>
            <w:vAlign w:val="center"/>
            <w:tcMar>
              <w:top w:w="70" w:type="dxa"/>
              <w:start w:w="85" w:type="dxa"/>
              <w:bottom w:w="70" w:type="dxa"/>
              <w:end w:w="85" w:type="dxa"/>
            </w:tcMar>
          </w:tcPr>
          <w:p>
            <w:pPr>
              <w:spacing w:after="0" w:before="0"/>
            </w:pPr>
            <w:r/>
            <w:r>
              <w:rPr>
                <w:rFonts w:ascii="Aptos" w:hAnsi="Aptos"/>
                <w:b w:val="0"/>
                <w:color w:val="26333D"/>
                <w:sz w:val="15"/>
              </w:rPr>
              <w:t>CM-03</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5"/>
              </w:rPr>
              <w:t>Change Classification &amp; Impact Screen</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Determine change class, affected domains and required reassessment.</w:t>
            </w:r>
          </w:p>
        </w:tc>
      </w:tr>
      <w:tr>
        <w:trPr>
          <w:cantSplit/>
        </w:trPr>
        <w:tc>
          <w:tcPr>
            <w:tcW w:type="dxa" w:w="1080"/>
            <w:vAlign w:val="center"/>
            <w:tcMar>
              <w:top w:w="70" w:type="dxa"/>
              <w:start w:w="85" w:type="dxa"/>
              <w:bottom w:w="70" w:type="dxa"/>
              <w:end w:w="85" w:type="dxa"/>
            </w:tcMar>
            <w:shd w:fill="F4F6F7"/>
          </w:tcPr>
          <w:p>
            <w:pPr>
              <w:spacing w:after="0" w:before="0"/>
            </w:pPr>
            <w:r/>
            <w:r>
              <w:rPr>
                <w:rFonts w:ascii="Aptos" w:hAnsi="Aptos"/>
                <w:b w:val="0"/>
                <w:color w:val="26333D"/>
                <w:sz w:val="15"/>
              </w:rPr>
              <w:t>CM-04</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5"/>
              </w:rPr>
              <w:t>AI Reassessment &amp; Control Impact Checklist</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Identify artifacts, controls and tests invalidated or requiring update.</w:t>
            </w:r>
          </w:p>
        </w:tc>
      </w:tr>
      <w:tr>
        <w:trPr>
          <w:cantSplit/>
        </w:trPr>
        <w:tc>
          <w:tcPr>
            <w:tcW w:type="dxa" w:w="1080"/>
            <w:vAlign w:val="center"/>
            <w:tcMar>
              <w:top w:w="70" w:type="dxa"/>
              <w:start w:w="85" w:type="dxa"/>
              <w:bottom w:w="70" w:type="dxa"/>
              <w:end w:w="85" w:type="dxa"/>
            </w:tcMar>
          </w:tcPr>
          <w:p>
            <w:pPr>
              <w:spacing w:after="0" w:before="0"/>
            </w:pPr>
            <w:r/>
            <w:r>
              <w:rPr>
                <w:rFonts w:ascii="Aptos" w:hAnsi="Aptos"/>
                <w:b w:val="0"/>
                <w:color w:val="26333D"/>
                <w:sz w:val="15"/>
              </w:rPr>
              <w:t>CM-05</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5"/>
              </w:rPr>
              <w:t>Change Approval &amp; Release Gate Record</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Document specialist review, approval, conditions and release decision.</w:t>
            </w:r>
          </w:p>
        </w:tc>
      </w:tr>
      <w:tr>
        <w:trPr>
          <w:cantSplit/>
        </w:trPr>
        <w:tc>
          <w:tcPr>
            <w:tcW w:type="dxa" w:w="1080"/>
            <w:vAlign w:val="center"/>
            <w:tcMar>
              <w:top w:w="70" w:type="dxa"/>
              <w:start w:w="85" w:type="dxa"/>
              <w:bottom w:w="70" w:type="dxa"/>
              <w:end w:w="85" w:type="dxa"/>
            </w:tcMar>
            <w:shd w:fill="F4F6F7"/>
          </w:tcPr>
          <w:p>
            <w:pPr>
              <w:spacing w:after="0" w:before="0"/>
            </w:pPr>
            <w:r/>
            <w:r>
              <w:rPr>
                <w:rFonts w:ascii="Aptos" w:hAnsi="Aptos"/>
                <w:b w:val="0"/>
                <w:color w:val="26333D"/>
                <w:sz w:val="15"/>
              </w:rPr>
              <w:t>CM-06</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5"/>
              </w:rPr>
              <w:t>Emergency AI Change Procedure</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Controlled fast path for incidents, severe failures and urgent containment.</w:t>
            </w:r>
          </w:p>
        </w:tc>
      </w:tr>
      <w:tr>
        <w:trPr>
          <w:cantSplit/>
        </w:trPr>
        <w:tc>
          <w:tcPr>
            <w:tcW w:type="dxa" w:w="1080"/>
            <w:vAlign w:val="center"/>
            <w:tcMar>
              <w:top w:w="70" w:type="dxa"/>
              <w:start w:w="85" w:type="dxa"/>
              <w:bottom w:w="70" w:type="dxa"/>
              <w:end w:w="85" w:type="dxa"/>
            </w:tcMar>
          </w:tcPr>
          <w:p>
            <w:pPr>
              <w:spacing w:after="0" w:before="0"/>
            </w:pPr>
            <w:r/>
            <w:r>
              <w:rPr>
                <w:rFonts w:ascii="Aptos" w:hAnsi="Aptos"/>
                <w:b w:val="0"/>
                <w:color w:val="26333D"/>
                <w:sz w:val="15"/>
              </w:rPr>
              <w:t>CM-07</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5"/>
              </w:rPr>
              <w:t>Third-Party Model / Vendor Change Procedure</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Handle vendor model, service, terms, subprocessor and infrastructure changes.</w:t>
            </w:r>
          </w:p>
        </w:tc>
      </w:tr>
      <w:tr>
        <w:trPr>
          <w:cantSplit/>
        </w:trPr>
        <w:tc>
          <w:tcPr>
            <w:tcW w:type="dxa" w:w="1080"/>
            <w:vAlign w:val="center"/>
            <w:tcMar>
              <w:top w:w="70" w:type="dxa"/>
              <w:start w:w="85" w:type="dxa"/>
              <w:bottom w:w="70" w:type="dxa"/>
              <w:end w:w="85" w:type="dxa"/>
            </w:tcMar>
            <w:shd w:fill="F4F6F7"/>
          </w:tcPr>
          <w:p>
            <w:pPr>
              <w:spacing w:after="0" w:before="0"/>
            </w:pPr>
            <w:r/>
            <w:r>
              <w:rPr>
                <w:rFonts w:ascii="Aptos" w:hAnsi="Aptos"/>
                <w:b w:val="0"/>
                <w:color w:val="26333D"/>
                <w:sz w:val="15"/>
              </w:rPr>
              <w:t>CM-08</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5"/>
              </w:rPr>
              <w:t>Rollback, Suspension &amp; Recovery Plan</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Define safe rollback, stop-use authority, fallback and restoration.</w:t>
            </w:r>
          </w:p>
        </w:tc>
      </w:tr>
      <w:tr>
        <w:trPr>
          <w:cantSplit/>
        </w:trPr>
        <w:tc>
          <w:tcPr>
            <w:tcW w:type="dxa" w:w="1080"/>
            <w:vAlign w:val="center"/>
            <w:tcMar>
              <w:top w:w="70" w:type="dxa"/>
              <w:start w:w="85" w:type="dxa"/>
              <w:bottom w:w="70" w:type="dxa"/>
              <w:end w:w="85" w:type="dxa"/>
            </w:tcMar>
          </w:tcPr>
          <w:p>
            <w:pPr>
              <w:spacing w:after="0" w:before="0"/>
            </w:pPr>
            <w:r/>
            <w:r>
              <w:rPr>
                <w:rFonts w:ascii="Aptos" w:hAnsi="Aptos"/>
                <w:b w:val="0"/>
                <w:color w:val="26333D"/>
                <w:sz w:val="15"/>
              </w:rPr>
              <w:t>CM-09</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5"/>
              </w:rPr>
              <w:t>AI Change Log &amp; Evidence Register</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Maintain auditable change history and evidence traceability.</w:t>
            </w:r>
          </w:p>
        </w:tc>
      </w:tr>
    </w:tbl>
    <w:p>
      <w:pPr>
        <w:spacing w:after="0"/>
      </w:pPr>
    </w:p>
    <w:p>
      <w:pPr>
        <w:pStyle w:val="Heading2"/>
      </w:pPr>
      <w:r>
        <w:t>1.1 Governance classification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after="0" w:before="0"/>
            </w:pPr>
            <w:r/>
            <w:r>
              <w:rPr>
                <w:rFonts w:ascii="Aptos" w:hAnsi="Aptos"/>
                <w:b/>
                <w:color w:val="FFFFFF"/>
                <w:sz w:val="16"/>
              </w:rPr>
              <w:t>Category</w:t>
            </w:r>
          </w:p>
        </w:tc>
        <w:tc>
          <w:tcPr>
            <w:tcW w:type="dxa" w:w="6768"/>
            <w:vAlign w:val="center"/>
            <w:tcMar>
              <w:top w:w="70" w:type="dxa"/>
              <w:start w:w="85" w:type="dxa"/>
              <w:bottom w:w="70" w:type="dxa"/>
              <w:end w:w="85" w:type="dxa"/>
            </w:tcMar>
            <w:shd w:fill="173B57"/>
          </w:tcPr>
          <w:p>
            <w:pPr>
              <w:spacing w:after="0" w:before="0"/>
            </w:pPr>
            <w:r/>
            <w:r>
              <w:rPr>
                <w:rFonts w:ascii="Aptos" w:hAnsi="Aptos"/>
                <w:b/>
                <w:color w:val="FFFFFF"/>
                <w:sz w:val="16"/>
              </w:rPr>
              <w:t>How this pack treats it</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6"/>
              </w:rPr>
              <w:t>Mandatory legal requirement</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6"/>
              </w:rPr>
              <w:t>Only where separately determined applicable from verified facts. This process does not convert a legal duty into an internal assumption.</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6"/>
              </w:rPr>
              <w:t>Standards/framework guidance</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6"/>
              </w:rPr>
              <w:t>NIST/ISO and similar sources inform governance design but do not independently create legal obligations or certification.</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6"/>
              </w:rPr>
              <w:t>Duckworks organizational practice</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6"/>
              </w:rPr>
              <w:t>Change classes, workflow, approval gates, evidence fields, internal timelines and escalation rules defined in this pack.</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6"/>
              </w:rPr>
              <w:t>Project assumption</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6"/>
              </w:rPr>
              <w:t>Fictional systems, people, technologies and operating details that require validation in a real organization.</w:t>
            </w:r>
          </w:p>
        </w:tc>
      </w:tr>
    </w:tbl>
    <w:p>
      <w:pPr>
        <w:spacing w:after="0"/>
      </w:pPr>
    </w:p>
    <w:p>
      <w:pPr>
        <w:pStyle w:val="Heading1"/>
      </w:pPr>
      <w:r>
        <w:t>2. Scope</w:t>
      </w:r>
    </w:p>
    <w:p>
      <w:pPr>
        <w:pStyle w:val="Heading2"/>
      </w:pPr>
      <w:r>
        <w:t>2.1 In scope</w:t>
      </w:r>
    </w:p>
    <w:p>
      <w:pPr>
        <w:pStyle w:val="ListBullet"/>
        <w:spacing w:after="50"/>
      </w:pPr>
      <w:r>
        <w:t>Model/provider/version changes, including hosted foundation-model substitutions.</w:t>
      </w:r>
    </w:p>
    <w:p>
      <w:pPr>
        <w:pStyle w:val="ListBullet"/>
        <w:spacing w:after="50"/>
      </w:pPr>
      <w:r>
        <w:t>Fine-tuning, retraining, parameter, threshold, prompt, system-instruction or guardrail changes.</w:t>
      </w:r>
    </w:p>
    <w:p>
      <w:pPr>
        <w:pStyle w:val="ListBullet"/>
        <w:spacing w:after="50"/>
      </w:pPr>
      <w:r>
        <w:t>Training, validation, reference, retrieval, vector-store, knowledge-base or feature-data changes.</w:t>
      </w:r>
    </w:p>
    <w:p>
      <w:pPr>
        <w:pStyle w:val="ListBullet"/>
        <w:spacing w:after="50"/>
      </w:pPr>
      <w:r>
        <w:t>New connectors, tools, APIs, agents, plugins, permissions or external integrations.</w:t>
      </w:r>
    </w:p>
    <w:p>
      <w:pPr>
        <w:pStyle w:val="ListBullet"/>
        <w:spacing w:after="50"/>
      </w:pPr>
      <w:r>
        <w:t>Changes to intended purpose, user population, affected population, geography, language, business process or decision authority.</w:t>
      </w:r>
    </w:p>
    <w:p>
      <w:pPr>
        <w:pStyle w:val="ListBullet"/>
        <w:spacing w:after="50"/>
      </w:pPr>
      <w:r>
        <w:t>Changes to human review, override, escalation, fallback or stop-use arrangements.</w:t>
      </w:r>
    </w:p>
    <w:p>
      <w:pPr>
        <w:pStyle w:val="ListBullet"/>
        <w:spacing w:after="50"/>
      </w:pPr>
      <w:r>
        <w:t>Changes to monitoring thresholds, logging, content filtering, moderation or security controls.</w:t>
      </w:r>
    </w:p>
    <w:p>
      <w:pPr>
        <w:pStyle w:val="ListBullet"/>
        <w:spacing w:after="50"/>
      </w:pPr>
      <w:r>
        <w:t>Vendor terms, data-use, retention, training, hosting, subprocessor, service-availability or exit changes.</w:t>
      </w:r>
    </w:p>
    <w:p>
      <w:pPr>
        <w:pStyle w:val="ListBullet"/>
        <w:spacing w:after="50"/>
      </w:pPr>
      <w:r>
        <w:t>Changes made in response to incidents, drift, complaints, control failures or regulatory developments.</w:t>
      </w:r>
    </w:p>
    <w:p>
      <w:pPr>
        <w:pStyle w:val="ListBullet"/>
        <w:spacing w:after="50"/>
      </w:pPr>
      <w:r>
        <w:t>Retirement, replacement, rollback and reactivation of AI systems.</w:t>
      </w:r>
    </w:p>
    <w:p>
      <w:pPr>
        <w:pStyle w:val="Heading2"/>
      </w:pPr>
      <w:r>
        <w:t>2.2 Out of scope</w:t>
      </w:r>
    </w:p>
    <w:p>
      <w:pPr>
        <w:pStyle w:val="ListBullet"/>
        <w:spacing w:after="50"/>
      </w:pPr>
      <w:r>
        <w:t>Purely administrative updates that do not affect AI behavior, controls, processing or governance conclusions, except for logging as CM-C0 where appropriate.</w:t>
      </w:r>
    </w:p>
    <w:p>
      <w:pPr>
        <w:pStyle w:val="ListBullet"/>
        <w:spacing w:after="50"/>
      </w:pPr>
      <w:r>
        <w:t>Routine enterprise infrastructure changes already managed under another approved process, unless they change the AI system’s risk, security, privacy, safety, data or availability characteristics.</w:t>
      </w:r>
    </w:p>
    <w:p>
      <w:pPr>
        <w:pStyle w:val="ListBullet"/>
        <w:spacing w:after="50"/>
      </w:pPr>
      <w:r>
        <w:t>Unregistered AI use. Shadow AI must first be discovered, contained and registered before it can enter normal change governance.</w:t>
      </w:r>
    </w:p>
    <w:p>
      <w:pPr>
        <w:pStyle w:val="ListBullet"/>
        <w:spacing w:after="50"/>
      </w:pPr>
      <w:r>
        <w:t>Formal legal opinions, certification, conformity assessment or production penetration testing.</w:t>
      </w:r>
    </w:p>
    <w:p>
      <w:pPr>
        <w:pStyle w:val="Heading1"/>
      </w:pPr>
      <w:r>
        <w:t>3. Change Management Principles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tcMar>
              <w:top w:w="70" w:type="dxa"/>
              <w:start w:w="85" w:type="dxa"/>
              <w:bottom w:w="70" w:type="dxa"/>
              <w:end w:w="85" w:type="dxa"/>
            </w:tcMar>
            <w:shd w:fill="173B57"/>
          </w:tcPr>
          <w:p>
            <w:pPr>
              <w:spacing w:after="0" w:before="0"/>
            </w:pPr>
            <w:r/>
            <w:r>
              <w:rPr>
                <w:rFonts w:ascii="Aptos" w:hAnsi="Aptos"/>
                <w:b/>
                <w:color w:val="FFFFFF"/>
                <w:sz w:val="16"/>
              </w:rPr>
              <w:t>Principle</w:t>
            </w:r>
          </w:p>
        </w:tc>
        <w:tc>
          <w:tcPr>
            <w:tcW w:type="dxa" w:w="6912"/>
            <w:vAlign w:val="center"/>
            <w:tcMar>
              <w:top w:w="70" w:type="dxa"/>
              <w:start w:w="85" w:type="dxa"/>
              <w:bottom w:w="70" w:type="dxa"/>
              <w:end w:w="85" w:type="dxa"/>
            </w:tcMar>
            <w:shd w:fill="173B57"/>
          </w:tcPr>
          <w:p>
            <w:pPr>
              <w:spacing w:after="0" w:before="0"/>
            </w:pPr>
            <w:r/>
            <w:r>
              <w:rPr>
                <w:rFonts w:ascii="Aptos" w:hAnsi="Aptos"/>
                <w:b/>
                <w:color w:val="FFFFFF"/>
                <w:sz w:val="16"/>
              </w:rPr>
              <w:t>Duckworks rule</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6"/>
              </w:rPr>
              <w:t>Inventory first</w:t>
            </w:r>
          </w:p>
        </w:tc>
        <w:tc>
          <w:tcPr>
            <w:tcW w:type="dxa" w:w="6912"/>
            <w:vAlign w:val="center"/>
            <w:tcMar>
              <w:top w:w="70" w:type="dxa"/>
              <w:start w:w="85" w:type="dxa"/>
              <w:bottom w:w="70" w:type="dxa"/>
              <w:end w:w="85" w:type="dxa"/>
            </w:tcMar>
          </w:tcPr>
          <w:p>
            <w:pPr>
              <w:spacing w:after="0" w:before="0"/>
            </w:pPr>
            <w:r/>
            <w:r>
              <w:rPr>
                <w:rFonts w:ascii="Aptos" w:hAnsi="Aptos"/>
                <w:b w:val="0"/>
                <w:color w:val="26333D"/>
                <w:sz w:val="16"/>
              </w:rPr>
              <w:t>No material change is processed against an unidentified AI asset. AI ID and current baseline must be known.</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6"/>
              </w:rPr>
              <w:t>Intended purpose is a primary trigger</w:t>
            </w:r>
          </w:p>
        </w:tc>
        <w:tc>
          <w:tcPr>
            <w:tcW w:type="dxa" w:w="6912"/>
            <w:vAlign w:val="center"/>
            <w:tcMar>
              <w:top w:w="70" w:type="dxa"/>
              <w:start w:w="85" w:type="dxa"/>
              <w:bottom w:w="70" w:type="dxa"/>
              <w:end w:w="85" w:type="dxa"/>
            </w:tcMar>
            <w:shd w:fill="F4F6F7"/>
          </w:tcPr>
          <w:p>
            <w:pPr>
              <w:spacing w:after="0" w:before="0"/>
            </w:pPr>
            <w:r/>
            <w:r>
              <w:rPr>
                <w:rFonts w:ascii="Aptos" w:hAnsi="Aptos"/>
                <w:b w:val="0"/>
                <w:color w:val="26333D"/>
                <w:sz w:val="16"/>
              </w:rPr>
              <w:t>Changing what the AI is used for may invalidate prior legal, impact and risk conclusions even when the model does not change.</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6"/>
              </w:rPr>
              <w:t>Control credit requires evidence</w:t>
            </w:r>
          </w:p>
        </w:tc>
        <w:tc>
          <w:tcPr>
            <w:tcW w:type="dxa" w:w="6912"/>
            <w:vAlign w:val="center"/>
            <w:tcMar>
              <w:top w:w="70" w:type="dxa"/>
              <w:start w:w="85" w:type="dxa"/>
              <w:bottom w:w="70" w:type="dxa"/>
              <w:end w:w="85" w:type="dxa"/>
            </w:tcMar>
          </w:tcPr>
          <w:p>
            <w:pPr>
              <w:spacing w:after="0" w:before="0"/>
            </w:pPr>
            <w:r/>
            <w:r>
              <w:rPr>
                <w:rFonts w:ascii="Aptos" w:hAnsi="Aptos"/>
                <w:b w:val="0"/>
                <w:color w:val="26333D"/>
                <w:sz w:val="16"/>
              </w:rPr>
              <w:t>Planned controls cannot justify reduced residual risk. Updated controls must be implemented and evidenced.</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6"/>
              </w:rPr>
              <w:t>No silent control degradation</w:t>
            </w:r>
          </w:p>
        </w:tc>
        <w:tc>
          <w:tcPr>
            <w:tcW w:type="dxa" w:w="6912"/>
            <w:vAlign w:val="center"/>
            <w:tcMar>
              <w:top w:w="70" w:type="dxa"/>
              <w:start w:w="85" w:type="dxa"/>
              <w:bottom w:w="70" w:type="dxa"/>
              <w:end w:w="85" w:type="dxa"/>
            </w:tcMar>
            <w:shd w:fill="F4F6F7"/>
          </w:tcPr>
          <w:p>
            <w:pPr>
              <w:spacing w:after="0" w:before="0"/>
            </w:pPr>
            <w:r/>
            <w:r>
              <w:rPr>
                <w:rFonts w:ascii="Aptos" w:hAnsi="Aptos"/>
                <w:b w:val="0"/>
                <w:color w:val="26333D"/>
                <w:sz w:val="16"/>
              </w:rPr>
              <w:t>Removal, weakening or bypass of security, privacy, human-oversight or safety controls requires explicit review.</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6"/>
              </w:rPr>
              <w:t>Reassessment is targeted but complete</w:t>
            </w:r>
          </w:p>
        </w:tc>
        <w:tc>
          <w:tcPr>
            <w:tcW w:type="dxa" w:w="6912"/>
            <w:vAlign w:val="center"/>
            <w:tcMar>
              <w:top w:w="70" w:type="dxa"/>
              <w:start w:w="85" w:type="dxa"/>
              <w:bottom w:w="70" w:type="dxa"/>
              <w:end w:w="85" w:type="dxa"/>
            </w:tcMar>
          </w:tcPr>
          <w:p>
            <w:pPr>
              <w:spacing w:after="0" w:before="0"/>
            </w:pPr>
            <w:r/>
            <w:r>
              <w:rPr>
                <w:rFonts w:ascii="Aptos" w:hAnsi="Aptos"/>
                <w:b w:val="0"/>
                <w:color w:val="26333D"/>
                <w:sz w:val="16"/>
              </w:rPr>
              <w:t>Only affected artifacts need to be reopened, but the screen must consider all material domains.</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6"/>
              </w:rPr>
              <w:t>Risk and legal classification remain separate</w:t>
            </w:r>
          </w:p>
        </w:tc>
        <w:tc>
          <w:tcPr>
            <w:tcW w:type="dxa" w:w="6912"/>
            <w:vAlign w:val="center"/>
            <w:tcMar>
              <w:top w:w="70" w:type="dxa"/>
              <w:start w:w="85" w:type="dxa"/>
              <w:bottom w:w="70" w:type="dxa"/>
              <w:end w:w="85" w:type="dxa"/>
            </w:tcMar>
            <w:shd w:fill="F4F6F7"/>
          </w:tcPr>
          <w:p>
            <w:pPr>
              <w:spacing w:after="0" w:before="0"/>
            </w:pPr>
            <w:r/>
            <w:r>
              <w:rPr>
                <w:rFonts w:ascii="Aptos" w:hAnsi="Aptos"/>
                <w:b w:val="0"/>
                <w:color w:val="26333D"/>
                <w:sz w:val="16"/>
              </w:rPr>
              <w:t>A change can be internally Major without creating a statutory high-risk classification, and the reverse can also occur.</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6"/>
              </w:rPr>
              <w:t>Rollback is part of release readiness</w:t>
            </w:r>
          </w:p>
        </w:tc>
        <w:tc>
          <w:tcPr>
            <w:tcW w:type="dxa" w:w="6912"/>
            <w:vAlign w:val="center"/>
            <w:tcMar>
              <w:top w:w="70" w:type="dxa"/>
              <w:start w:w="85" w:type="dxa"/>
              <w:bottom w:w="70" w:type="dxa"/>
              <w:end w:w="85" w:type="dxa"/>
            </w:tcMar>
          </w:tcPr>
          <w:p>
            <w:pPr>
              <w:spacing w:after="0" w:before="0"/>
            </w:pPr>
            <w:r/>
            <w:r>
              <w:rPr>
                <w:rFonts w:ascii="Aptos" w:hAnsi="Aptos"/>
                <w:b w:val="0"/>
                <w:color w:val="26333D"/>
                <w:sz w:val="16"/>
              </w:rPr>
              <w:t>Material changes require a viable fallback, suspension or recovery path before approval.</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6"/>
              </w:rPr>
              <w:t>Evidence survives the change</w:t>
            </w:r>
          </w:p>
        </w:tc>
        <w:tc>
          <w:tcPr>
            <w:tcW w:type="dxa" w:w="6912"/>
            <w:vAlign w:val="center"/>
            <w:tcMar>
              <w:top w:w="70" w:type="dxa"/>
              <w:start w:w="85" w:type="dxa"/>
              <w:bottom w:w="70" w:type="dxa"/>
              <w:end w:w="85" w:type="dxa"/>
            </w:tcMar>
            <w:shd w:fill="F4F6F7"/>
          </w:tcPr>
          <w:p>
            <w:pPr>
              <w:spacing w:after="0" w:before="0"/>
            </w:pPr>
            <w:r/>
            <w:r>
              <w:rPr>
                <w:rFonts w:ascii="Aptos" w:hAnsi="Aptos"/>
                <w:b w:val="0"/>
                <w:color w:val="26333D"/>
                <w:sz w:val="16"/>
              </w:rPr>
              <w:t>The organization must be able to reconstruct what changed, why, who approved it, what testing occurred and which prior evidence was superseded.</w:t>
            </w:r>
          </w:p>
        </w:tc>
      </w:tr>
    </w:tbl>
    <w:p>
      <w:pPr>
        <w:spacing w:after="0"/>
      </w:pPr>
    </w:p>
    <w:p>
      <w:r>
        <w:br w:type="page"/>
      </w:r>
    </w:p>
    <w:p>
      <w:pPr>
        <w:pStyle w:val="Heading1"/>
      </w:pPr>
      <w:r>
        <w:t>4. Duckworks AI Change Classification</w:t>
      </w:r>
    </w:p>
    <w:p>
      <w:pPr>
        <w:spacing w:after="100" w:line="247" w:lineRule="auto"/>
      </w:pPr>
      <w:r>
        <w:t>The change class determines minimum governance intensity. It is not a risk score. Risk is assessed separately using the Duckworks AI Risk Classification &amp; Assessment Methodology.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584"/>
            <w:vAlign w:val="center"/>
            <w:tcMar>
              <w:top w:w="70" w:type="dxa"/>
              <w:start w:w="85" w:type="dxa"/>
              <w:bottom w:w="70" w:type="dxa"/>
              <w:end w:w="85" w:type="dxa"/>
            </w:tcMar>
            <w:shd w:fill="173B57"/>
          </w:tcPr>
          <w:p>
            <w:pPr>
              <w:spacing w:after="0" w:before="0"/>
            </w:pPr>
            <w:r/>
            <w:r>
              <w:rPr>
                <w:rFonts w:ascii="Aptos" w:hAnsi="Aptos"/>
                <w:b/>
                <w:color w:val="FFFFFF"/>
                <w:sz w:val="14"/>
              </w:rPr>
              <w:t>Class</w:t>
            </w:r>
          </w:p>
        </w:tc>
        <w:tc>
          <w:tcPr>
            <w:tcW w:type="dxa" w:w="2376"/>
            <w:vAlign w:val="center"/>
            <w:tcMar>
              <w:top w:w="70" w:type="dxa"/>
              <w:start w:w="85" w:type="dxa"/>
              <w:bottom w:w="70" w:type="dxa"/>
              <w:end w:w="85" w:type="dxa"/>
            </w:tcMar>
            <w:shd w:fill="173B57"/>
          </w:tcPr>
          <w:p>
            <w:pPr>
              <w:spacing w:after="0" w:before="0"/>
            </w:pPr>
            <w:r/>
            <w:r>
              <w:rPr>
                <w:rFonts w:ascii="Aptos" w:hAnsi="Aptos"/>
                <w:b/>
                <w:color w:val="FFFFFF"/>
                <w:sz w:val="14"/>
              </w:rPr>
              <w:t>Definition</w:t>
            </w:r>
          </w:p>
        </w:tc>
        <w:tc>
          <w:tcPr>
            <w:tcW w:type="dxa" w:w="2448"/>
            <w:vAlign w:val="center"/>
            <w:tcMar>
              <w:top w:w="70" w:type="dxa"/>
              <w:start w:w="85" w:type="dxa"/>
              <w:bottom w:w="70" w:type="dxa"/>
              <w:end w:w="85" w:type="dxa"/>
            </w:tcMar>
            <w:shd w:fill="173B57"/>
          </w:tcPr>
          <w:p>
            <w:pPr>
              <w:spacing w:after="0" w:before="0"/>
            </w:pPr>
            <w:r/>
            <w:r>
              <w:rPr>
                <w:rFonts w:ascii="Aptos" w:hAnsi="Aptos"/>
                <w:b/>
                <w:color w:val="FFFFFF"/>
                <w:sz w:val="14"/>
              </w:rPr>
              <w:t>Examples</w:t>
            </w:r>
          </w:p>
        </w:tc>
        <w:tc>
          <w:tcPr>
            <w:tcW w:type="dxa" w:w="2016"/>
            <w:vAlign w:val="center"/>
            <w:tcMar>
              <w:top w:w="70" w:type="dxa"/>
              <w:start w:w="85" w:type="dxa"/>
              <w:bottom w:w="70" w:type="dxa"/>
              <w:end w:w="85" w:type="dxa"/>
            </w:tcMar>
            <w:shd w:fill="173B57"/>
          </w:tcPr>
          <w:p>
            <w:pPr>
              <w:spacing w:after="0" w:before="0"/>
            </w:pPr>
            <w:r/>
            <w:r>
              <w:rPr>
                <w:rFonts w:ascii="Aptos" w:hAnsi="Aptos"/>
                <w:b/>
                <w:color w:val="FFFFFF"/>
                <w:sz w:val="14"/>
              </w:rPr>
              <w:t>Minimum approval</w:t>
            </w:r>
          </w:p>
        </w:tc>
        <w:tc>
          <w:tcPr>
            <w:tcW w:type="dxa" w:w="2088"/>
            <w:vAlign w:val="center"/>
            <w:tcMar>
              <w:top w:w="70" w:type="dxa"/>
              <w:start w:w="85" w:type="dxa"/>
              <w:bottom w:w="70" w:type="dxa"/>
              <w:end w:w="85" w:type="dxa"/>
            </w:tcMar>
            <w:shd w:fill="173B57"/>
          </w:tcPr>
          <w:p>
            <w:pPr>
              <w:spacing w:after="0" w:before="0"/>
            </w:pPr>
            <w:r/>
            <w:r>
              <w:rPr>
                <w:rFonts w:ascii="Aptos" w:hAnsi="Aptos"/>
                <w:b/>
                <w:color w:val="FFFFFF"/>
                <w:sz w:val="14"/>
              </w:rPr>
              <w:t>Minimum evidence</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4"/>
              </w:rPr>
              <w:t>CM-C0 — Administrative</w:t>
            </w:r>
          </w:p>
        </w:tc>
        <w:tc>
          <w:tcPr>
            <w:tcW w:type="dxa" w:w="2376"/>
            <w:vAlign w:val="center"/>
            <w:tcMar>
              <w:top w:w="70" w:type="dxa"/>
              <w:start w:w="85" w:type="dxa"/>
              <w:bottom w:w="70" w:type="dxa"/>
              <w:end w:w="85" w:type="dxa"/>
            </w:tcMar>
          </w:tcPr>
          <w:p>
            <w:pPr>
              <w:spacing w:after="0" w:before="0"/>
            </w:pPr>
            <w:r/>
            <w:r>
              <w:rPr>
                <w:rFonts w:ascii="Aptos" w:hAnsi="Aptos"/>
                <w:b w:val="0"/>
                <w:color w:val="26333D"/>
                <w:sz w:val="14"/>
              </w:rPr>
              <w:t>No functional or control effect.</w:t>
            </w:r>
          </w:p>
        </w:tc>
        <w:tc>
          <w:tcPr>
            <w:tcW w:type="dxa" w:w="2448"/>
            <w:vAlign w:val="center"/>
            <w:tcMar>
              <w:top w:w="70" w:type="dxa"/>
              <w:start w:w="85" w:type="dxa"/>
              <w:bottom w:w="70" w:type="dxa"/>
              <w:end w:w="85" w:type="dxa"/>
            </w:tcMar>
          </w:tcPr>
          <w:p>
            <w:pPr>
              <w:spacing w:after="0" w:before="0"/>
            </w:pPr>
            <w:r/>
            <w:r>
              <w:rPr>
                <w:rFonts w:ascii="Aptos" w:hAnsi="Aptos"/>
                <w:b w:val="0"/>
                <w:color w:val="26333D"/>
                <w:sz w:val="14"/>
              </w:rPr>
              <w:t>Document wording, contact detail, non-functional metadata.</w:t>
            </w:r>
          </w:p>
        </w:tc>
        <w:tc>
          <w:tcPr>
            <w:tcW w:type="dxa" w:w="2016"/>
            <w:vAlign w:val="center"/>
            <w:tcMar>
              <w:top w:w="70" w:type="dxa"/>
              <w:start w:w="85" w:type="dxa"/>
              <w:bottom w:w="70" w:type="dxa"/>
              <w:end w:w="85" w:type="dxa"/>
            </w:tcMar>
          </w:tcPr>
          <w:p>
            <w:pPr>
              <w:spacing w:after="0" w:before="0"/>
            </w:pPr>
            <w:r/>
            <w:r>
              <w:rPr>
                <w:rFonts w:ascii="Aptos" w:hAnsi="Aptos"/>
                <w:b w:val="0"/>
                <w:color w:val="26333D"/>
                <w:sz w:val="14"/>
              </w:rPr>
              <w:t>System/record owner; log change.</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No reassessment unless screen identifies hidden impact.</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4"/>
              </w:rPr>
              <w:t>CM-C1 — Standard</w:t>
            </w:r>
          </w:p>
        </w:tc>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Limited functional change with no credible material impact on purpose, affected people, safety, rights, sensitive data, autonomy or key controls.</w:t>
            </w:r>
          </w:p>
        </w:tc>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UI wording; low-risk configuration change; monitoring dashboard display change.</w:t>
            </w:r>
          </w:p>
        </w:tc>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4"/>
              </w:rPr>
              <w:t>Business + Technical Owner; AI Governance notified where relevant.</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Targeted regression test; update record/evidence.</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4"/>
              </w:rPr>
              <w:t>CM-C2 — Material</w:t>
            </w:r>
          </w:p>
        </w:tc>
        <w:tc>
          <w:tcPr>
            <w:tcW w:type="dxa" w:w="2376"/>
            <w:vAlign w:val="center"/>
            <w:tcMar>
              <w:top w:w="70" w:type="dxa"/>
              <w:start w:w="85" w:type="dxa"/>
              <w:bottom w:w="70" w:type="dxa"/>
              <w:end w:w="85" w:type="dxa"/>
            </w:tcMar>
          </w:tcPr>
          <w:p>
            <w:pPr>
              <w:spacing w:after="0" w:before="0"/>
            </w:pPr>
            <w:r/>
            <w:r>
              <w:rPr>
                <w:rFonts w:ascii="Aptos" w:hAnsi="Aptos"/>
                <w:b w:val="0"/>
                <w:color w:val="26333D"/>
                <w:sz w:val="14"/>
              </w:rPr>
              <w:t>Could change model behavior, data processing, security posture, performance, third-party dependency or prior control evidence.</w:t>
            </w:r>
          </w:p>
        </w:tc>
        <w:tc>
          <w:tcPr>
            <w:tcW w:type="dxa" w:w="2448"/>
            <w:vAlign w:val="center"/>
            <w:tcMar>
              <w:top w:w="70" w:type="dxa"/>
              <w:start w:w="85" w:type="dxa"/>
              <w:bottom w:w="70" w:type="dxa"/>
              <w:end w:w="85" w:type="dxa"/>
            </w:tcMar>
          </w:tcPr>
          <w:p>
            <w:pPr>
              <w:spacing w:after="0" w:before="0"/>
            </w:pPr>
            <w:r/>
            <w:r>
              <w:rPr>
                <w:rFonts w:ascii="Aptos" w:hAnsi="Aptos"/>
                <w:b w:val="0"/>
                <w:color w:val="26333D"/>
                <w:sz w:val="14"/>
              </w:rPr>
              <w:t>Model version; RAG source; connector; fine-tune; prompt/guardrail; threshold; vendor hosting change.</w:t>
            </w:r>
          </w:p>
        </w:tc>
        <w:tc>
          <w:tcPr>
            <w:tcW w:type="dxa" w:w="2016"/>
            <w:vAlign w:val="center"/>
            <w:tcMar>
              <w:top w:w="70" w:type="dxa"/>
              <w:start w:w="85" w:type="dxa"/>
              <w:bottom w:w="70" w:type="dxa"/>
              <w:end w:w="85" w:type="dxa"/>
            </w:tcMar>
          </w:tcPr>
          <w:p>
            <w:pPr>
              <w:spacing w:after="0" w:before="0"/>
            </w:pPr>
            <w:r/>
            <w:r>
              <w:rPr>
                <w:rFonts w:ascii="Aptos" w:hAnsi="Aptos"/>
                <w:b w:val="0"/>
                <w:color w:val="26333D"/>
                <w:sz w:val="14"/>
              </w:rPr>
              <w:t>Business + Technical Owner; AI Governance; relevant SMEs; committee if residual High.</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Impact screen; targeted reassessment; testing; approval gate; post-change verification.</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4"/>
              </w:rPr>
              <w:t>CM-C3 — Major Governance Change</w:t>
            </w:r>
          </w:p>
        </w:tc>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Changes intended purpose, autonomy, decision authority, materially affected people, safety/employment/rights impact, legal role/classification, or removes critical controls.</w:t>
            </w:r>
          </w:p>
        </w:tc>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DuckTalent ranking logic/features; WingInspect autonomous rejection; FeatherForecast auto-purchasing; QuackBot safety decisioning.</w:t>
            </w:r>
          </w:p>
        </w:tc>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4"/>
              </w:rPr>
              <w:t>AI Governance Committee + CRCO; specialist review; executive escalation when required.</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Full reassessment of affected artifacts; production blocked until approved.</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EAF1F6"/>
            <w:tcMar>
              <w:top w:w="120" w:type="dxa"/>
              <w:start w:w="140" w:type="dxa"/>
              <w:bottom w:w="120" w:type="dxa"/>
              <w:end w:w="140" w:type="dxa"/>
            </w:tcMar>
            <w:tcBorders>
              <w:left w:val="single" w:sz="18" w:color="2D6F6D"/>
            </w:tcBorders>
          </w:tcPr>
          <w:p>
            <w:pPr>
              <w:spacing w:after="60"/>
            </w:pPr>
            <w:r>
              <w:rPr>
                <w:b/>
                <w:color w:val="173B57"/>
                <w:sz w:val="20"/>
              </w:rPr>
              <w:t>Emergency flag</w:t>
            </w:r>
          </w:p>
          <w:p>
            <w:pPr>
              <w:spacing w:after="0"/>
            </w:pPr>
            <w:r>
              <w:rPr>
                <w:color w:val="26333D"/>
                <w:sz w:val="18"/>
              </w:rPr>
              <w:t>Emergency is not a fifth change class. An urgent containment or restoration change is assigned the normal CM-C0–CM-C3 class plus an “Emergency” flag. The emergency procedure accelerates authorization but does not eliminate logging, post-implementation verification or retrospective governance review.</w:t>
            </w:r>
          </w:p>
        </w:tc>
      </w:tr>
    </w:tbl>
    <w:p>
      <w:pPr>
        <w:spacing w:after="0"/>
      </w:pPr>
    </w:p>
    <w:p>
      <w:pPr>
        <w:pStyle w:val="Heading2"/>
      </w:pPr>
      <w:r>
        <w:t>4.1 Automatic CM-C3 triggers</w:t>
      </w:r>
    </w:p>
    <w:p>
      <w:pPr>
        <w:pStyle w:val="ListBullet"/>
        <w:spacing w:after="50"/>
      </w:pPr>
      <w:r>
        <w:t>Change in intended purpose or material business decision supported by the AI.</w:t>
      </w:r>
    </w:p>
    <w:p>
      <w:pPr>
        <w:pStyle w:val="ListBullet"/>
        <w:spacing w:after="50"/>
      </w:pPr>
      <w:r>
        <w:t>Increase in autonomy or removal/reduction of human review, override or stop-use authority.</w:t>
      </w:r>
    </w:p>
    <w:p>
      <w:pPr>
        <w:pStyle w:val="ListBullet"/>
        <w:spacing w:after="50"/>
      </w:pPr>
      <w:r>
        <w:t>Use of the AI in employment, applicant ranking, product safety, quality release or other consequential decision where prior approval did not cover the new use.</w:t>
      </w:r>
    </w:p>
    <w:p>
      <w:pPr>
        <w:pStyle w:val="ListBullet"/>
        <w:spacing w:after="50"/>
      </w:pPr>
      <w:r>
        <w:t>Expansion to materially new affected populations, jurisdictions or vulnerable groups.</w:t>
      </w:r>
    </w:p>
    <w:p>
      <w:pPr>
        <w:pStyle w:val="ListBullet"/>
        <w:spacing w:after="50"/>
      </w:pPr>
      <w:r>
        <w:t>Change reasonably capable of altering legal classification or Duckworks’ role in the AI value chain.</w:t>
      </w:r>
    </w:p>
    <w:p>
      <w:pPr>
        <w:pStyle w:val="ListBullet"/>
        <w:spacing w:after="50"/>
      </w:pPr>
      <w:r>
        <w:t>Replacement of a critical model/provider where prior validation, assurance or contractual conclusions no longer apply.</w:t>
      </w:r>
    </w:p>
    <w:p>
      <w:pPr>
        <w:pStyle w:val="ListBullet"/>
        <w:spacing w:after="50"/>
      </w:pPr>
      <w:r>
        <w:t>Removal or material weakening of a critical security, privacy, fairness, safety or human-oversight control.</w:t>
      </w:r>
    </w:p>
    <w:p>
      <w:pPr>
        <w:pStyle w:val="ListBullet"/>
        <w:spacing w:after="50"/>
      </w:pPr>
      <w:r>
        <w:t>Reactivation of a system previously suspended for Critical residual risk or a severe incident.</w:t>
      </w:r>
    </w:p>
    <w:p>
      <w:pPr>
        <w:pStyle w:val="Heading1"/>
      </w:pPr>
      <w:r>
        <w:t>5. End-to-End AI Change Process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648"/>
            <w:vAlign w:val="center"/>
            <w:tcMar>
              <w:top w:w="70" w:type="dxa"/>
              <w:start w:w="85" w:type="dxa"/>
              <w:bottom w:w="70" w:type="dxa"/>
              <w:end w:w="85" w:type="dxa"/>
            </w:tcMar>
            <w:shd w:fill="173B57"/>
          </w:tcPr>
          <w:p>
            <w:pPr>
              <w:spacing w:after="0" w:before="0"/>
            </w:pPr>
            <w:r/>
            <w:r>
              <w:rPr>
                <w:rFonts w:ascii="Aptos" w:hAnsi="Aptos"/>
                <w:b/>
                <w:color w:val="FFFFFF"/>
                <w:sz w:val="15"/>
              </w:rPr>
              <w:t>Step</w:t>
            </w:r>
          </w:p>
        </w:tc>
        <w:tc>
          <w:tcPr>
            <w:tcW w:type="dxa" w:w="1656"/>
            <w:vAlign w:val="center"/>
            <w:tcMar>
              <w:top w:w="70" w:type="dxa"/>
              <w:start w:w="85" w:type="dxa"/>
              <w:bottom w:w="70" w:type="dxa"/>
              <w:end w:w="85" w:type="dxa"/>
            </w:tcMar>
            <w:shd w:fill="173B57"/>
          </w:tcPr>
          <w:p>
            <w:pPr>
              <w:spacing w:after="0" w:before="0"/>
            </w:pPr>
            <w:r/>
            <w:r>
              <w:rPr>
                <w:rFonts w:ascii="Aptos" w:hAnsi="Aptos"/>
                <w:b/>
                <w:color w:val="FFFFFF"/>
                <w:sz w:val="15"/>
              </w:rPr>
              <w:t>Stage</w:t>
            </w:r>
          </w:p>
        </w:tc>
        <w:tc>
          <w:tcPr>
            <w:tcW w:type="dxa" w:w="6120"/>
            <w:vAlign w:val="center"/>
            <w:tcMar>
              <w:top w:w="70" w:type="dxa"/>
              <w:start w:w="85" w:type="dxa"/>
              <w:bottom w:w="70" w:type="dxa"/>
              <w:end w:w="85" w:type="dxa"/>
            </w:tcMar>
            <w:shd w:fill="173B57"/>
          </w:tcPr>
          <w:p>
            <w:pPr>
              <w:spacing w:after="0" w:before="0"/>
            </w:pPr>
            <w:r/>
            <w:r>
              <w:rPr>
                <w:rFonts w:ascii="Aptos" w:hAnsi="Aptos"/>
                <w:b/>
                <w:color w:val="FFFFFF"/>
                <w:sz w:val="15"/>
              </w:rPr>
              <w:t>Required activity</w:t>
            </w:r>
          </w:p>
        </w:tc>
        <w:tc>
          <w:tcPr>
            <w:tcW w:type="dxa" w:w="1584"/>
            <w:vAlign w:val="center"/>
            <w:tcMar>
              <w:top w:w="70" w:type="dxa"/>
              <w:start w:w="85" w:type="dxa"/>
              <w:bottom w:w="70" w:type="dxa"/>
              <w:end w:w="85" w:type="dxa"/>
            </w:tcMar>
            <w:shd w:fill="173B57"/>
          </w:tcPr>
          <w:p>
            <w:pPr>
              <w:spacing w:after="0" w:before="0"/>
            </w:pPr>
            <w:r/>
            <w:r>
              <w:rPr>
                <w:rFonts w:ascii="Aptos" w:hAnsi="Aptos"/>
                <w:b/>
                <w:color w:val="FFFFFF"/>
                <w:sz w:val="15"/>
              </w:rPr>
              <w:t>Artifact</w:t>
            </w:r>
          </w:p>
        </w:tc>
      </w:tr>
      <w:tr>
        <w:trPr>
          <w:cantSplit/>
        </w:trPr>
        <w:tc>
          <w:tcPr>
            <w:tcW w:type="dxa" w:w="648"/>
            <w:vAlign w:val="center"/>
            <w:tcMar>
              <w:top w:w="70" w:type="dxa"/>
              <w:start w:w="85" w:type="dxa"/>
              <w:bottom w:w="70" w:type="dxa"/>
              <w:end w:w="85" w:type="dxa"/>
            </w:tcMar>
          </w:tcPr>
          <w:p>
            <w:pPr>
              <w:spacing w:after="0" w:before="0"/>
            </w:pPr>
            <w:r/>
            <w:r>
              <w:rPr>
                <w:rFonts w:ascii="Aptos" w:hAnsi="Aptos"/>
                <w:b w:val="0"/>
                <w:color w:val="26333D"/>
                <w:sz w:val="15"/>
              </w:rPr>
              <w:t>1</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5"/>
              </w:rPr>
              <w:t>Initiate</w:t>
            </w:r>
          </w:p>
        </w:tc>
        <w:tc>
          <w:tcPr>
            <w:tcW w:type="dxa" w:w="6120"/>
            <w:vAlign w:val="center"/>
            <w:tcMar>
              <w:top w:w="70" w:type="dxa"/>
              <w:start w:w="85" w:type="dxa"/>
              <w:bottom w:w="70" w:type="dxa"/>
              <w:end w:w="85" w:type="dxa"/>
            </w:tcMar>
          </w:tcPr>
          <w:p>
            <w:pPr>
              <w:spacing w:after="0" w:before="0"/>
            </w:pPr>
            <w:r/>
            <w:r>
              <w:rPr>
                <w:rFonts w:ascii="Aptos" w:hAnsi="Aptos"/>
                <w:b w:val="0"/>
                <w:color w:val="26333D"/>
                <w:sz w:val="15"/>
              </w:rPr>
              <w:t>Raise change request before implementation; identify AI ID and baseline.</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CM-02</w:t>
            </w:r>
          </w:p>
        </w:tc>
      </w:tr>
      <w:tr>
        <w:trPr>
          <w:cantSplit/>
        </w:trPr>
        <w:tc>
          <w:tcPr>
            <w:tcW w:type="dxa" w:w="648"/>
            <w:vAlign w:val="center"/>
            <w:tcMar>
              <w:top w:w="70" w:type="dxa"/>
              <w:start w:w="85" w:type="dxa"/>
              <w:bottom w:w="70" w:type="dxa"/>
              <w:end w:w="85" w:type="dxa"/>
            </w:tcMar>
            <w:shd w:fill="F4F6F7"/>
          </w:tcPr>
          <w:p>
            <w:pPr>
              <w:spacing w:after="0" w:before="0"/>
            </w:pPr>
            <w:r/>
            <w:r>
              <w:rPr>
                <w:rFonts w:ascii="Aptos" w:hAnsi="Aptos"/>
                <w:b w:val="0"/>
                <w:color w:val="26333D"/>
                <w:sz w:val="15"/>
              </w:rPr>
              <w:t>2</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5"/>
              </w:rPr>
              <w:t>Screen &amp; classify</w:t>
            </w:r>
          </w:p>
        </w:tc>
        <w:tc>
          <w:tcPr>
            <w:tcW w:type="dxa" w:w="6120"/>
            <w:vAlign w:val="center"/>
            <w:tcMar>
              <w:top w:w="70" w:type="dxa"/>
              <w:start w:w="85" w:type="dxa"/>
              <w:bottom w:w="70" w:type="dxa"/>
              <w:end w:w="85" w:type="dxa"/>
            </w:tcMar>
            <w:shd w:fill="F4F6F7"/>
          </w:tcPr>
          <w:p>
            <w:pPr>
              <w:spacing w:after="0" w:before="0"/>
            </w:pPr>
            <w:r/>
            <w:r>
              <w:rPr>
                <w:rFonts w:ascii="Aptos" w:hAnsi="Aptos"/>
                <w:b w:val="0"/>
                <w:color w:val="26333D"/>
                <w:sz w:val="15"/>
              </w:rPr>
              <w:t>Determine CM-C0–C3 and Emergency flag; identify affected domains.</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CM-03</w:t>
            </w:r>
          </w:p>
        </w:tc>
      </w:tr>
      <w:tr>
        <w:trPr>
          <w:cantSplit/>
        </w:trPr>
        <w:tc>
          <w:tcPr>
            <w:tcW w:type="dxa" w:w="648"/>
            <w:vAlign w:val="center"/>
            <w:tcMar>
              <w:top w:w="70" w:type="dxa"/>
              <w:start w:w="85" w:type="dxa"/>
              <w:bottom w:w="70" w:type="dxa"/>
              <w:end w:w="85" w:type="dxa"/>
            </w:tcMar>
          </w:tcPr>
          <w:p>
            <w:pPr>
              <w:spacing w:after="0" w:before="0"/>
            </w:pPr>
            <w:r/>
            <w:r>
              <w:rPr>
                <w:rFonts w:ascii="Aptos" w:hAnsi="Aptos"/>
                <w:b w:val="0"/>
                <w:color w:val="26333D"/>
                <w:sz w:val="15"/>
              </w:rPr>
              <w:t>3</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5"/>
              </w:rPr>
              <w:t>Determine reassessment</w:t>
            </w:r>
          </w:p>
        </w:tc>
        <w:tc>
          <w:tcPr>
            <w:tcW w:type="dxa" w:w="6120"/>
            <w:vAlign w:val="center"/>
            <w:tcMar>
              <w:top w:w="70" w:type="dxa"/>
              <w:start w:w="85" w:type="dxa"/>
              <w:bottom w:w="70" w:type="dxa"/>
              <w:end w:w="85" w:type="dxa"/>
            </w:tcMar>
          </w:tcPr>
          <w:p>
            <w:pPr>
              <w:spacing w:after="0" w:before="0"/>
            </w:pPr>
            <w:r/>
            <w:r>
              <w:rPr>
                <w:rFonts w:ascii="Aptos" w:hAnsi="Aptos"/>
                <w:b w:val="0"/>
                <w:color w:val="26333D"/>
                <w:sz w:val="15"/>
              </w:rPr>
              <w:t>Identify which risk, impact, legal, privacy, security, vendor, safety and oversight artifacts must be reopened.</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CM-04</w:t>
            </w:r>
          </w:p>
        </w:tc>
      </w:tr>
      <w:tr>
        <w:trPr>
          <w:cantSplit/>
        </w:trPr>
        <w:tc>
          <w:tcPr>
            <w:tcW w:type="dxa" w:w="648"/>
            <w:vAlign w:val="center"/>
            <w:tcMar>
              <w:top w:w="70" w:type="dxa"/>
              <w:start w:w="85" w:type="dxa"/>
              <w:bottom w:w="70" w:type="dxa"/>
              <w:end w:w="85" w:type="dxa"/>
            </w:tcMar>
            <w:shd w:fill="F4F6F7"/>
          </w:tcPr>
          <w:p>
            <w:pPr>
              <w:spacing w:after="0" w:before="0"/>
            </w:pPr>
            <w:r/>
            <w:r>
              <w:rPr>
                <w:rFonts w:ascii="Aptos" w:hAnsi="Aptos"/>
                <w:b w:val="0"/>
                <w:color w:val="26333D"/>
                <w:sz w:val="15"/>
              </w:rPr>
              <w:t>4</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5"/>
              </w:rPr>
              <w:t>Design &amp; plan</w:t>
            </w:r>
          </w:p>
        </w:tc>
        <w:tc>
          <w:tcPr>
            <w:tcW w:type="dxa" w:w="6120"/>
            <w:vAlign w:val="center"/>
            <w:tcMar>
              <w:top w:w="70" w:type="dxa"/>
              <w:start w:w="85" w:type="dxa"/>
              <w:bottom w:w="70" w:type="dxa"/>
              <w:end w:w="85" w:type="dxa"/>
            </w:tcMar>
            <w:shd w:fill="F4F6F7"/>
          </w:tcPr>
          <w:p>
            <w:pPr>
              <w:spacing w:after="0" w:before="0"/>
            </w:pPr>
            <w:r/>
            <w:r>
              <w:rPr>
                <w:rFonts w:ascii="Aptos" w:hAnsi="Aptos"/>
                <w:b w:val="0"/>
                <w:color w:val="26333D"/>
                <w:sz w:val="15"/>
              </w:rPr>
              <w:t>Define implementation, testing, rollback, evidence, owners and monitoring changes.</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CM-02 / CM-08</w:t>
            </w:r>
          </w:p>
        </w:tc>
      </w:tr>
      <w:tr>
        <w:trPr>
          <w:cantSplit/>
        </w:trPr>
        <w:tc>
          <w:tcPr>
            <w:tcW w:type="dxa" w:w="648"/>
            <w:vAlign w:val="center"/>
            <w:tcMar>
              <w:top w:w="70" w:type="dxa"/>
              <w:start w:w="85" w:type="dxa"/>
              <w:bottom w:w="70" w:type="dxa"/>
              <w:end w:w="85" w:type="dxa"/>
            </w:tcMar>
          </w:tcPr>
          <w:p>
            <w:pPr>
              <w:spacing w:after="0" w:before="0"/>
            </w:pPr>
            <w:r/>
            <w:r>
              <w:rPr>
                <w:rFonts w:ascii="Aptos" w:hAnsi="Aptos"/>
                <w:b w:val="0"/>
                <w:color w:val="26333D"/>
                <w:sz w:val="15"/>
              </w:rPr>
              <w:t>5</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5"/>
              </w:rPr>
              <w:t>Specialist review</w:t>
            </w:r>
          </w:p>
        </w:tc>
        <w:tc>
          <w:tcPr>
            <w:tcW w:type="dxa" w:w="6120"/>
            <w:vAlign w:val="center"/>
            <w:tcMar>
              <w:top w:w="70" w:type="dxa"/>
              <w:start w:w="85" w:type="dxa"/>
              <w:bottom w:w="70" w:type="dxa"/>
              <w:end w:w="85" w:type="dxa"/>
            </w:tcMar>
          </w:tcPr>
          <w:p>
            <w:pPr>
              <w:spacing w:after="0" w:before="0"/>
            </w:pPr>
            <w:r/>
            <w:r>
              <w:rPr>
                <w:rFonts w:ascii="Aptos" w:hAnsi="Aptos"/>
                <w:b w:val="0"/>
                <w:color w:val="26333D"/>
                <w:sz w:val="15"/>
              </w:rPr>
              <w:t>Obtain Security, Privacy, Legal, HR, Product Safety, Procurement or other review as triggered.</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CM-04</w:t>
            </w:r>
          </w:p>
        </w:tc>
      </w:tr>
      <w:tr>
        <w:trPr>
          <w:cantSplit/>
        </w:trPr>
        <w:tc>
          <w:tcPr>
            <w:tcW w:type="dxa" w:w="648"/>
            <w:vAlign w:val="center"/>
            <w:tcMar>
              <w:top w:w="70" w:type="dxa"/>
              <w:start w:w="85" w:type="dxa"/>
              <w:bottom w:w="70" w:type="dxa"/>
              <w:end w:w="85" w:type="dxa"/>
            </w:tcMar>
            <w:shd w:fill="F4F6F7"/>
          </w:tcPr>
          <w:p>
            <w:pPr>
              <w:spacing w:after="0" w:before="0"/>
            </w:pPr>
            <w:r/>
            <w:r>
              <w:rPr>
                <w:rFonts w:ascii="Aptos" w:hAnsi="Aptos"/>
                <w:b w:val="0"/>
                <w:color w:val="26333D"/>
                <w:sz w:val="15"/>
              </w:rPr>
              <w:t>6</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5"/>
              </w:rPr>
              <w:t>Test &amp; validate</w:t>
            </w:r>
          </w:p>
        </w:tc>
        <w:tc>
          <w:tcPr>
            <w:tcW w:type="dxa" w:w="6120"/>
            <w:vAlign w:val="center"/>
            <w:tcMar>
              <w:top w:w="70" w:type="dxa"/>
              <w:start w:w="85" w:type="dxa"/>
              <w:bottom w:w="70" w:type="dxa"/>
              <w:end w:w="85" w:type="dxa"/>
            </w:tcMar>
            <w:shd w:fill="F4F6F7"/>
          </w:tcPr>
          <w:p>
            <w:pPr>
              <w:spacing w:after="0" w:before="0"/>
            </w:pPr>
            <w:r/>
            <w:r>
              <w:rPr>
                <w:rFonts w:ascii="Aptos" w:hAnsi="Aptos"/>
                <w:b w:val="0"/>
                <w:color w:val="26333D"/>
                <w:sz w:val="15"/>
              </w:rPr>
              <w:t>Execute risk-proportionate technical, functional, security, fairness, safety, performance and oversight tests.</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Evidence register</w:t>
            </w:r>
          </w:p>
        </w:tc>
      </w:tr>
      <w:tr>
        <w:trPr>
          <w:cantSplit/>
        </w:trPr>
        <w:tc>
          <w:tcPr>
            <w:tcW w:type="dxa" w:w="648"/>
            <w:vAlign w:val="center"/>
            <w:tcMar>
              <w:top w:w="70" w:type="dxa"/>
              <w:start w:w="85" w:type="dxa"/>
              <w:bottom w:w="70" w:type="dxa"/>
              <w:end w:w="85" w:type="dxa"/>
            </w:tcMar>
          </w:tcPr>
          <w:p>
            <w:pPr>
              <w:spacing w:after="0" w:before="0"/>
            </w:pPr>
            <w:r/>
            <w:r>
              <w:rPr>
                <w:rFonts w:ascii="Aptos" w:hAnsi="Aptos"/>
                <w:b w:val="0"/>
                <w:color w:val="26333D"/>
                <w:sz w:val="15"/>
              </w:rPr>
              <w:t>7</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5"/>
              </w:rPr>
              <w:t>Approve</w:t>
            </w:r>
          </w:p>
        </w:tc>
        <w:tc>
          <w:tcPr>
            <w:tcW w:type="dxa" w:w="6120"/>
            <w:vAlign w:val="center"/>
            <w:tcMar>
              <w:top w:w="70" w:type="dxa"/>
              <w:start w:w="85" w:type="dxa"/>
              <w:bottom w:w="70" w:type="dxa"/>
              <w:end w:w="85" w:type="dxa"/>
            </w:tcMar>
          </w:tcPr>
          <w:p>
            <w:pPr>
              <w:spacing w:after="0" w:before="0"/>
            </w:pPr>
            <w:r/>
            <w:r>
              <w:rPr>
                <w:rFonts w:ascii="Aptos" w:hAnsi="Aptos"/>
                <w:b w:val="0"/>
                <w:color w:val="26333D"/>
                <w:sz w:val="15"/>
              </w:rPr>
              <w:t>Record formal release decision and conditions at the required authority level.</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CM-05</w:t>
            </w:r>
          </w:p>
        </w:tc>
      </w:tr>
      <w:tr>
        <w:trPr>
          <w:cantSplit/>
        </w:trPr>
        <w:tc>
          <w:tcPr>
            <w:tcW w:type="dxa" w:w="648"/>
            <w:vAlign w:val="center"/>
            <w:tcMar>
              <w:top w:w="70" w:type="dxa"/>
              <w:start w:w="85" w:type="dxa"/>
              <w:bottom w:w="70" w:type="dxa"/>
              <w:end w:w="85" w:type="dxa"/>
            </w:tcMar>
            <w:shd w:fill="F4F6F7"/>
          </w:tcPr>
          <w:p>
            <w:pPr>
              <w:spacing w:after="0" w:before="0"/>
            </w:pPr>
            <w:r/>
            <w:r>
              <w:rPr>
                <w:rFonts w:ascii="Aptos" w:hAnsi="Aptos"/>
                <w:b w:val="0"/>
                <w:color w:val="26333D"/>
                <w:sz w:val="15"/>
              </w:rPr>
              <w:t>8</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5"/>
              </w:rPr>
              <w:t>Deploy</w:t>
            </w:r>
          </w:p>
        </w:tc>
        <w:tc>
          <w:tcPr>
            <w:tcW w:type="dxa" w:w="6120"/>
            <w:vAlign w:val="center"/>
            <w:tcMar>
              <w:top w:w="70" w:type="dxa"/>
              <w:start w:w="85" w:type="dxa"/>
              <w:bottom w:w="70" w:type="dxa"/>
              <w:end w:w="85" w:type="dxa"/>
            </w:tcMar>
            <w:shd w:fill="F4F6F7"/>
          </w:tcPr>
          <w:p>
            <w:pPr>
              <w:spacing w:after="0" w:before="0"/>
            </w:pPr>
            <w:r/>
            <w:r>
              <w:rPr>
                <w:rFonts w:ascii="Aptos" w:hAnsi="Aptos"/>
                <w:b w:val="0"/>
                <w:color w:val="26333D"/>
                <w:sz w:val="15"/>
              </w:rPr>
              <w:t>Implement within approved window and configuration.</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Change ticket / deployment record</w:t>
            </w:r>
          </w:p>
        </w:tc>
      </w:tr>
      <w:tr>
        <w:trPr>
          <w:cantSplit/>
        </w:trPr>
        <w:tc>
          <w:tcPr>
            <w:tcW w:type="dxa" w:w="648"/>
            <w:vAlign w:val="center"/>
            <w:tcMar>
              <w:top w:w="70" w:type="dxa"/>
              <w:start w:w="85" w:type="dxa"/>
              <w:bottom w:w="70" w:type="dxa"/>
              <w:end w:w="85" w:type="dxa"/>
            </w:tcMar>
          </w:tcPr>
          <w:p>
            <w:pPr>
              <w:spacing w:after="0" w:before="0"/>
            </w:pPr>
            <w:r/>
            <w:r>
              <w:rPr>
                <w:rFonts w:ascii="Aptos" w:hAnsi="Aptos"/>
                <w:b w:val="0"/>
                <w:color w:val="26333D"/>
                <w:sz w:val="15"/>
              </w:rPr>
              <w:t>9</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5"/>
              </w:rPr>
              <w:t>Verify</w:t>
            </w:r>
          </w:p>
        </w:tc>
        <w:tc>
          <w:tcPr>
            <w:tcW w:type="dxa" w:w="6120"/>
            <w:vAlign w:val="center"/>
            <w:tcMar>
              <w:top w:w="70" w:type="dxa"/>
              <w:start w:w="85" w:type="dxa"/>
              <w:bottom w:w="70" w:type="dxa"/>
              <w:end w:w="85" w:type="dxa"/>
            </w:tcMar>
          </w:tcPr>
          <w:p>
            <w:pPr>
              <w:spacing w:after="0" w:before="0"/>
            </w:pPr>
            <w:r/>
            <w:r>
              <w:rPr>
                <w:rFonts w:ascii="Aptos" w:hAnsi="Aptos"/>
                <w:b w:val="0"/>
                <w:color w:val="26333D"/>
                <w:sz w:val="15"/>
              </w:rPr>
              <w:t>Confirm production behavior, controls, monitoring and rollback readiness.</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CM-05 / CM-09</w:t>
            </w:r>
          </w:p>
        </w:tc>
      </w:tr>
      <w:tr>
        <w:trPr>
          <w:cantSplit/>
        </w:trPr>
        <w:tc>
          <w:tcPr>
            <w:tcW w:type="dxa" w:w="648"/>
            <w:vAlign w:val="center"/>
            <w:tcMar>
              <w:top w:w="70" w:type="dxa"/>
              <w:start w:w="85" w:type="dxa"/>
              <w:bottom w:w="70" w:type="dxa"/>
              <w:end w:w="85" w:type="dxa"/>
            </w:tcMar>
            <w:shd w:fill="F4F6F7"/>
          </w:tcPr>
          <w:p>
            <w:pPr>
              <w:spacing w:after="0" w:before="0"/>
            </w:pPr>
            <w:r/>
            <w:r>
              <w:rPr>
                <w:rFonts w:ascii="Aptos" w:hAnsi="Aptos"/>
                <w:b w:val="0"/>
                <w:color w:val="26333D"/>
                <w:sz w:val="15"/>
              </w:rPr>
              <w:t>10</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5"/>
              </w:rPr>
              <w:t>Close &amp; monitor</w:t>
            </w:r>
          </w:p>
        </w:tc>
        <w:tc>
          <w:tcPr>
            <w:tcW w:type="dxa" w:w="6120"/>
            <w:vAlign w:val="center"/>
            <w:tcMar>
              <w:top w:w="70" w:type="dxa"/>
              <w:start w:w="85" w:type="dxa"/>
              <w:bottom w:w="70" w:type="dxa"/>
              <w:end w:w="85" w:type="dxa"/>
            </w:tcMar>
            <w:shd w:fill="F4F6F7"/>
          </w:tcPr>
          <w:p>
            <w:pPr>
              <w:spacing w:after="0" w:before="0"/>
            </w:pPr>
            <w:r/>
            <w:r>
              <w:rPr>
                <w:rFonts w:ascii="Aptos" w:hAnsi="Aptos"/>
                <w:b w:val="0"/>
                <w:color w:val="26333D"/>
                <w:sz w:val="15"/>
              </w:rPr>
              <w:t>Update inventory/version, supersede evidence, track actions, monitor and schedule reassessment.</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CM-09</w:t>
            </w:r>
          </w:p>
        </w:tc>
      </w:tr>
    </w:tbl>
    <w:p>
      <w:pPr>
        <w:spacing w:after="0"/>
      </w:pPr>
    </w:p>
    <w:p>
      <w:pPr>
        <w:pStyle w:val="Heading2"/>
      </w:pPr>
      <w:r>
        <w:t>5.1 Stop conditions</w:t>
      </w:r>
    </w:p>
    <w:p>
      <w:pPr>
        <w:spacing w:after="40"/>
      </w:pPr>
      <w:r>
        <w:t>☐ The change differs materially from the approved request.</w:t>
      </w:r>
    </w:p>
    <w:p>
      <w:pPr>
        <w:spacing w:after="40"/>
      </w:pPr>
      <w:r>
        <w:t>☐ Required testing fails or evidence is incomplete.</w:t>
      </w:r>
    </w:p>
    <w:p>
      <w:pPr>
        <w:spacing w:after="40"/>
      </w:pPr>
      <w:r>
        <w:t>☐ Residual risk becomes Critical or outside delegated appetite.</w:t>
      </w:r>
    </w:p>
    <w:p>
      <w:pPr>
        <w:spacing w:after="40"/>
      </w:pPr>
      <w:r>
        <w:t>☐ Human oversight is not available or cannot operate as designed.</w:t>
      </w:r>
    </w:p>
    <w:p>
      <w:pPr>
        <w:spacing w:after="40"/>
      </w:pPr>
      <w:r>
        <w:t>☐ A legal/privacy/security/safety reviewer identifies a blocking issue.</w:t>
      </w:r>
    </w:p>
    <w:p>
      <w:pPr>
        <w:spacing w:after="40"/>
      </w:pPr>
      <w:r>
        <w:t>☐ Rollback/fallback is unavailable for a change requiring it.</w:t>
      </w:r>
    </w:p>
    <w:p>
      <w:pPr>
        <w:spacing w:after="40"/>
      </w:pPr>
      <w:r>
        <w:t>☐ A third-party change invalidates a material contractual or assurance assumption.</w:t>
      </w:r>
    </w:p>
    <w:p>
      <w:pPr>
        <w:spacing w:after="40"/>
      </w:pPr>
      <w:r>
        <w:t>☐ Production behavior after release materially deviates from validated behavior.</w:t>
      </w:r>
    </w:p>
    <w:p>
      <w:r>
        <w:br w:type="page"/>
      </w:r>
    </w:p>
    <w:p>
      <w:pPr>
        <w:pStyle w:val="Heading1"/>
      </w:pPr>
      <w:r>
        <w:t>6. Roles, Decision Rights and Segregation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70" w:type="dxa"/>
              <w:start w:w="85" w:type="dxa"/>
              <w:bottom w:w="70" w:type="dxa"/>
              <w:end w:w="85" w:type="dxa"/>
            </w:tcMar>
            <w:shd w:fill="173B57"/>
          </w:tcPr>
          <w:p>
            <w:pPr>
              <w:spacing w:after="0" w:before="0"/>
            </w:pPr>
            <w:r/>
            <w:r>
              <w:rPr>
                <w:rFonts w:ascii="Aptos" w:hAnsi="Aptos"/>
                <w:b/>
                <w:color w:val="FFFFFF"/>
                <w:sz w:val="14"/>
              </w:rPr>
              <w:t>Role</w:t>
            </w:r>
          </w:p>
        </w:tc>
        <w:tc>
          <w:tcPr>
            <w:tcW w:type="dxa" w:w="4752"/>
            <w:vAlign w:val="center"/>
            <w:tcMar>
              <w:top w:w="70" w:type="dxa"/>
              <w:start w:w="85" w:type="dxa"/>
              <w:bottom w:w="70" w:type="dxa"/>
              <w:end w:w="85" w:type="dxa"/>
            </w:tcMar>
            <w:shd w:fill="173B57"/>
          </w:tcPr>
          <w:p>
            <w:pPr>
              <w:spacing w:after="0" w:before="0"/>
            </w:pPr>
            <w:r/>
            <w:r>
              <w:rPr>
                <w:rFonts w:ascii="Aptos" w:hAnsi="Aptos"/>
                <w:b/>
                <w:color w:val="FFFFFF"/>
                <w:sz w:val="14"/>
              </w:rPr>
              <w:t>Responsibility</w:t>
            </w:r>
          </w:p>
        </w:tc>
        <w:tc>
          <w:tcPr>
            <w:tcW w:type="dxa" w:w="2088"/>
            <w:vAlign w:val="center"/>
            <w:tcMar>
              <w:top w:w="70" w:type="dxa"/>
              <w:start w:w="85" w:type="dxa"/>
              <w:bottom w:w="70" w:type="dxa"/>
              <w:end w:w="85" w:type="dxa"/>
            </w:tcMar>
            <w:shd w:fill="173B57"/>
          </w:tcPr>
          <w:p>
            <w:pPr>
              <w:spacing w:after="0" w:before="0"/>
            </w:pPr>
            <w:r/>
            <w:r>
              <w:rPr>
                <w:rFonts w:ascii="Aptos" w:hAnsi="Aptos"/>
                <w:b/>
                <w:color w:val="FFFFFF"/>
                <w:sz w:val="14"/>
              </w:rPr>
              <w:t>Independence / rule</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Business / AI System Owner</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Owns business rationale, intended purpose, operational impact, change request and treatment actions.</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Cannot self-approve High/Critical residual risk.</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Technical Owner / Data &amp; AI</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Owns technical design, versioning, implementation, test evidence, monitoring and rollback.</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Cannot determine legal classification alone.</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AI Governance Lead — Eleanor Duckford</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Runs classification, coordinates reassessment, maintains change log/evidence and prepares committee decisions.</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Second-line coordination/challenge.</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CRCO — Reginald Duckman</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Governance sponsor; approves/escalates material risk decisions according to authority.</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Cannot replace specialist Legal/Privacy/Security judgments.</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CISO — Cassandra Duckley</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Reviews AI security, access, integration, prompt/RAG, supply-chain and incident implications.</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Mandatory where security trigger is present.</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General Counsel — Amelia Duckett</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Reviews contractual/legal implications, legal role/classification and material regulatory changes.</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Legal interpretation separate from risk score.</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DPO — Delia Duckham</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Advises on personal-data processing, DPIA need, retention, rights and transfer implications.</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Independent privacy role preserved.</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Head of Data &amp; AI — Dr. Ada Duckfield</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Provides model/data architecture and validation evidence.</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Technical SME.</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Procurement &amp; Vendor Assurance — Percival Duckworth</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Coordinates supplier change notices, due diligence, contract and exit impacts.</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Required for third-party AI changes.</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HR / CPO — Beatrice Van Duck</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Mandatory domain review for workforce/recruitment changes.</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Enhanced review for DuckTalent.</w:t>
            </w:r>
          </w:p>
        </w:tc>
      </w:tr>
      <w:tr>
        <w:trPr>
          <w:cantSplit/>
        </w:trPr>
        <w:tc>
          <w:tcPr>
            <w:tcW w:type="dxa" w:w="2880"/>
            <w:vAlign w:val="center"/>
            <w:tcMar>
              <w:top w:w="70" w:type="dxa"/>
              <w:start w:w="85" w:type="dxa"/>
              <w:bottom w:w="70" w:type="dxa"/>
              <w:end w:w="85" w:type="dxa"/>
            </w:tcMar>
          </w:tcPr>
          <w:p>
            <w:pPr>
              <w:spacing w:after="0" w:before="0"/>
            </w:pPr>
            <w:r/>
            <w:r>
              <w:rPr>
                <w:rFonts w:ascii="Aptos" w:hAnsi="Aptos"/>
                <w:b w:val="0"/>
                <w:color w:val="26333D"/>
                <w:sz w:val="14"/>
              </w:rPr>
              <w:t>Product Safety &amp; Quality — Quentin Duckwell</w:t>
            </w:r>
          </w:p>
        </w:tc>
        <w:tc>
          <w:tcPr>
            <w:tcW w:type="dxa" w:w="4752"/>
            <w:vAlign w:val="center"/>
            <w:tcMar>
              <w:top w:w="70" w:type="dxa"/>
              <w:start w:w="85" w:type="dxa"/>
              <w:bottom w:w="70" w:type="dxa"/>
              <w:end w:w="85" w:type="dxa"/>
            </w:tcMar>
          </w:tcPr>
          <w:p>
            <w:pPr>
              <w:spacing w:after="0" w:before="0"/>
            </w:pPr>
            <w:r/>
            <w:r>
              <w:rPr>
                <w:rFonts w:ascii="Aptos" w:hAnsi="Aptos"/>
                <w:b w:val="0"/>
                <w:color w:val="26333D"/>
                <w:sz w:val="14"/>
              </w:rPr>
              <w:t>Mandatory review where product quality/safety may change.</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Required for relevant DuckDesign/WingInspect changes.</w:t>
            </w:r>
          </w:p>
        </w:tc>
      </w:tr>
      <w:tr>
        <w:trPr>
          <w:cantSplit/>
        </w:trPr>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Internal Audit — Penelope Duckins</w:t>
            </w:r>
          </w:p>
        </w:tc>
        <w:tc>
          <w:tcPr>
            <w:tcW w:type="dxa" w:w="4752"/>
            <w:vAlign w:val="center"/>
            <w:tcMar>
              <w:top w:w="70" w:type="dxa"/>
              <w:start w:w="85" w:type="dxa"/>
              <w:bottom w:w="70" w:type="dxa"/>
              <w:end w:w="85" w:type="dxa"/>
            </w:tcMar>
            <w:shd w:fill="F4F6F7"/>
          </w:tcPr>
          <w:p>
            <w:pPr>
              <w:spacing w:after="0" w:before="0"/>
            </w:pPr>
            <w:r/>
            <w:r>
              <w:rPr>
                <w:rFonts w:ascii="Aptos" w:hAnsi="Aptos"/>
                <w:b w:val="0"/>
                <w:color w:val="26333D"/>
                <w:sz w:val="14"/>
              </w:rPr>
              <w:t>May independently assess the process and evidence.</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Does not own or approve first/second-line controls.</w:t>
            </w:r>
          </w:p>
        </w:tc>
      </w:tr>
    </w:tbl>
    <w:p>
      <w:pPr>
        <w:spacing w:after="0"/>
      </w:pPr>
    </w:p>
    <w:p>
      <w:pPr>
        <w:pStyle w:val="Heading2"/>
      </w:pPr>
      <w:r>
        <w:t>6.1 Minimum approval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5"/>
              </w:rPr>
              <w:t>Change class</w:t>
            </w:r>
          </w:p>
        </w:tc>
        <w:tc>
          <w:tcPr>
            <w:tcW w:type="dxa" w:w="3384"/>
            <w:vAlign w:val="center"/>
            <w:tcMar>
              <w:top w:w="70" w:type="dxa"/>
              <w:start w:w="85" w:type="dxa"/>
              <w:bottom w:w="70" w:type="dxa"/>
              <w:end w:w="85" w:type="dxa"/>
            </w:tcMar>
            <w:shd w:fill="173B57"/>
          </w:tcPr>
          <w:p>
            <w:pPr>
              <w:spacing w:after="0" w:before="0"/>
            </w:pPr>
            <w:r/>
            <w:r>
              <w:rPr>
                <w:rFonts w:ascii="Aptos" w:hAnsi="Aptos"/>
                <w:b/>
                <w:color w:val="FFFFFF"/>
                <w:sz w:val="15"/>
              </w:rPr>
              <w:t>Minimum approver(s)</w:t>
            </w:r>
          </w:p>
        </w:tc>
        <w:tc>
          <w:tcPr>
            <w:tcW w:type="dxa" w:w="3816"/>
            <w:vAlign w:val="center"/>
            <w:tcMar>
              <w:top w:w="70" w:type="dxa"/>
              <w:start w:w="85" w:type="dxa"/>
              <w:bottom w:w="70" w:type="dxa"/>
              <w:end w:w="85" w:type="dxa"/>
            </w:tcMar>
            <w:shd w:fill="173B57"/>
          </w:tcPr>
          <w:p>
            <w:pPr>
              <w:spacing w:after="0" w:before="0"/>
            </w:pPr>
            <w:r/>
            <w:r>
              <w:rPr>
                <w:rFonts w:ascii="Aptos" w:hAnsi="Aptos"/>
                <w:b/>
                <w:color w:val="FFFFFF"/>
                <w:sz w:val="15"/>
              </w:rPr>
              <w:t>Specialist review</w:t>
            </w:r>
          </w:p>
        </w:tc>
        <w:tc>
          <w:tcPr>
            <w:tcW w:type="dxa" w:w="1224"/>
            <w:vAlign w:val="center"/>
            <w:tcMar>
              <w:top w:w="70" w:type="dxa"/>
              <w:start w:w="85" w:type="dxa"/>
              <w:bottom w:w="70" w:type="dxa"/>
              <w:end w:w="85" w:type="dxa"/>
            </w:tcMar>
            <w:shd w:fill="173B57"/>
          </w:tcPr>
          <w:p>
            <w:pPr>
              <w:spacing w:after="0" w:before="0"/>
            </w:pPr>
            <w:r/>
            <w:r>
              <w:rPr>
                <w:rFonts w:ascii="Aptos" w:hAnsi="Aptos"/>
                <w:b/>
                <w:color w:val="FFFFFF"/>
                <w:sz w:val="15"/>
              </w:rPr>
              <w:t>Committee</w:t>
            </w:r>
          </w:p>
        </w:tc>
      </w:tr>
      <w:tr>
        <w:trPr>
          <w:cantSplit/>
        </w:trPr>
        <w:tc>
          <w:tcPr>
            <w:tcW w:type="dxa" w:w="1440"/>
            <w:vAlign w:val="center"/>
            <w:tcMar>
              <w:top w:w="70" w:type="dxa"/>
              <w:start w:w="85" w:type="dxa"/>
              <w:bottom w:w="70" w:type="dxa"/>
              <w:end w:w="85" w:type="dxa"/>
            </w:tcMar>
          </w:tcPr>
          <w:p>
            <w:pPr>
              <w:spacing w:after="0" w:before="0"/>
            </w:pPr>
            <w:r/>
            <w:r>
              <w:rPr>
                <w:rFonts w:ascii="Aptos" w:hAnsi="Aptos"/>
                <w:b w:val="0"/>
                <w:color w:val="26333D"/>
                <w:sz w:val="15"/>
              </w:rPr>
              <w:t>CM-C0</w:t>
            </w:r>
          </w:p>
        </w:tc>
        <w:tc>
          <w:tcPr>
            <w:tcW w:type="dxa" w:w="3384"/>
            <w:vAlign w:val="center"/>
            <w:tcMar>
              <w:top w:w="70" w:type="dxa"/>
              <w:start w:w="85" w:type="dxa"/>
              <w:bottom w:w="70" w:type="dxa"/>
              <w:end w:w="85" w:type="dxa"/>
            </w:tcMar>
          </w:tcPr>
          <w:p>
            <w:pPr>
              <w:spacing w:after="0" w:before="0"/>
            </w:pPr>
            <w:r/>
            <w:r>
              <w:rPr>
                <w:rFonts w:ascii="Aptos" w:hAnsi="Aptos"/>
                <w:b w:val="0"/>
                <w:color w:val="26333D"/>
                <w:sz w:val="15"/>
              </w:rPr>
              <w:t>Record owner / Technical Owner</w:t>
            </w:r>
          </w:p>
        </w:tc>
        <w:tc>
          <w:tcPr>
            <w:tcW w:type="dxa" w:w="3816"/>
            <w:vAlign w:val="center"/>
            <w:tcMar>
              <w:top w:w="70" w:type="dxa"/>
              <w:start w:w="85" w:type="dxa"/>
              <w:bottom w:w="70" w:type="dxa"/>
              <w:end w:w="85" w:type="dxa"/>
            </w:tcMar>
          </w:tcPr>
          <w:p>
            <w:pPr>
              <w:spacing w:after="0" w:before="0"/>
            </w:pPr>
            <w:r/>
            <w:r>
              <w:rPr>
                <w:rFonts w:ascii="Aptos" w:hAnsi="Aptos"/>
                <w:b w:val="0"/>
                <w:color w:val="26333D"/>
                <w:sz w:val="15"/>
              </w:rPr>
              <w:t>None unless screen indicates hidden impact</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5"/>
              </w:rPr>
              <w:t>No</w:t>
            </w:r>
          </w:p>
        </w:tc>
      </w:tr>
      <w:tr>
        <w:trPr>
          <w:cantSplit/>
        </w:trPr>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5"/>
              </w:rPr>
              <w:t>CM-C1</w:t>
            </w:r>
          </w:p>
        </w:tc>
        <w:tc>
          <w:tcPr>
            <w:tcW w:type="dxa" w:w="3384"/>
            <w:vAlign w:val="center"/>
            <w:tcMar>
              <w:top w:w="70" w:type="dxa"/>
              <w:start w:w="85" w:type="dxa"/>
              <w:bottom w:w="70" w:type="dxa"/>
              <w:end w:w="85" w:type="dxa"/>
            </w:tcMar>
            <w:shd w:fill="F4F6F7"/>
          </w:tcPr>
          <w:p>
            <w:pPr>
              <w:spacing w:after="0" w:before="0"/>
            </w:pPr>
            <w:r/>
            <w:r>
              <w:rPr>
                <w:rFonts w:ascii="Aptos" w:hAnsi="Aptos"/>
                <w:b w:val="0"/>
                <w:color w:val="26333D"/>
                <w:sz w:val="15"/>
              </w:rPr>
              <w:t>Business Owner + Technical Owner</w:t>
            </w:r>
          </w:p>
        </w:tc>
        <w:tc>
          <w:tcPr>
            <w:tcW w:type="dxa" w:w="3816"/>
            <w:vAlign w:val="center"/>
            <w:tcMar>
              <w:top w:w="70" w:type="dxa"/>
              <w:start w:w="85" w:type="dxa"/>
              <w:bottom w:w="70" w:type="dxa"/>
              <w:end w:w="85" w:type="dxa"/>
            </w:tcMar>
            <w:shd w:fill="F4F6F7"/>
          </w:tcPr>
          <w:p>
            <w:pPr>
              <w:spacing w:after="0" w:before="0"/>
            </w:pPr>
            <w:r/>
            <w:r>
              <w:rPr>
                <w:rFonts w:ascii="Aptos" w:hAnsi="Aptos"/>
                <w:b w:val="0"/>
                <w:color w:val="26333D"/>
                <w:sz w:val="15"/>
              </w:rPr>
              <w:t>AI Governance as needed</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5"/>
              </w:rPr>
              <w:t>Only if risk or gate changes</w:t>
            </w:r>
          </w:p>
        </w:tc>
      </w:tr>
      <w:tr>
        <w:trPr>
          <w:cantSplit/>
        </w:trPr>
        <w:tc>
          <w:tcPr>
            <w:tcW w:type="dxa" w:w="1440"/>
            <w:vAlign w:val="center"/>
            <w:tcMar>
              <w:top w:w="70" w:type="dxa"/>
              <w:start w:w="85" w:type="dxa"/>
              <w:bottom w:w="70" w:type="dxa"/>
              <w:end w:w="85" w:type="dxa"/>
            </w:tcMar>
          </w:tcPr>
          <w:p>
            <w:pPr>
              <w:spacing w:after="0" w:before="0"/>
            </w:pPr>
            <w:r/>
            <w:r>
              <w:rPr>
                <w:rFonts w:ascii="Aptos" w:hAnsi="Aptos"/>
                <w:b w:val="0"/>
                <w:color w:val="26333D"/>
                <w:sz w:val="15"/>
              </w:rPr>
              <w:t>CM-C2</w:t>
            </w:r>
          </w:p>
        </w:tc>
        <w:tc>
          <w:tcPr>
            <w:tcW w:type="dxa" w:w="3384"/>
            <w:vAlign w:val="center"/>
            <w:tcMar>
              <w:top w:w="70" w:type="dxa"/>
              <w:start w:w="85" w:type="dxa"/>
              <w:bottom w:w="70" w:type="dxa"/>
              <w:end w:w="85" w:type="dxa"/>
            </w:tcMar>
          </w:tcPr>
          <w:p>
            <w:pPr>
              <w:spacing w:after="0" w:before="0"/>
            </w:pPr>
            <w:r/>
            <w:r>
              <w:rPr>
                <w:rFonts w:ascii="Aptos" w:hAnsi="Aptos"/>
                <w:b w:val="0"/>
                <w:color w:val="26333D"/>
                <w:sz w:val="15"/>
              </w:rPr>
              <w:t>Business Owner + Technical Owner + AI Governance</w:t>
            </w:r>
          </w:p>
        </w:tc>
        <w:tc>
          <w:tcPr>
            <w:tcW w:type="dxa" w:w="3816"/>
            <w:vAlign w:val="center"/>
            <w:tcMar>
              <w:top w:w="70" w:type="dxa"/>
              <w:start w:w="85" w:type="dxa"/>
              <w:bottom w:w="70" w:type="dxa"/>
              <w:end w:w="85" w:type="dxa"/>
            </w:tcMar>
          </w:tcPr>
          <w:p>
            <w:pPr>
              <w:spacing w:after="0" w:before="0"/>
            </w:pPr>
            <w:r/>
            <w:r>
              <w:rPr>
                <w:rFonts w:ascii="Aptos" w:hAnsi="Aptos"/>
                <w:b w:val="0"/>
                <w:color w:val="26333D"/>
                <w:sz w:val="15"/>
              </w:rPr>
              <w:t>Security/Privacy/Legal/HR/Safety/Procurement as triggered</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5"/>
              </w:rPr>
              <w:t>Yes where residual High, gate changes, or policy requires</w:t>
            </w:r>
          </w:p>
        </w:tc>
      </w:tr>
      <w:tr>
        <w:trPr>
          <w:cantSplit/>
        </w:trPr>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5"/>
              </w:rPr>
              <w:t>CM-C3</w:t>
            </w:r>
          </w:p>
        </w:tc>
        <w:tc>
          <w:tcPr>
            <w:tcW w:type="dxa" w:w="3384"/>
            <w:vAlign w:val="center"/>
            <w:tcMar>
              <w:top w:w="70" w:type="dxa"/>
              <w:start w:w="85" w:type="dxa"/>
              <w:bottom w:w="70" w:type="dxa"/>
              <w:end w:w="85" w:type="dxa"/>
            </w:tcMar>
            <w:shd w:fill="F4F6F7"/>
          </w:tcPr>
          <w:p>
            <w:pPr>
              <w:spacing w:after="0" w:before="0"/>
            </w:pPr>
            <w:r/>
            <w:r>
              <w:rPr>
                <w:rFonts w:ascii="Aptos" w:hAnsi="Aptos"/>
                <w:b w:val="0"/>
                <w:color w:val="26333D"/>
                <w:sz w:val="15"/>
              </w:rPr>
              <w:t>AI Governance Committee + CRCO</w:t>
            </w:r>
          </w:p>
        </w:tc>
        <w:tc>
          <w:tcPr>
            <w:tcW w:type="dxa" w:w="3816"/>
            <w:vAlign w:val="center"/>
            <w:tcMar>
              <w:top w:w="70" w:type="dxa"/>
              <w:start w:w="85" w:type="dxa"/>
              <w:bottom w:w="70" w:type="dxa"/>
              <w:end w:w="85" w:type="dxa"/>
            </w:tcMar>
            <w:shd w:fill="F4F6F7"/>
          </w:tcPr>
          <w:p>
            <w:pPr>
              <w:spacing w:after="0" w:before="0"/>
            </w:pPr>
            <w:r/>
            <w:r>
              <w:rPr>
                <w:rFonts w:ascii="Aptos" w:hAnsi="Aptos"/>
                <w:b w:val="0"/>
                <w:color w:val="26333D"/>
                <w:sz w:val="15"/>
              </w:rPr>
              <w:t>All triggered specialists; executive escalation where Critical or outside appetite</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5"/>
              </w:rPr>
              <w:t>Yes</w:t>
            </w:r>
          </w:p>
        </w:tc>
      </w:tr>
    </w:tbl>
    <w:p>
      <w:pPr>
        <w:spacing w:after="0"/>
      </w:pPr>
    </w:p>
    <w:p>
      <w:pPr>
        <w:pStyle w:val="Heading1"/>
      </w:pPr>
      <w:r>
        <w:t>7. Reassessment Trigger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448"/>
            <w:vAlign w:val="center"/>
            <w:tcMar>
              <w:top w:w="70" w:type="dxa"/>
              <w:start w:w="85" w:type="dxa"/>
              <w:bottom w:w="70" w:type="dxa"/>
              <w:end w:w="85" w:type="dxa"/>
            </w:tcMar>
            <w:shd w:fill="173B57"/>
          </w:tcPr>
          <w:p>
            <w:pPr>
              <w:spacing w:after="0" w:before="0"/>
            </w:pPr>
            <w:r/>
            <w:r>
              <w:rPr>
                <w:rFonts w:ascii="Aptos" w:hAnsi="Aptos"/>
                <w:b/>
                <w:color w:val="FFFFFF"/>
                <w:sz w:val="14"/>
              </w:rPr>
              <w:t>Trigger</w:t>
            </w:r>
          </w:p>
        </w:tc>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4"/>
              </w:rPr>
              <w:t>Default class</w:t>
            </w:r>
          </w:p>
        </w:tc>
        <w:tc>
          <w:tcPr>
            <w:tcW w:type="dxa" w:w="5256"/>
            <w:vAlign w:val="center"/>
            <w:tcMar>
              <w:top w:w="70" w:type="dxa"/>
              <w:start w:w="85" w:type="dxa"/>
              <w:bottom w:w="70" w:type="dxa"/>
              <w:end w:w="85" w:type="dxa"/>
            </w:tcMar>
            <w:shd w:fill="173B57"/>
          </w:tcPr>
          <w:p>
            <w:pPr>
              <w:spacing w:after="0" w:before="0"/>
            </w:pPr>
            <w:r/>
            <w:r>
              <w:rPr>
                <w:rFonts w:ascii="Aptos" w:hAnsi="Aptos"/>
                <w:b/>
                <w:color w:val="FFFFFF"/>
                <w:sz w:val="14"/>
              </w:rPr>
              <w:t>Artifacts/domains to reopen</w:t>
            </w:r>
          </w:p>
        </w:tc>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4"/>
              </w:rPr>
              <w:t>Reassessment</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Intended purpose / business decision</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Inventory, legal triage, AIA, risk assessment, human oversight, approval gate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Autonomy / decision authority</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AIA, risk, human oversight, legal, safety/HR as applicable</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Model/provider/version</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Technical validation, risk, security, vendor evidence; legal if role/classification may change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Risk-based</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Training/fine-tuning data</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Data governance, privacy, fairness, security, model validation</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Risk-based</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RAG / knowledge source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Data access, privacy, security, prompt/RAG testing, content quality</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 for material sources</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Connector/API/tool/agent</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Security, permissions, data flow, third party, human oversight</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Threshold / decision rule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Performance, false positive/negative, fairness/safety, operational impacts</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User / affected population</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AIA, privacy, accessibility, legal, human oversight</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Geography / jurisdiction</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Legal/privacy applicability, notices, transfers, language performance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Guardrail / filter / system prompt</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CM-C2</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Security, harmful-output, red-team/regression tests</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Human oversight / fallback</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Oversight standard, training, approval, risk</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Monitoring / logging</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CM-C1 to 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Monitoring standard, privacy/security, incident detection</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Risk-based</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Vendor terms / retention / training / subprocessors</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Procurement, Legal, Privacy, Security, DPA/contract, exit</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shd w:fill="F4F6F7"/>
          </w:tcPr>
          <w:p>
            <w:pPr>
              <w:spacing w:after="0" w:before="0"/>
            </w:pPr>
            <w:r/>
            <w:r>
              <w:rPr>
                <w:rFonts w:ascii="Aptos" w:hAnsi="Aptos"/>
                <w:b w:val="0"/>
                <w:color w:val="26333D"/>
                <w:sz w:val="14"/>
              </w:rPr>
              <w:t>Incident / drift / complaint / control failure</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shd w:fill="F4F6F7"/>
          </w:tcPr>
          <w:p>
            <w:pPr>
              <w:spacing w:after="0" w:before="0"/>
            </w:pPr>
            <w:r/>
            <w:r>
              <w:rPr>
                <w:rFonts w:ascii="Aptos" w:hAnsi="Aptos"/>
                <w:b w:val="0"/>
                <w:color w:val="26333D"/>
                <w:sz w:val="14"/>
              </w:rPr>
              <w:t>Risk assessment, incident record, relevant specialist review</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Mandatory</w:t>
            </w:r>
          </w:p>
        </w:tc>
      </w:tr>
      <w:tr>
        <w:trPr>
          <w:cantSplit/>
        </w:trPr>
        <w:tc>
          <w:tcPr>
            <w:tcW w:type="dxa" w:w="2448"/>
            <w:vAlign w:val="center"/>
            <w:tcMar>
              <w:top w:w="70" w:type="dxa"/>
              <w:start w:w="85" w:type="dxa"/>
              <w:bottom w:w="70" w:type="dxa"/>
              <w:end w:w="85" w:type="dxa"/>
            </w:tcMar>
          </w:tcPr>
          <w:p>
            <w:pPr>
              <w:spacing w:after="0" w:before="0"/>
            </w:pPr>
            <w:r/>
            <w:r>
              <w:rPr>
                <w:rFonts w:ascii="Aptos" w:hAnsi="Aptos"/>
                <w:b w:val="0"/>
                <w:color w:val="26333D"/>
                <w:sz w:val="14"/>
              </w:rPr>
              <w:t>Legal/regulatory change</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5256"/>
            <w:vAlign w:val="center"/>
            <w:tcMar>
              <w:top w:w="70" w:type="dxa"/>
              <w:start w:w="85" w:type="dxa"/>
              <w:bottom w:w="70" w:type="dxa"/>
              <w:end w:w="85" w:type="dxa"/>
            </w:tcMar>
          </w:tcPr>
          <w:p>
            <w:pPr>
              <w:spacing w:after="0" w:before="0"/>
            </w:pPr>
            <w:r/>
            <w:r>
              <w:rPr>
                <w:rFonts w:ascii="Aptos" w:hAnsi="Aptos"/>
                <w:b w:val="0"/>
                <w:color w:val="26333D"/>
                <w:sz w:val="14"/>
              </w:rPr>
              <w:t>Applicability review and affected governance artifacts</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Mandatory when relevant</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E4F0EF"/>
            <w:tcMar>
              <w:top w:w="120" w:type="dxa"/>
              <w:start w:w="140" w:type="dxa"/>
              <w:bottom w:w="120" w:type="dxa"/>
              <w:end w:w="140" w:type="dxa"/>
            </w:tcMar>
            <w:tcBorders>
              <w:left w:val="single" w:sz="18" w:color="2D6F6D"/>
            </w:tcBorders>
          </w:tcPr>
          <w:p>
            <w:pPr>
              <w:spacing w:after="60"/>
            </w:pPr>
            <w:r>
              <w:rPr>
                <w:b/>
                <w:color w:val="173B57"/>
                <w:sz w:val="20"/>
              </w:rPr>
              <w:t>Evidence rule</w:t>
            </w:r>
          </w:p>
          <w:p>
            <w:pPr>
              <w:spacing w:after="0"/>
            </w:pPr>
            <w:r>
              <w:rPr>
                <w:color w:val="26333D"/>
                <w:sz w:val="18"/>
              </w:rPr>
              <w:t>A prior approval does not automatically transfer to the changed system. The change owner must identify which prior evidence remains valid, which evidence is superseded, and which controls require new operating evidence before release.</w:t>
            </w:r>
          </w:p>
        </w:tc>
      </w:tr>
    </w:tbl>
    <w:p>
      <w:pPr>
        <w:spacing w:after="0"/>
      </w:pPr>
    </w:p>
    <w:p>
      <w:pPr>
        <w:pStyle w:val="Heading1"/>
      </w:pPr>
      <w:r>
        <w:t>8. Risk-Proportionate Change Validation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00"/>
            <w:vAlign w:val="center"/>
            <w:tcMar>
              <w:top w:w="70" w:type="dxa"/>
              <w:start w:w="85" w:type="dxa"/>
              <w:bottom w:w="70" w:type="dxa"/>
              <w:end w:w="85" w:type="dxa"/>
            </w:tcMar>
            <w:shd w:fill="173B57"/>
          </w:tcPr>
          <w:p>
            <w:pPr>
              <w:spacing w:after="0" w:before="0"/>
            </w:pPr>
            <w:r/>
            <w:r>
              <w:rPr>
                <w:rFonts w:ascii="Aptos" w:hAnsi="Aptos"/>
                <w:b/>
                <w:color w:val="FFFFFF"/>
                <w:sz w:val="14"/>
              </w:rPr>
              <w:t>Validation</w:t>
            </w:r>
          </w:p>
        </w:tc>
        <w:tc>
          <w:tcPr>
            <w:tcW w:type="dxa" w:w="2520"/>
            <w:vAlign w:val="center"/>
            <w:tcMar>
              <w:top w:w="70" w:type="dxa"/>
              <w:start w:w="85" w:type="dxa"/>
              <w:bottom w:w="70" w:type="dxa"/>
              <w:end w:w="85" w:type="dxa"/>
            </w:tcMar>
            <w:shd w:fill="173B57"/>
          </w:tcPr>
          <w:p>
            <w:pPr>
              <w:spacing w:after="0" w:before="0"/>
            </w:pPr>
            <w:r/>
            <w:r>
              <w:rPr>
                <w:rFonts w:ascii="Aptos" w:hAnsi="Aptos"/>
                <w:b/>
                <w:color w:val="FFFFFF"/>
                <w:sz w:val="14"/>
              </w:rPr>
              <w:t>When required</w:t>
            </w:r>
          </w:p>
        </w:tc>
        <w:tc>
          <w:tcPr>
            <w:tcW w:type="dxa" w:w="4392"/>
            <w:vAlign w:val="center"/>
            <w:tcMar>
              <w:top w:w="70" w:type="dxa"/>
              <w:start w:w="85" w:type="dxa"/>
              <w:bottom w:w="70" w:type="dxa"/>
              <w:end w:w="85" w:type="dxa"/>
            </w:tcMar>
            <w:shd w:fill="173B57"/>
          </w:tcPr>
          <w:p>
            <w:pPr>
              <w:spacing w:after="0" w:before="0"/>
            </w:pPr>
            <w:r/>
            <w:r>
              <w:rPr>
                <w:rFonts w:ascii="Aptos" w:hAnsi="Aptos"/>
                <w:b/>
                <w:color w:val="FFFFFF"/>
                <w:sz w:val="14"/>
              </w:rPr>
              <w:t>Minimum focus</w:t>
            </w:r>
          </w:p>
        </w:tc>
        <w:tc>
          <w:tcPr>
            <w:tcW w:type="dxa" w:w="1800"/>
            <w:vAlign w:val="center"/>
            <w:tcMar>
              <w:top w:w="70" w:type="dxa"/>
              <w:start w:w="85" w:type="dxa"/>
              <w:bottom w:w="70" w:type="dxa"/>
              <w:end w:w="85" w:type="dxa"/>
            </w:tcMar>
            <w:shd w:fill="173B57"/>
          </w:tcPr>
          <w:p>
            <w:pPr>
              <w:spacing w:after="0" w:before="0"/>
            </w:pPr>
            <w:r/>
            <w:r>
              <w:rPr>
                <w:rFonts w:ascii="Aptos" w:hAnsi="Aptos"/>
                <w:b/>
                <w:color w:val="FFFFFF"/>
                <w:sz w:val="14"/>
              </w:rPr>
              <w:t>Evidence</w:t>
            </w:r>
          </w:p>
        </w:tc>
      </w:tr>
      <w:tr>
        <w:trPr>
          <w:cantSplit/>
        </w:trPr>
        <w:tc>
          <w:tcPr>
            <w:tcW w:type="dxa" w:w="1800"/>
            <w:vAlign w:val="center"/>
            <w:tcMar>
              <w:top w:w="70" w:type="dxa"/>
              <w:start w:w="85" w:type="dxa"/>
              <w:bottom w:w="70" w:type="dxa"/>
              <w:end w:w="85" w:type="dxa"/>
            </w:tcMar>
          </w:tcPr>
          <w:p>
            <w:pPr>
              <w:spacing w:after="0" w:before="0"/>
            </w:pPr>
            <w:r/>
            <w:r>
              <w:rPr>
                <w:rFonts w:ascii="Aptos" w:hAnsi="Aptos"/>
                <w:b w:val="0"/>
                <w:color w:val="26333D"/>
                <w:sz w:val="14"/>
              </w:rPr>
              <w:t>Functional/regression</w:t>
            </w:r>
          </w:p>
        </w:tc>
        <w:tc>
          <w:tcPr>
            <w:tcW w:type="dxa" w:w="2520"/>
            <w:vAlign w:val="center"/>
            <w:tcMar>
              <w:top w:w="70" w:type="dxa"/>
              <w:start w:w="85" w:type="dxa"/>
              <w:bottom w:w="70" w:type="dxa"/>
              <w:end w:w="85" w:type="dxa"/>
            </w:tcMar>
          </w:tcPr>
          <w:p>
            <w:pPr>
              <w:spacing w:after="0" w:before="0"/>
            </w:pPr>
            <w:r/>
            <w:r>
              <w:rPr>
                <w:rFonts w:ascii="Aptos" w:hAnsi="Aptos"/>
                <w:b w:val="0"/>
                <w:color w:val="26333D"/>
                <w:sz w:val="14"/>
              </w:rPr>
              <w:t>All functional changes</w:t>
            </w:r>
          </w:p>
        </w:tc>
        <w:tc>
          <w:tcPr>
            <w:tcW w:type="dxa" w:w="4392"/>
            <w:vAlign w:val="center"/>
            <w:tcMar>
              <w:top w:w="70" w:type="dxa"/>
              <w:start w:w="85" w:type="dxa"/>
              <w:bottom w:w="70" w:type="dxa"/>
              <w:end w:w="85" w:type="dxa"/>
            </w:tcMar>
          </w:tcPr>
          <w:p>
            <w:pPr>
              <w:spacing w:after="0" w:before="0"/>
            </w:pPr>
            <w:r/>
            <w:r>
              <w:rPr>
                <w:rFonts w:ascii="Aptos" w:hAnsi="Aptos"/>
                <w:b w:val="0"/>
                <w:color w:val="26333D"/>
                <w:sz w:val="14"/>
              </w:rPr>
              <w:t>Expected behavior, prohibited behavior, error paths, integration regression</w:t>
            </w:r>
          </w:p>
        </w:tc>
        <w:tc>
          <w:tcPr>
            <w:tcW w:type="dxa" w:w="1800"/>
            <w:vAlign w:val="center"/>
            <w:tcMar>
              <w:top w:w="70" w:type="dxa"/>
              <w:start w:w="85" w:type="dxa"/>
              <w:bottom w:w="70" w:type="dxa"/>
              <w:end w:w="85" w:type="dxa"/>
            </w:tcMar>
          </w:tcPr>
          <w:p>
            <w:pPr>
              <w:spacing w:after="0" w:before="0"/>
            </w:pPr>
            <w:r/>
            <w:r>
              <w:rPr>
                <w:rFonts w:ascii="Aptos" w:hAnsi="Aptos"/>
                <w:b w:val="0"/>
                <w:color w:val="26333D"/>
                <w:sz w:val="14"/>
              </w:rPr>
              <w:t>Test results + defects</w:t>
            </w:r>
          </w:p>
        </w:tc>
      </w:tr>
      <w:tr>
        <w:trPr>
          <w:cantSplit/>
        </w:trPr>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Model/performance</w:t>
            </w:r>
          </w:p>
        </w:tc>
        <w:tc>
          <w:tcPr>
            <w:tcW w:type="dxa" w:w="2520"/>
            <w:vAlign w:val="center"/>
            <w:tcMar>
              <w:top w:w="70" w:type="dxa"/>
              <w:start w:w="85" w:type="dxa"/>
              <w:bottom w:w="70" w:type="dxa"/>
              <w:end w:w="85" w:type="dxa"/>
            </w:tcMar>
            <w:shd w:fill="F4F6F7"/>
          </w:tcPr>
          <w:p>
            <w:pPr>
              <w:spacing w:after="0" w:before="0"/>
            </w:pPr>
            <w:r/>
            <w:r>
              <w:rPr>
                <w:rFonts w:ascii="Aptos" w:hAnsi="Aptos"/>
                <w:b w:val="0"/>
                <w:color w:val="26333D"/>
                <w:sz w:val="14"/>
              </w:rPr>
              <w:t>Model/version/retrain/threshold changes</w:t>
            </w:r>
          </w:p>
        </w:tc>
        <w:tc>
          <w:tcPr>
            <w:tcW w:type="dxa" w:w="4392"/>
            <w:vAlign w:val="center"/>
            <w:tcMar>
              <w:top w:w="70" w:type="dxa"/>
              <w:start w:w="85" w:type="dxa"/>
              <w:bottom w:w="70" w:type="dxa"/>
              <w:end w:w="85" w:type="dxa"/>
            </w:tcMar>
            <w:shd w:fill="F4F6F7"/>
          </w:tcPr>
          <w:p>
            <w:pPr>
              <w:spacing w:after="0" w:before="0"/>
            </w:pPr>
            <w:r/>
            <w:r>
              <w:rPr>
                <w:rFonts w:ascii="Aptos" w:hAnsi="Aptos"/>
                <w:b w:val="0"/>
                <w:color w:val="26333D"/>
                <w:sz w:val="14"/>
              </w:rPr>
              <w:t>Accuracy, robustness, drift baseline, error distribution, edge cases</w:t>
            </w:r>
          </w:p>
        </w:tc>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Validation report</w:t>
            </w:r>
          </w:p>
        </w:tc>
      </w:tr>
      <w:tr>
        <w:trPr>
          <w:cantSplit/>
        </w:trPr>
        <w:tc>
          <w:tcPr>
            <w:tcW w:type="dxa" w:w="1800"/>
            <w:vAlign w:val="center"/>
            <w:tcMar>
              <w:top w:w="70" w:type="dxa"/>
              <w:start w:w="85" w:type="dxa"/>
              <w:bottom w:w="70" w:type="dxa"/>
              <w:end w:w="85" w:type="dxa"/>
            </w:tcMar>
          </w:tcPr>
          <w:p>
            <w:pPr>
              <w:spacing w:after="0" w:before="0"/>
            </w:pPr>
            <w:r/>
            <w:r>
              <w:rPr>
                <w:rFonts w:ascii="Aptos" w:hAnsi="Aptos"/>
                <w:b w:val="0"/>
                <w:color w:val="26333D"/>
                <w:sz w:val="14"/>
              </w:rPr>
              <w:t>Security</w:t>
            </w:r>
          </w:p>
        </w:tc>
        <w:tc>
          <w:tcPr>
            <w:tcW w:type="dxa" w:w="2520"/>
            <w:vAlign w:val="center"/>
            <w:tcMar>
              <w:top w:w="70" w:type="dxa"/>
              <w:start w:w="85" w:type="dxa"/>
              <w:bottom w:w="70" w:type="dxa"/>
              <w:end w:w="85" w:type="dxa"/>
            </w:tcMar>
          </w:tcPr>
          <w:p>
            <w:pPr>
              <w:spacing w:after="0" w:before="0"/>
            </w:pPr>
            <w:r/>
            <w:r>
              <w:rPr>
                <w:rFonts w:ascii="Aptos" w:hAnsi="Aptos"/>
                <w:b w:val="0"/>
                <w:color w:val="26333D"/>
                <w:sz w:val="14"/>
              </w:rPr>
              <w:t>LLM/RAG/connectors/permissions/vendor model changes</w:t>
            </w:r>
          </w:p>
        </w:tc>
        <w:tc>
          <w:tcPr>
            <w:tcW w:type="dxa" w:w="4392"/>
            <w:vAlign w:val="center"/>
            <w:tcMar>
              <w:top w:w="70" w:type="dxa"/>
              <w:start w:w="85" w:type="dxa"/>
              <w:bottom w:w="70" w:type="dxa"/>
              <w:end w:w="85" w:type="dxa"/>
            </w:tcMar>
          </w:tcPr>
          <w:p>
            <w:pPr>
              <w:spacing w:after="0" w:before="0"/>
            </w:pPr>
            <w:r/>
            <w:r>
              <w:rPr>
                <w:rFonts w:ascii="Aptos" w:hAnsi="Aptos"/>
                <w:b w:val="0"/>
                <w:color w:val="26333D"/>
                <w:sz w:val="14"/>
              </w:rPr>
              <w:t>Prompt injection, data leakage, access boundaries, abuse resistance, supply chain</w:t>
            </w:r>
          </w:p>
        </w:tc>
        <w:tc>
          <w:tcPr>
            <w:tcW w:type="dxa" w:w="1800"/>
            <w:vAlign w:val="center"/>
            <w:tcMar>
              <w:top w:w="70" w:type="dxa"/>
              <w:start w:w="85" w:type="dxa"/>
              <w:bottom w:w="70" w:type="dxa"/>
              <w:end w:w="85" w:type="dxa"/>
            </w:tcMar>
          </w:tcPr>
          <w:p>
            <w:pPr>
              <w:spacing w:after="0" w:before="0"/>
            </w:pPr>
            <w:r/>
            <w:r>
              <w:rPr>
                <w:rFonts w:ascii="Aptos" w:hAnsi="Aptos"/>
                <w:b w:val="0"/>
                <w:color w:val="26333D"/>
                <w:sz w:val="14"/>
              </w:rPr>
              <w:t>Security assessment</w:t>
            </w:r>
          </w:p>
        </w:tc>
      </w:tr>
      <w:tr>
        <w:trPr>
          <w:cantSplit/>
        </w:trPr>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Privacy/data</w:t>
            </w:r>
          </w:p>
        </w:tc>
        <w:tc>
          <w:tcPr>
            <w:tcW w:type="dxa" w:w="2520"/>
            <w:vAlign w:val="center"/>
            <w:tcMar>
              <w:top w:w="70" w:type="dxa"/>
              <w:start w:w="85" w:type="dxa"/>
              <w:bottom w:w="70" w:type="dxa"/>
              <w:end w:w="85" w:type="dxa"/>
            </w:tcMar>
            <w:shd w:fill="F4F6F7"/>
          </w:tcPr>
          <w:p>
            <w:pPr>
              <w:spacing w:after="0" w:before="0"/>
            </w:pPr>
            <w:r/>
            <w:r>
              <w:rPr>
                <w:rFonts w:ascii="Aptos" w:hAnsi="Aptos"/>
                <w:b w:val="0"/>
                <w:color w:val="26333D"/>
                <w:sz w:val="14"/>
              </w:rPr>
              <w:t>New personal/sensitive data, retention, training, transfers, data sources</w:t>
            </w:r>
          </w:p>
        </w:tc>
        <w:tc>
          <w:tcPr>
            <w:tcW w:type="dxa" w:w="4392"/>
            <w:vAlign w:val="center"/>
            <w:tcMar>
              <w:top w:w="70" w:type="dxa"/>
              <w:start w:w="85" w:type="dxa"/>
              <w:bottom w:w="70" w:type="dxa"/>
              <w:end w:w="85" w:type="dxa"/>
            </w:tcMar>
            <w:shd w:fill="F4F6F7"/>
          </w:tcPr>
          <w:p>
            <w:pPr>
              <w:spacing w:after="0" w:before="0"/>
            </w:pPr>
            <w:r/>
            <w:r>
              <w:rPr>
                <w:rFonts w:ascii="Aptos" w:hAnsi="Aptos"/>
                <w:b w:val="0"/>
                <w:color w:val="26333D"/>
                <w:sz w:val="14"/>
              </w:rPr>
              <w:t>Minimization, purpose, access, retention, rights, transfer path</w:t>
            </w:r>
          </w:p>
        </w:tc>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Privacy review / DPIA update if applicable</w:t>
            </w:r>
          </w:p>
        </w:tc>
      </w:tr>
      <w:tr>
        <w:trPr>
          <w:cantSplit/>
        </w:trPr>
        <w:tc>
          <w:tcPr>
            <w:tcW w:type="dxa" w:w="1800"/>
            <w:vAlign w:val="center"/>
            <w:tcMar>
              <w:top w:w="70" w:type="dxa"/>
              <w:start w:w="85" w:type="dxa"/>
              <w:bottom w:w="70" w:type="dxa"/>
              <w:end w:w="85" w:type="dxa"/>
            </w:tcMar>
          </w:tcPr>
          <w:p>
            <w:pPr>
              <w:spacing w:after="0" w:before="0"/>
            </w:pPr>
            <w:r/>
            <w:r>
              <w:rPr>
                <w:rFonts w:ascii="Aptos" w:hAnsi="Aptos"/>
                <w:b w:val="0"/>
                <w:color w:val="26333D"/>
                <w:sz w:val="14"/>
              </w:rPr>
              <w:t>Fairness / rights</w:t>
            </w:r>
          </w:p>
        </w:tc>
        <w:tc>
          <w:tcPr>
            <w:tcW w:type="dxa" w:w="2520"/>
            <w:vAlign w:val="center"/>
            <w:tcMar>
              <w:top w:w="70" w:type="dxa"/>
              <w:start w:w="85" w:type="dxa"/>
              <w:bottom w:w="70" w:type="dxa"/>
              <w:end w:w="85" w:type="dxa"/>
            </w:tcMar>
          </w:tcPr>
          <w:p>
            <w:pPr>
              <w:spacing w:after="0" w:before="0"/>
            </w:pPr>
            <w:r/>
            <w:r>
              <w:rPr>
                <w:rFonts w:ascii="Aptos" w:hAnsi="Aptos"/>
                <w:b w:val="0"/>
                <w:color w:val="26333D"/>
                <w:sz w:val="14"/>
              </w:rPr>
              <w:t>People-impacting changes</w:t>
            </w:r>
          </w:p>
        </w:tc>
        <w:tc>
          <w:tcPr>
            <w:tcW w:type="dxa" w:w="4392"/>
            <w:vAlign w:val="center"/>
            <w:tcMar>
              <w:top w:w="70" w:type="dxa"/>
              <w:start w:w="85" w:type="dxa"/>
              <w:bottom w:w="70" w:type="dxa"/>
              <w:end w:w="85" w:type="dxa"/>
            </w:tcMar>
          </w:tcPr>
          <w:p>
            <w:pPr>
              <w:spacing w:after="0" w:before="0"/>
            </w:pPr>
            <w:r/>
            <w:r>
              <w:rPr>
                <w:rFonts w:ascii="Aptos" w:hAnsi="Aptos"/>
                <w:b w:val="0"/>
                <w:color w:val="26333D"/>
                <w:sz w:val="14"/>
              </w:rPr>
              <w:t>Feature/criterion changes, group impacts, accessibility, contestability, automation bias</w:t>
            </w:r>
          </w:p>
        </w:tc>
        <w:tc>
          <w:tcPr>
            <w:tcW w:type="dxa" w:w="1800"/>
            <w:vAlign w:val="center"/>
            <w:tcMar>
              <w:top w:w="70" w:type="dxa"/>
              <w:start w:w="85" w:type="dxa"/>
              <w:bottom w:w="70" w:type="dxa"/>
              <w:end w:w="85" w:type="dxa"/>
            </w:tcMar>
          </w:tcPr>
          <w:p>
            <w:pPr>
              <w:spacing w:after="0" w:before="0"/>
            </w:pPr>
            <w:r/>
            <w:r>
              <w:rPr>
                <w:rFonts w:ascii="Aptos" w:hAnsi="Aptos"/>
                <w:b w:val="0"/>
                <w:color w:val="26333D"/>
                <w:sz w:val="14"/>
              </w:rPr>
              <w:t>Fairness/impact evidence</w:t>
            </w:r>
          </w:p>
        </w:tc>
      </w:tr>
      <w:tr>
        <w:trPr>
          <w:cantSplit/>
        </w:trPr>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Safety / quality</w:t>
            </w:r>
          </w:p>
        </w:tc>
        <w:tc>
          <w:tcPr>
            <w:tcW w:type="dxa" w:w="2520"/>
            <w:vAlign w:val="center"/>
            <w:tcMar>
              <w:top w:w="70" w:type="dxa"/>
              <w:start w:w="85" w:type="dxa"/>
              <w:bottom w:w="70" w:type="dxa"/>
              <w:end w:w="85" w:type="dxa"/>
            </w:tcMar>
            <w:shd w:fill="F4F6F7"/>
          </w:tcPr>
          <w:p>
            <w:pPr>
              <w:spacing w:after="0" w:before="0"/>
            </w:pPr>
            <w:r/>
            <w:r>
              <w:rPr>
                <w:rFonts w:ascii="Aptos" w:hAnsi="Aptos"/>
                <w:b w:val="0"/>
                <w:color w:val="26333D"/>
                <w:sz w:val="14"/>
              </w:rPr>
              <w:t>Product/quality-impacting changes</w:t>
            </w:r>
          </w:p>
        </w:tc>
        <w:tc>
          <w:tcPr>
            <w:tcW w:type="dxa" w:w="4392"/>
            <w:vAlign w:val="center"/>
            <w:tcMar>
              <w:top w:w="70" w:type="dxa"/>
              <w:start w:w="85" w:type="dxa"/>
              <w:bottom w:w="70" w:type="dxa"/>
              <w:end w:w="85" w:type="dxa"/>
            </w:tcMar>
            <w:shd w:fill="F4F6F7"/>
          </w:tcPr>
          <w:p>
            <w:pPr>
              <w:spacing w:after="0" w:before="0"/>
            </w:pPr>
            <w:r/>
            <w:r>
              <w:rPr>
                <w:rFonts w:ascii="Aptos" w:hAnsi="Aptos"/>
                <w:b w:val="0"/>
                <w:color w:val="26333D"/>
                <w:sz w:val="14"/>
              </w:rPr>
              <w:t>False negative/positive, unsafe output, failure modes, human fallback</w:t>
            </w:r>
          </w:p>
        </w:tc>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Safety/quality validation</w:t>
            </w:r>
          </w:p>
        </w:tc>
      </w:tr>
      <w:tr>
        <w:trPr>
          <w:cantSplit/>
        </w:trPr>
        <w:tc>
          <w:tcPr>
            <w:tcW w:type="dxa" w:w="1800"/>
            <w:vAlign w:val="center"/>
            <w:tcMar>
              <w:top w:w="70" w:type="dxa"/>
              <w:start w:w="85" w:type="dxa"/>
              <w:bottom w:w="70" w:type="dxa"/>
              <w:end w:w="85" w:type="dxa"/>
            </w:tcMar>
          </w:tcPr>
          <w:p>
            <w:pPr>
              <w:spacing w:after="0" w:before="0"/>
            </w:pPr>
            <w:r/>
            <w:r>
              <w:rPr>
                <w:rFonts w:ascii="Aptos" w:hAnsi="Aptos"/>
                <w:b w:val="0"/>
                <w:color w:val="26333D"/>
                <w:sz w:val="14"/>
              </w:rPr>
              <w:t>Human oversight</w:t>
            </w:r>
          </w:p>
        </w:tc>
        <w:tc>
          <w:tcPr>
            <w:tcW w:type="dxa" w:w="2520"/>
            <w:vAlign w:val="center"/>
            <w:tcMar>
              <w:top w:w="70" w:type="dxa"/>
              <w:start w:w="85" w:type="dxa"/>
              <w:bottom w:w="70" w:type="dxa"/>
              <w:end w:w="85" w:type="dxa"/>
            </w:tcMar>
          </w:tcPr>
          <w:p>
            <w:pPr>
              <w:spacing w:after="0" w:before="0"/>
            </w:pPr>
            <w:r/>
            <w:r>
              <w:rPr>
                <w:rFonts w:ascii="Aptos" w:hAnsi="Aptos"/>
                <w:b w:val="0"/>
                <w:color w:val="26333D"/>
                <w:sz w:val="14"/>
              </w:rPr>
              <w:t>Any change to recommendation/decision role</w:t>
            </w:r>
          </w:p>
        </w:tc>
        <w:tc>
          <w:tcPr>
            <w:tcW w:type="dxa" w:w="4392"/>
            <w:vAlign w:val="center"/>
            <w:tcMar>
              <w:top w:w="70" w:type="dxa"/>
              <w:start w:w="85" w:type="dxa"/>
              <w:bottom w:w="70" w:type="dxa"/>
              <w:end w:w="85" w:type="dxa"/>
            </w:tcMar>
          </w:tcPr>
          <w:p>
            <w:pPr>
              <w:spacing w:after="0" w:before="0"/>
            </w:pPr>
            <w:r/>
            <w:r>
              <w:rPr>
                <w:rFonts w:ascii="Aptos" w:hAnsi="Aptos"/>
                <w:b w:val="0"/>
                <w:color w:val="26333D"/>
                <w:sz w:val="14"/>
              </w:rPr>
              <w:t>Reviewer competence, visibility, override, escalation, stop authority</w:t>
            </w:r>
          </w:p>
        </w:tc>
        <w:tc>
          <w:tcPr>
            <w:tcW w:type="dxa" w:w="1800"/>
            <w:vAlign w:val="center"/>
            <w:tcMar>
              <w:top w:w="70" w:type="dxa"/>
              <w:start w:w="85" w:type="dxa"/>
              <w:bottom w:w="70" w:type="dxa"/>
              <w:end w:w="85" w:type="dxa"/>
            </w:tcMar>
          </w:tcPr>
          <w:p>
            <w:pPr>
              <w:spacing w:after="0" w:before="0"/>
            </w:pPr>
            <w:r/>
            <w:r>
              <w:rPr>
                <w:rFonts w:ascii="Aptos" w:hAnsi="Aptos"/>
                <w:b w:val="0"/>
                <w:color w:val="26333D"/>
                <w:sz w:val="14"/>
              </w:rPr>
              <w:t>Oversight test / sign-off</w:t>
            </w:r>
          </w:p>
        </w:tc>
      </w:tr>
      <w:tr>
        <w:trPr>
          <w:cantSplit/>
        </w:trPr>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Resilience / rollback</w:t>
            </w:r>
          </w:p>
        </w:tc>
        <w:tc>
          <w:tcPr>
            <w:tcW w:type="dxa" w:w="2520"/>
            <w:vAlign w:val="center"/>
            <w:tcMar>
              <w:top w:w="70" w:type="dxa"/>
              <w:start w:w="85" w:type="dxa"/>
              <w:bottom w:w="70" w:type="dxa"/>
              <w:end w:w="85" w:type="dxa"/>
            </w:tcMar>
            <w:shd w:fill="F4F6F7"/>
          </w:tcPr>
          <w:p>
            <w:pPr>
              <w:spacing w:after="0" w:before="0"/>
            </w:pPr>
            <w:r/>
            <w:r>
              <w:rPr>
                <w:rFonts w:ascii="Aptos" w:hAnsi="Aptos"/>
                <w:b w:val="0"/>
                <w:color w:val="26333D"/>
                <w:sz w:val="14"/>
              </w:rPr>
              <w:t>CM-C2/C3</w:t>
            </w:r>
          </w:p>
        </w:tc>
        <w:tc>
          <w:tcPr>
            <w:tcW w:type="dxa" w:w="4392"/>
            <w:vAlign w:val="center"/>
            <w:tcMar>
              <w:top w:w="70" w:type="dxa"/>
              <w:start w:w="85" w:type="dxa"/>
              <w:bottom w:w="70" w:type="dxa"/>
              <w:end w:w="85" w:type="dxa"/>
            </w:tcMar>
            <w:shd w:fill="F4F6F7"/>
          </w:tcPr>
          <w:p>
            <w:pPr>
              <w:spacing w:after="0" w:before="0"/>
            </w:pPr>
            <w:r/>
            <w:r>
              <w:rPr>
                <w:rFonts w:ascii="Aptos" w:hAnsi="Aptos"/>
                <w:b w:val="0"/>
                <w:color w:val="26333D"/>
                <w:sz w:val="14"/>
              </w:rPr>
              <w:t>Fallback, recovery, provider outage, version rollback, data restoration</w:t>
            </w:r>
          </w:p>
        </w:tc>
        <w:tc>
          <w:tcPr>
            <w:tcW w:type="dxa" w:w="1800"/>
            <w:vAlign w:val="center"/>
            <w:tcMar>
              <w:top w:w="70" w:type="dxa"/>
              <w:start w:w="85" w:type="dxa"/>
              <w:bottom w:w="70" w:type="dxa"/>
              <w:end w:w="85" w:type="dxa"/>
            </w:tcMar>
            <w:shd w:fill="F4F6F7"/>
          </w:tcPr>
          <w:p>
            <w:pPr>
              <w:spacing w:after="0" w:before="0"/>
            </w:pPr>
            <w:r/>
            <w:r>
              <w:rPr>
                <w:rFonts w:ascii="Aptos" w:hAnsi="Aptos"/>
                <w:b w:val="0"/>
                <w:color w:val="26333D"/>
                <w:sz w:val="14"/>
              </w:rPr>
              <w:t>Rollback test / BCP evidence</w:t>
            </w:r>
          </w:p>
        </w:tc>
      </w:tr>
    </w:tbl>
    <w:p>
      <w:pPr>
        <w:spacing w:after="0"/>
      </w:pPr>
    </w:p>
    <w:p>
      <w:r>
        <w:br w:type="page"/>
      </w:r>
    </w:p>
    <w:p>
      <w:pPr>
        <w:pStyle w:val="Heading1"/>
      </w:pPr>
      <w:r>
        <w:t>9. CM-02 — AI Change Request Form</w:t>
      </w:r>
    </w:p>
    <w:p>
      <w:pPr>
        <w:spacing w:after="50"/>
      </w:pPr>
      <w:r>
        <w:rPr>
          <w:b/>
        </w:rPr>
        <w:t xml:space="preserve">Change request ID: </w:t>
      </w:r>
      <w:r>
        <w:t>DW-CHG-[AI ID]-[NNNN]</w:t>
      </w:r>
    </w:p>
    <w:p>
      <w:pPr>
        <w:spacing w:after="50"/>
      </w:pPr>
      <w:r>
        <w:rPr>
          <w:b/>
        </w:rPr>
        <w:t xml:space="preserve">AI system / AI ID: </w:t>
      </w:r>
      <w:r>
        <w:t>[Complete]</w:t>
      </w:r>
    </w:p>
    <w:p>
      <w:pPr>
        <w:spacing w:after="50"/>
      </w:pPr>
      <w:r>
        <w:rPr>
          <w:b/>
        </w:rPr>
        <w:t xml:space="preserve">Requester: </w:t>
      </w:r>
      <w:r>
        <w:t>[Complete]</w:t>
      </w:r>
    </w:p>
    <w:p>
      <w:pPr>
        <w:spacing w:after="50"/>
      </w:pPr>
      <w:r>
        <w:rPr>
          <w:b/>
        </w:rPr>
        <w:t xml:space="preserve">Business Owner: </w:t>
      </w:r>
      <w:r>
        <w:t>[Complete]</w:t>
      </w:r>
    </w:p>
    <w:p>
      <w:pPr>
        <w:spacing w:after="50"/>
      </w:pPr>
      <w:r>
        <w:rPr>
          <w:b/>
        </w:rPr>
        <w:t xml:space="preserve">Technical Owner: </w:t>
      </w:r>
      <w:r>
        <w:t>[Complete]</w:t>
      </w:r>
    </w:p>
    <w:p>
      <w:pPr>
        <w:spacing w:after="50"/>
      </w:pPr>
      <w:r>
        <w:rPr>
          <w:b/>
        </w:rPr>
        <w:t xml:space="preserve">Requested deployment window: </w:t>
      </w:r>
      <w:r>
        <w:t>[Complete]</w:t>
      </w:r>
    </w:p>
    <w:p>
      <w:pPr>
        <w:spacing w:after="50"/>
      </w:pPr>
      <w:r>
        <w:rPr>
          <w:b/>
        </w:rPr>
        <w:t xml:space="preserve">Related vendor / model / service: </w:t>
      </w:r>
      <w:r>
        <w:t>[Complete]</w:t>
      </w:r>
    </w:p>
    <w:p>
      <w:pPr>
        <w:spacing w:after="50"/>
      </w:pPr>
      <w:r>
        <w:rPr>
          <w:b/>
        </w:rPr>
        <w:t xml:space="preserve">Current approved version / baseline: </w:t>
      </w:r>
      <w:r>
        <w:t>[Complete]</w:t>
      </w:r>
    </w:p>
    <w:p>
      <w:pPr>
        <w:spacing w:after="50"/>
      </w:pPr>
      <w:r>
        <w:rPr>
          <w:b/>
        </w:rPr>
        <w:t xml:space="preserve">Proposed version / baseline: </w:t>
      </w:r>
      <w:r>
        <w:t>[Complete]</w:t>
      </w:r>
    </w:p>
    <w:p>
      <w:pPr>
        <w:spacing w:after="50"/>
      </w:pPr>
      <w:r>
        <w:rPr>
          <w:b/>
        </w:rPr>
        <w:t xml:space="preserve">Emergency flag: </w:t>
      </w:r>
      <w:r>
        <w:t>Yes / No</w:t>
      </w:r>
    </w:p>
    <w:p>
      <w:pPr>
        <w:pStyle w:val="Heading2"/>
      </w:pPr>
      <w:r>
        <w:t>9.1 Change description</w:t>
      </w:r>
    </w:p>
    <w:p>
      <w:pPr>
        <w:spacing w:after="50"/>
      </w:pPr>
      <w:r>
        <w:rPr>
          <w:b/>
        </w:rPr>
        <w:t xml:space="preserve">Business reason / expected value: </w:t>
      </w:r>
      <w:r>
        <w:t>[Describe why the change is needed]</w:t>
      </w:r>
    </w:p>
    <w:p>
      <w:pPr>
        <w:spacing w:after="50"/>
      </w:pPr>
      <w:r>
        <w:rPr>
          <w:b/>
        </w:rPr>
        <w:t xml:space="preserve">Technical description: </w:t>
      </w:r>
      <w:r>
        <w:t>[Describe exactly what will change]</w:t>
      </w:r>
    </w:p>
    <w:p>
      <w:pPr>
        <w:spacing w:after="50"/>
      </w:pPr>
      <w:r>
        <w:rPr>
          <w:b/>
        </w:rPr>
        <w:t xml:space="preserve">Components affected: </w:t>
      </w:r>
      <w:r>
        <w:t>[Model / prompt / data / RAG / integration / access / UI / monitoring / vendor / other]</w:t>
      </w:r>
    </w:p>
    <w:p>
      <w:pPr>
        <w:spacing w:after="50"/>
      </w:pPr>
      <w:r>
        <w:rPr>
          <w:b/>
        </w:rPr>
        <w:t xml:space="preserve">Intended purpose changing?: </w:t>
      </w:r>
      <w:r>
        <w:t>Yes / No — explain</w:t>
      </w:r>
    </w:p>
    <w:p>
      <w:pPr>
        <w:spacing w:after="50"/>
      </w:pPr>
      <w:r>
        <w:rPr>
          <w:b/>
        </w:rPr>
        <w:t xml:space="preserve">Human decision authority changing?: </w:t>
      </w:r>
      <w:r>
        <w:t>Yes / No — explain</w:t>
      </w:r>
    </w:p>
    <w:p>
      <w:pPr>
        <w:spacing w:after="50"/>
      </w:pPr>
      <w:r>
        <w:rPr>
          <w:b/>
        </w:rPr>
        <w:t xml:space="preserve">Affected people / users changing?: </w:t>
      </w:r>
      <w:r>
        <w:t>Yes / No — explain</w:t>
      </w:r>
    </w:p>
    <w:p>
      <w:pPr>
        <w:spacing w:after="50"/>
      </w:pPr>
      <w:r>
        <w:rPr>
          <w:b/>
        </w:rPr>
        <w:t xml:space="preserve">Data categories changing?: </w:t>
      </w:r>
      <w:r>
        <w:t>Yes / No — explain</w:t>
      </w:r>
    </w:p>
    <w:p>
      <w:pPr>
        <w:spacing w:after="50"/>
      </w:pPr>
      <w:r>
        <w:rPr>
          <w:b/>
        </w:rPr>
        <w:t xml:space="preserve">Third-party relationship changing?: </w:t>
      </w:r>
      <w:r>
        <w:t>Yes / No — explain</w:t>
      </w:r>
    </w:p>
    <w:p>
      <w:pPr>
        <w:pStyle w:val="Heading2"/>
      </w:pPr>
      <w:r>
        <w:t>9.2 Implementation plan</w:t>
      </w:r>
    </w:p>
    <w:p>
      <w:pPr>
        <w:spacing w:after="40"/>
      </w:pPr>
      <w:r>
        <w:t>☐ Implementation steps defined</w:t>
      </w:r>
    </w:p>
    <w:p>
      <w:pPr>
        <w:spacing w:after="40"/>
      </w:pPr>
      <w:r>
        <w:t>☐ Configuration/version identifiers recorded</w:t>
      </w:r>
    </w:p>
    <w:p>
      <w:pPr>
        <w:spacing w:after="40"/>
      </w:pPr>
      <w:r>
        <w:t>☐ Test environment identified</w:t>
      </w:r>
    </w:p>
    <w:p>
      <w:pPr>
        <w:spacing w:after="40"/>
      </w:pPr>
      <w:r>
        <w:t>☐ Production deployment steps defined</w:t>
      </w:r>
    </w:p>
    <w:p>
      <w:pPr>
        <w:spacing w:after="40"/>
      </w:pPr>
      <w:r>
        <w:t>☐ Rollback / suspension steps defined</w:t>
      </w:r>
    </w:p>
    <w:p>
      <w:pPr>
        <w:spacing w:after="40"/>
      </w:pPr>
      <w:r>
        <w:t>☐ Post-release monitoring window defined</w:t>
      </w:r>
    </w:p>
    <w:p>
      <w:pPr>
        <w:spacing w:after="40"/>
      </w:pPr>
      <w:r>
        <w:t>☐ Evidence owners assigned</w:t>
      </w:r>
    </w:p>
    <w:p>
      <w:pPr>
        <w:pStyle w:val="Heading2"/>
      </w:pPr>
      <w:r>
        <w:t>9.3 Requested governance outcome</w:t>
      </w:r>
    </w:p>
    <w:p>
      <w:pPr>
        <w:spacing w:after="40"/>
      </w:pPr>
      <w:r>
        <w:t>☐ Approve for implementation</w:t>
      </w:r>
    </w:p>
    <w:p>
      <w:pPr>
        <w:spacing w:after="40"/>
      </w:pPr>
      <w:r>
        <w:t>☐ Approve restricted pilot only</w:t>
      </w:r>
    </w:p>
    <w:p>
      <w:pPr>
        <w:spacing w:after="40"/>
      </w:pPr>
      <w:r>
        <w:t>☐ Approve with conditions</w:t>
      </w:r>
    </w:p>
    <w:p>
      <w:pPr>
        <w:spacing w:after="40"/>
      </w:pPr>
      <w:r>
        <w:t>☐ Hold pending evidence</w:t>
      </w:r>
    </w:p>
    <w:p>
      <w:pPr>
        <w:spacing w:after="40"/>
      </w:pPr>
      <w:r>
        <w:t>☐ Reject / redesign</w:t>
      </w:r>
    </w:p>
    <w:p>
      <w:pPr>
        <w:spacing w:after="40"/>
      </w:pPr>
      <w:r>
        <w:t>☐ Emergency containment only</w:t>
      </w:r>
    </w:p>
    <w:p>
      <w:pPr>
        <w:pStyle w:val="Heading1"/>
      </w:pPr>
      <w:r>
        <w:t>10. CM-03 — Change Classification &amp; Impact Screen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504"/>
            <w:vAlign w:val="center"/>
            <w:tcMar>
              <w:top w:w="70" w:type="dxa"/>
              <w:start w:w="85" w:type="dxa"/>
              <w:bottom w:w="70" w:type="dxa"/>
              <w:end w:w="85" w:type="dxa"/>
            </w:tcMar>
            <w:shd w:fill="173B57"/>
          </w:tcPr>
          <w:p>
            <w:pPr>
              <w:spacing w:after="0" w:before="0"/>
            </w:pPr>
            <w:r/>
            <w:r>
              <w:rPr>
                <w:rFonts w:ascii="Aptos" w:hAnsi="Aptos"/>
                <w:b/>
                <w:color w:val="FFFFFF"/>
                <w:sz w:val="15"/>
              </w:rPr>
              <w:t>#</w:t>
            </w:r>
          </w:p>
        </w:tc>
        <w:tc>
          <w:tcPr>
            <w:tcW w:type="dxa" w:w="5904"/>
            <w:vAlign w:val="center"/>
            <w:tcMar>
              <w:top w:w="70" w:type="dxa"/>
              <w:start w:w="85" w:type="dxa"/>
              <w:bottom w:w="70" w:type="dxa"/>
              <w:end w:w="85" w:type="dxa"/>
            </w:tcMar>
            <w:shd w:fill="173B57"/>
          </w:tcPr>
          <w:p>
            <w:pPr>
              <w:spacing w:after="0" w:before="0"/>
            </w:pPr>
            <w:r/>
            <w:r>
              <w:rPr>
                <w:rFonts w:ascii="Aptos" w:hAnsi="Aptos"/>
                <w:b/>
                <w:color w:val="FFFFFF"/>
                <w:sz w:val="15"/>
              </w:rPr>
              <w:t>Screening question</w:t>
            </w:r>
          </w:p>
        </w:tc>
        <w:tc>
          <w:tcPr>
            <w:tcW w:type="dxa" w:w="2952"/>
            <w:vAlign w:val="center"/>
            <w:tcMar>
              <w:top w:w="70" w:type="dxa"/>
              <w:start w:w="85" w:type="dxa"/>
              <w:bottom w:w="70" w:type="dxa"/>
              <w:end w:w="85" w:type="dxa"/>
            </w:tcMar>
            <w:shd w:fill="173B57"/>
          </w:tcPr>
          <w:p>
            <w:pPr>
              <w:spacing w:after="0" w:before="0"/>
            </w:pPr>
            <w:r/>
            <w:r>
              <w:rPr>
                <w:rFonts w:ascii="Aptos" w:hAnsi="Aptos"/>
                <w:b/>
                <w:color w:val="FFFFFF"/>
                <w:sz w:val="15"/>
              </w:rPr>
              <w:t>Classification rule</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1</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Does the change alter intended purpose, autonomy or formal decision authority?</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CM-C3</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2</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Could it materially affect employment, fundamental rights, product safety/quality or a vulnerable group?</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 normally CM-C3</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3</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Does it replace the model/provider or materially change model behavior?</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CM-C2; CM-C3 if prior legal/safety/rights conclusions may change</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4</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Does it introduce/retrain/fine-tune using new data, features or knowledge sources?</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 CM-C2/C3</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5</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Does it add a connector, tool, agent, API, permission or data-access path?</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CM-C2/C3</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6</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Does it change human review, escalation, override or fallback?</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 CM-C3</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7</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Does it change security, privacy, moderation, guardrail or monitoring controls?</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CM-C2/C3</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8</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Does it expand users, affected groups, countries, languages or business processes?</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 CM-C2/C3</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9</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Does it alter vendor data use, retention, training, hosting, subprocessors, terms or resilience?</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CM-C2/C3</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10</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Does it respond to a material incident, drift, complaint or control failure?</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 CM-C2/C3 and link incident</w:t>
            </w:r>
          </w:p>
        </w:tc>
      </w:tr>
      <w:tr>
        <w:trPr>
          <w:cantSplit/>
        </w:trPr>
        <w:tc>
          <w:tcPr>
            <w:tcW w:type="dxa" w:w="504"/>
            <w:vAlign w:val="center"/>
            <w:tcMar>
              <w:top w:w="70" w:type="dxa"/>
              <w:start w:w="85" w:type="dxa"/>
              <w:bottom w:w="70" w:type="dxa"/>
              <w:end w:w="85" w:type="dxa"/>
            </w:tcMar>
          </w:tcPr>
          <w:p>
            <w:pPr>
              <w:spacing w:after="0" w:before="0"/>
            </w:pPr>
            <w:r/>
            <w:r>
              <w:rPr>
                <w:rFonts w:ascii="Aptos" w:hAnsi="Aptos"/>
                <w:b w:val="0"/>
                <w:color w:val="26333D"/>
                <w:sz w:val="15"/>
              </w:rPr>
              <w:t>11</w:t>
            </w:r>
          </w:p>
        </w:tc>
        <w:tc>
          <w:tcPr>
            <w:tcW w:type="dxa" w:w="5904"/>
            <w:vAlign w:val="center"/>
            <w:tcMar>
              <w:top w:w="70" w:type="dxa"/>
              <w:start w:w="85" w:type="dxa"/>
              <w:bottom w:w="70" w:type="dxa"/>
              <w:end w:w="85" w:type="dxa"/>
            </w:tcMar>
          </w:tcPr>
          <w:p>
            <w:pPr>
              <w:spacing w:after="0" w:before="0"/>
            </w:pPr>
            <w:r/>
            <w:r>
              <w:rPr>
                <w:rFonts w:ascii="Aptos" w:hAnsi="Aptos"/>
                <w:b w:val="0"/>
                <w:color w:val="26333D"/>
                <w:sz w:val="15"/>
              </w:rPr>
              <w:t>Could it alter legal/regulatory applicability or Duckworks’ legal role?</w:t>
            </w:r>
          </w:p>
        </w:tc>
        <w:tc>
          <w:tcPr>
            <w:tcW w:type="dxa" w:w="2952"/>
            <w:vAlign w:val="center"/>
            <w:tcMar>
              <w:top w:w="70" w:type="dxa"/>
              <w:start w:w="85" w:type="dxa"/>
              <w:bottom w:w="70" w:type="dxa"/>
              <w:end w:w="85" w:type="dxa"/>
            </w:tcMar>
          </w:tcPr>
          <w:p>
            <w:pPr>
              <w:spacing w:after="0" w:before="0"/>
            </w:pPr>
            <w:r/>
            <w:r>
              <w:rPr>
                <w:rFonts w:ascii="Aptos" w:hAnsi="Aptos"/>
                <w:b w:val="0"/>
                <w:color w:val="26333D"/>
                <w:sz w:val="15"/>
              </w:rPr>
              <w:t>If Yes → Legal review + CM-C3 unless Legal determines otherwise</w:t>
            </w:r>
          </w:p>
        </w:tc>
      </w:tr>
      <w:tr>
        <w:trPr>
          <w:cantSplit/>
        </w:trPr>
        <w:tc>
          <w:tcPr>
            <w:tcW w:type="dxa" w:w="504"/>
            <w:vAlign w:val="center"/>
            <w:tcMar>
              <w:top w:w="70" w:type="dxa"/>
              <w:start w:w="85" w:type="dxa"/>
              <w:bottom w:w="70" w:type="dxa"/>
              <w:end w:w="85" w:type="dxa"/>
            </w:tcMar>
            <w:shd w:fill="F4F6F7"/>
          </w:tcPr>
          <w:p>
            <w:pPr>
              <w:spacing w:after="0" w:before="0"/>
            </w:pPr>
            <w:r/>
            <w:r>
              <w:rPr>
                <w:rFonts w:ascii="Aptos" w:hAnsi="Aptos"/>
                <w:b w:val="0"/>
                <w:color w:val="26333D"/>
                <w:sz w:val="15"/>
              </w:rPr>
              <w:t>12</w:t>
            </w:r>
          </w:p>
        </w:tc>
        <w:tc>
          <w:tcPr>
            <w:tcW w:type="dxa" w:w="5904"/>
            <w:vAlign w:val="center"/>
            <w:tcMar>
              <w:top w:w="70" w:type="dxa"/>
              <w:start w:w="85" w:type="dxa"/>
              <w:bottom w:w="70" w:type="dxa"/>
              <w:end w:w="85" w:type="dxa"/>
            </w:tcMar>
            <w:shd w:fill="F4F6F7"/>
          </w:tcPr>
          <w:p>
            <w:pPr>
              <w:spacing w:after="0" w:before="0"/>
            </w:pPr>
            <w:r/>
            <w:r>
              <w:rPr>
                <w:rFonts w:ascii="Aptos" w:hAnsi="Aptos"/>
                <w:b w:val="0"/>
                <w:color w:val="26333D"/>
                <w:sz w:val="15"/>
              </w:rPr>
              <w:t>Is the change demonstrably non-functional and unable to alter prior control/risk conclusions?</w:t>
            </w:r>
          </w:p>
        </w:tc>
        <w:tc>
          <w:tcPr>
            <w:tcW w:type="dxa" w:w="2952"/>
            <w:vAlign w:val="center"/>
            <w:tcMar>
              <w:top w:w="70" w:type="dxa"/>
              <w:start w:w="85" w:type="dxa"/>
              <w:bottom w:w="70" w:type="dxa"/>
              <w:end w:w="85" w:type="dxa"/>
            </w:tcMar>
            <w:shd w:fill="F4F6F7"/>
          </w:tcPr>
          <w:p>
            <w:pPr>
              <w:spacing w:after="0" w:before="0"/>
            </w:pPr>
            <w:r/>
            <w:r>
              <w:rPr>
                <w:rFonts w:ascii="Aptos" w:hAnsi="Aptos"/>
                <w:b w:val="0"/>
                <w:color w:val="26333D"/>
                <w:sz w:val="15"/>
              </w:rPr>
              <w:t>If Yes and all above No → CM-C0/C1</w:t>
            </w:r>
          </w:p>
        </w:tc>
      </w:tr>
    </w:tbl>
    <w:p>
      <w:pPr>
        <w:spacing w:after="0"/>
      </w:pPr>
    </w:p>
    <w:p>
      <w:pPr>
        <w:pStyle w:val="Heading2"/>
      </w:pPr>
      <w:r>
        <w:t>10.1 Domain impact flags</w:t>
      </w:r>
    </w:p>
    <w:p>
      <w:pPr>
        <w:spacing w:after="40"/>
      </w:pPr>
      <w:r>
        <w:t>☐ Security</w:t>
      </w:r>
    </w:p>
    <w:p>
      <w:pPr>
        <w:spacing w:after="40"/>
      </w:pPr>
      <w:r>
        <w:t>☐ Privacy / personal data</w:t>
      </w:r>
    </w:p>
    <w:p>
      <w:pPr>
        <w:spacing w:after="40"/>
      </w:pPr>
      <w:r>
        <w:t>☐ Data governance / IP</w:t>
      </w:r>
    </w:p>
    <w:p>
      <w:pPr>
        <w:spacing w:after="40"/>
      </w:pPr>
      <w:r>
        <w:t>☐ Fairness / discrimination</w:t>
      </w:r>
    </w:p>
    <w:p>
      <w:pPr>
        <w:spacing w:after="40"/>
      </w:pPr>
      <w:r>
        <w:t>☐ Fundamental rights</w:t>
      </w:r>
    </w:p>
    <w:p>
      <w:pPr>
        <w:spacing w:after="40"/>
      </w:pPr>
      <w:r>
        <w:t>☐ Human oversight</w:t>
      </w:r>
    </w:p>
    <w:p>
      <w:pPr>
        <w:spacing w:after="40"/>
      </w:pPr>
      <w:r>
        <w:t>☐ Safety / physical harm</w:t>
      </w:r>
    </w:p>
    <w:p>
      <w:pPr>
        <w:spacing w:after="40"/>
      </w:pPr>
      <w:r>
        <w:t>☐ Reliability / robustness</w:t>
      </w:r>
    </w:p>
    <w:p>
      <w:pPr>
        <w:spacing w:after="40"/>
      </w:pPr>
      <w:r>
        <w:t>☐ Transparency / explainability</w:t>
      </w:r>
    </w:p>
    <w:p>
      <w:pPr>
        <w:spacing w:after="40"/>
      </w:pPr>
      <w:r>
        <w:t>☐ Third-party / supply chain</w:t>
      </w:r>
    </w:p>
    <w:p>
      <w:pPr>
        <w:spacing w:after="40"/>
      </w:pPr>
      <w:r>
        <w:t>☐ Operational / financial</w:t>
      </w:r>
    </w:p>
    <w:p>
      <w:pPr>
        <w:spacing w:after="40"/>
      </w:pPr>
      <w:r>
        <w:t>☐ Legal / regulatory</w:t>
      </w:r>
    </w:p>
    <w:p>
      <w:pPr>
        <w:spacing w:after="40"/>
      </w:pPr>
      <w:r>
        <w:t>☐ Business continuity</w:t>
      </w:r>
    </w:p>
    <w:p>
      <w:pPr>
        <w:spacing w:after="40"/>
      </w:pPr>
      <w:r>
        <w:t>☐ Monitoring / evidence</w:t>
      </w:r>
    </w:p>
    <w:p>
      <w:pPr>
        <w:spacing w:after="50"/>
      </w:pPr>
      <w:r>
        <w:rPr>
          <w:b/>
        </w:rPr>
        <w:t xml:space="preserve">Assigned change class: </w:t>
      </w:r>
      <w:r>
        <w:t>CM-C0 / CM-C1 / CM-C2 / CM-C3</w:t>
      </w:r>
    </w:p>
    <w:p>
      <w:pPr>
        <w:spacing w:after="50"/>
      </w:pPr>
      <w:r>
        <w:rPr>
          <w:b/>
        </w:rPr>
        <w:t xml:space="preserve">Classification rationale: </w:t>
      </w:r>
      <w:r>
        <w:t>[Complete]</w:t>
      </w:r>
    </w:p>
    <w:p>
      <w:pPr>
        <w:spacing w:after="50"/>
      </w:pPr>
      <w:r>
        <w:rPr>
          <w:b/>
        </w:rPr>
        <w:t xml:space="preserve">Emergency flag: </w:t>
      </w:r>
      <w:r>
        <w:t>Yes / No</w:t>
      </w:r>
    </w:p>
    <w:p>
      <w:pPr>
        <w:spacing w:after="50"/>
      </w:pPr>
      <w:r>
        <w:rPr>
          <w:b/>
        </w:rPr>
        <w:t xml:space="preserve">AI Governance reviewer: </w:t>
      </w:r>
      <w:r>
        <w:t>[Complete]</w:t>
      </w:r>
    </w:p>
    <w:p>
      <w:pPr>
        <w:spacing w:after="50"/>
      </w:pPr>
      <w:r>
        <w:rPr>
          <w:b/>
        </w:rPr>
        <w:t xml:space="preserve">Required specialists: </w:t>
      </w:r>
      <w:r>
        <w:t>[Complete]</w:t>
      </w:r>
    </w:p>
    <w:p>
      <w:pPr>
        <w:pStyle w:val="Heading1"/>
      </w:pPr>
      <w:r>
        <w:t>11. CM-04 — AI Reassessment &amp; Control Impact Checklist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vAlign w:val="center"/>
            <w:tcMar>
              <w:top w:w="70" w:type="dxa"/>
              <w:start w:w="85" w:type="dxa"/>
              <w:bottom w:w="70" w:type="dxa"/>
              <w:end w:w="85" w:type="dxa"/>
            </w:tcMar>
            <w:shd w:fill="173B57"/>
          </w:tcPr>
          <w:p>
            <w:pPr>
              <w:spacing w:after="0" w:before="0"/>
            </w:pPr>
            <w:r/>
            <w:r>
              <w:rPr>
                <w:rFonts w:ascii="Aptos" w:hAnsi="Aptos"/>
                <w:b/>
                <w:color w:val="FFFFFF"/>
                <w:sz w:val="15"/>
              </w:rPr>
              <w:t>Artifact / control area</w:t>
            </w:r>
          </w:p>
        </w:tc>
        <w:tc>
          <w:tcPr>
            <w:tcW w:type="dxa" w:w="6336"/>
            <w:vAlign w:val="center"/>
            <w:tcMar>
              <w:top w:w="70" w:type="dxa"/>
              <w:start w:w="85" w:type="dxa"/>
              <w:bottom w:w="70" w:type="dxa"/>
              <w:end w:w="85" w:type="dxa"/>
            </w:tcMar>
            <w:shd w:fill="173B57"/>
          </w:tcPr>
          <w:p>
            <w:pPr>
              <w:spacing w:after="0" w:before="0"/>
            </w:pPr>
            <w:r/>
            <w:r>
              <w:rPr>
                <w:rFonts w:ascii="Aptos" w:hAnsi="Aptos"/>
                <w:b/>
                <w:color w:val="FFFFFF"/>
                <w:sz w:val="15"/>
              </w:rPr>
              <w:t>Questions to reassess</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AI inventory record</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Purpose, lifecycle, model/provider, version, users, affected people, data, integrations, approvals</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Risk assessment</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New scenarios, severity/likelihood, controls, residual/target risk, appetite and treatment</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AI impact assessment</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Affected parties, benefits/adverse impacts, autonomy, fairness, accessibility, safety, contestability</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Legal/regulatory triage</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Intended purpose, legal role/classification, transparency, applicable law, national/jurisdictional scope</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Privacy / DPIA</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Purpose, lawful basis, processor/controller roles, personal data, retention, rights, transfers</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Security assessment</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Threat model, prompt/RAG risks, permissions, integrations, model supply chain, logging</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Model/system documentation</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Model card/system card, limitations, data, performance, configuration, version</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Human oversight record</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Reviewer role, authority, competence, override, escalation, stop-use, automation-bias safeguards</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Vendor due diligence / contract</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Security, privacy, data use, training, retention, subprocessors, change notice, resilience, exit</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Safety / quality validation</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Failure modes, false negatives/positives, acceptance criteria, fallback</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Monitoring plan</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KPIs/KRIs, drift, incidents, complaints, overrides, thresholds, alert routing</w:t>
            </w:r>
          </w:p>
        </w:tc>
      </w:tr>
      <w:tr>
        <w:trPr>
          <w:cantSplit/>
        </w:trPr>
        <w:tc>
          <w:tcPr>
            <w:tcW w:type="dxa" w:w="3024"/>
            <w:vAlign w:val="center"/>
            <w:tcMar>
              <w:top w:w="70" w:type="dxa"/>
              <w:start w:w="85" w:type="dxa"/>
              <w:bottom w:w="70" w:type="dxa"/>
              <w:end w:w="85" w:type="dxa"/>
            </w:tcMar>
            <w:shd w:fill="F4F6F7"/>
          </w:tcPr>
          <w:p>
            <w:pPr>
              <w:spacing w:after="0" w:before="0"/>
            </w:pPr>
            <w:r/>
            <w:r>
              <w:rPr>
                <w:rFonts w:ascii="Aptos" w:hAnsi="Aptos"/>
                <w:b w:val="0"/>
                <w:color w:val="26333D"/>
                <w:sz w:val="15"/>
              </w:rPr>
              <w:t>Incident / problem record</w:t>
            </w:r>
          </w:p>
        </w:tc>
        <w:tc>
          <w:tcPr>
            <w:tcW w:type="dxa" w:w="6336"/>
            <w:vAlign w:val="center"/>
            <w:tcMar>
              <w:top w:w="70" w:type="dxa"/>
              <w:start w:w="85" w:type="dxa"/>
              <w:bottom w:w="70" w:type="dxa"/>
              <w:end w:w="85" w:type="dxa"/>
            </w:tcMar>
            <w:shd w:fill="F4F6F7"/>
          </w:tcPr>
          <w:p>
            <w:pPr>
              <w:spacing w:after="0" w:before="0"/>
            </w:pPr>
            <w:r/>
            <w:r>
              <w:rPr>
                <w:rFonts w:ascii="Aptos" w:hAnsi="Aptos"/>
                <w:b w:val="0"/>
                <w:color w:val="26333D"/>
                <w:sz w:val="15"/>
              </w:rPr>
              <w:t>Link cause, remediation, lessons learned and recurrence controls where applicable</w:t>
            </w:r>
          </w:p>
        </w:tc>
      </w:tr>
      <w:tr>
        <w:trPr>
          <w:cantSplit/>
        </w:trPr>
        <w:tc>
          <w:tcPr>
            <w:tcW w:type="dxa" w:w="3024"/>
            <w:vAlign w:val="center"/>
            <w:tcMar>
              <w:top w:w="70" w:type="dxa"/>
              <w:start w:w="85" w:type="dxa"/>
              <w:bottom w:w="70" w:type="dxa"/>
              <w:end w:w="85" w:type="dxa"/>
            </w:tcMar>
          </w:tcPr>
          <w:p>
            <w:pPr>
              <w:spacing w:after="0" w:before="0"/>
            </w:pPr>
            <w:r/>
            <w:r>
              <w:rPr>
                <w:rFonts w:ascii="Aptos" w:hAnsi="Aptos"/>
                <w:b w:val="0"/>
                <w:color w:val="26333D"/>
                <w:sz w:val="15"/>
              </w:rPr>
              <w:t>Business continuity / rollback</w:t>
            </w:r>
          </w:p>
        </w:tc>
        <w:tc>
          <w:tcPr>
            <w:tcW w:type="dxa" w:w="6336"/>
            <w:vAlign w:val="center"/>
            <w:tcMar>
              <w:top w:w="70" w:type="dxa"/>
              <w:start w:w="85" w:type="dxa"/>
              <w:bottom w:w="70" w:type="dxa"/>
              <w:end w:w="85" w:type="dxa"/>
            </w:tcMar>
          </w:tcPr>
          <w:p>
            <w:pPr>
              <w:spacing w:after="0" w:before="0"/>
            </w:pPr>
            <w:r/>
            <w:r>
              <w:rPr>
                <w:rFonts w:ascii="Aptos" w:hAnsi="Aptos"/>
                <w:b w:val="0"/>
                <w:color w:val="26333D"/>
                <w:sz w:val="15"/>
              </w:rPr>
              <w:t>Fallback, provider outage, model rollback, restoration dependencies</w:t>
            </w:r>
          </w:p>
        </w:tc>
      </w:tr>
    </w:tbl>
    <w:p>
      <w:pPr>
        <w:spacing w:after="0"/>
      </w:pPr>
    </w:p>
    <w:p>
      <w:pPr>
        <w:pStyle w:val="Heading2"/>
      </w:pPr>
      <w:r>
        <w:t>11.1 Evidence disposition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656"/>
            <w:vAlign w:val="center"/>
            <w:tcMar>
              <w:top w:w="70" w:type="dxa"/>
              <w:start w:w="85" w:type="dxa"/>
              <w:bottom w:w="70" w:type="dxa"/>
              <w:end w:w="85" w:type="dxa"/>
            </w:tcMar>
            <w:shd w:fill="173B57"/>
          </w:tcPr>
          <w:p>
            <w:pPr>
              <w:spacing w:after="0" w:before="0"/>
            </w:pPr>
            <w:r/>
            <w:r>
              <w:rPr>
                <w:rFonts w:ascii="Aptos" w:hAnsi="Aptos"/>
                <w:b/>
                <w:color w:val="FFFFFF"/>
                <w:sz w:val="14"/>
              </w:rPr>
              <w:t>Existing evidence ID</w:t>
            </w:r>
          </w:p>
        </w:tc>
        <w:tc>
          <w:tcPr>
            <w:tcW w:type="dxa" w:w="2232"/>
            <w:vAlign w:val="center"/>
            <w:tcMar>
              <w:top w:w="70" w:type="dxa"/>
              <w:start w:w="85" w:type="dxa"/>
              <w:bottom w:w="70" w:type="dxa"/>
              <w:end w:w="85" w:type="dxa"/>
            </w:tcMar>
            <w:shd w:fill="173B57"/>
          </w:tcPr>
          <w:p>
            <w:pPr>
              <w:spacing w:after="0" w:before="0"/>
            </w:pPr>
            <w:r/>
            <w:r>
              <w:rPr>
                <w:rFonts w:ascii="Aptos" w:hAnsi="Aptos"/>
                <w:b/>
                <w:color w:val="FFFFFF"/>
                <w:sz w:val="14"/>
              </w:rPr>
              <w:t>Status</w:t>
            </w:r>
          </w:p>
        </w:tc>
        <w:tc>
          <w:tcPr>
            <w:tcW w:type="dxa" w:w="2376"/>
            <w:vAlign w:val="center"/>
            <w:tcMar>
              <w:top w:w="70" w:type="dxa"/>
              <w:start w:w="85" w:type="dxa"/>
              <w:bottom w:w="70" w:type="dxa"/>
              <w:end w:w="85" w:type="dxa"/>
            </w:tcMar>
            <w:shd w:fill="173B57"/>
          </w:tcPr>
          <w:p>
            <w:pPr>
              <w:spacing w:after="0" w:before="0"/>
            </w:pPr>
            <w:r/>
            <w:r>
              <w:rPr>
                <w:rFonts w:ascii="Aptos" w:hAnsi="Aptos"/>
                <w:b/>
                <w:color w:val="FFFFFF"/>
                <w:sz w:val="14"/>
              </w:rPr>
              <w:t>Reason</w:t>
            </w:r>
          </w:p>
        </w:tc>
        <w:tc>
          <w:tcPr>
            <w:tcW w:type="dxa" w:w="2304"/>
            <w:vAlign w:val="center"/>
            <w:tcMar>
              <w:top w:w="70" w:type="dxa"/>
              <w:start w:w="85" w:type="dxa"/>
              <w:bottom w:w="70" w:type="dxa"/>
              <w:end w:w="85" w:type="dxa"/>
            </w:tcMar>
            <w:shd w:fill="173B57"/>
          </w:tcPr>
          <w:p>
            <w:pPr>
              <w:spacing w:after="0" w:before="0"/>
            </w:pPr>
            <w:r/>
            <w:r>
              <w:rPr>
                <w:rFonts w:ascii="Aptos" w:hAnsi="Aptos"/>
                <w:b/>
                <w:color w:val="FFFFFF"/>
                <w:sz w:val="14"/>
              </w:rPr>
              <w:t>Replacement / new evidence</w:t>
            </w:r>
          </w:p>
        </w:tc>
        <w:tc>
          <w:tcPr>
            <w:tcW w:type="dxa" w:w="1152"/>
            <w:vAlign w:val="center"/>
            <w:tcMar>
              <w:top w:w="70" w:type="dxa"/>
              <w:start w:w="85" w:type="dxa"/>
              <w:bottom w:w="70" w:type="dxa"/>
              <w:end w:w="85" w:type="dxa"/>
            </w:tcMar>
            <w:shd w:fill="173B57"/>
          </w:tcPr>
          <w:p>
            <w:pPr>
              <w:spacing w:after="0" w:before="0"/>
            </w:pPr>
            <w:r/>
            <w:r>
              <w:rPr>
                <w:rFonts w:ascii="Aptos" w:hAnsi="Aptos"/>
                <w:b/>
                <w:color w:val="FFFFFF"/>
                <w:sz w:val="14"/>
              </w:rPr>
              <w:t>Owner</w:t>
            </w:r>
          </w:p>
        </w:tc>
      </w:tr>
      <w:tr>
        <w:trPr>
          <w:cantSplit/>
        </w:trPr>
        <w:tc>
          <w:tcPr>
            <w:tcW w:type="dxa" w:w="1656"/>
            <w:vAlign w:val="center"/>
            <w:tcMar>
              <w:top w:w="70" w:type="dxa"/>
              <w:start w:w="85" w:type="dxa"/>
              <w:bottom w:w="70" w:type="dxa"/>
              <w:end w:w="85" w:type="dxa"/>
            </w:tcMar>
          </w:tcPr>
          <w:p>
            <w:pPr>
              <w:spacing w:after="0" w:before="0"/>
            </w:pPr>
            <w:r/>
            <w:r>
              <w:rPr>
                <w:rFonts w:ascii="Aptos" w:hAnsi="Aptos"/>
                <w:b w:val="0"/>
                <w:color w:val="26333D"/>
                <w:sz w:val="14"/>
              </w:rPr>
              <w:t>[EV-001]</w:t>
            </w:r>
          </w:p>
        </w:tc>
        <w:tc>
          <w:tcPr>
            <w:tcW w:type="dxa" w:w="2232"/>
            <w:vAlign w:val="center"/>
            <w:tcMar>
              <w:top w:w="70" w:type="dxa"/>
              <w:start w:w="85" w:type="dxa"/>
              <w:bottom w:w="70" w:type="dxa"/>
              <w:end w:w="85" w:type="dxa"/>
            </w:tcMar>
          </w:tcPr>
          <w:p>
            <w:pPr>
              <w:spacing w:after="0" w:before="0"/>
            </w:pPr>
            <w:r/>
            <w:r>
              <w:rPr>
                <w:rFonts w:ascii="Aptos" w:hAnsi="Aptos"/>
                <w:b w:val="0"/>
                <w:color w:val="26333D"/>
                <w:sz w:val="14"/>
              </w:rPr>
              <w:t>Valid / Partially valid / Superseded</w:t>
            </w:r>
          </w:p>
        </w:tc>
        <w:tc>
          <w:tcPr>
            <w:tcW w:type="dxa" w:w="2376"/>
            <w:vAlign w:val="center"/>
            <w:tcMar>
              <w:top w:w="70" w:type="dxa"/>
              <w:start w:w="85" w:type="dxa"/>
              <w:bottom w:w="70" w:type="dxa"/>
              <w:end w:w="85" w:type="dxa"/>
            </w:tcMar>
          </w:tcPr>
          <w:p>
            <w:pPr>
              <w:spacing w:after="0" w:before="0"/>
            </w:pPr>
            <w:r/>
            <w:r>
              <w:rPr>
                <w:rFonts w:ascii="Aptos" w:hAnsi="Aptos"/>
                <w:b w:val="0"/>
                <w:color w:val="26333D"/>
                <w:sz w:val="14"/>
              </w:rPr>
              <w:t>[why]</w:t>
            </w:r>
          </w:p>
        </w:tc>
        <w:tc>
          <w:tcPr>
            <w:tcW w:type="dxa" w:w="2304"/>
            <w:vAlign w:val="center"/>
            <w:tcMar>
              <w:top w:w="70" w:type="dxa"/>
              <w:start w:w="85" w:type="dxa"/>
              <w:bottom w:w="70" w:type="dxa"/>
              <w:end w:w="85" w:type="dxa"/>
            </w:tcMar>
          </w:tcPr>
          <w:p>
            <w:pPr>
              <w:spacing w:after="0" w:before="0"/>
            </w:pPr>
            <w:r/>
            <w:r>
              <w:rPr>
                <w:rFonts w:ascii="Aptos" w:hAnsi="Aptos"/>
                <w:b w:val="0"/>
                <w:color w:val="26333D"/>
                <w:sz w:val="14"/>
              </w:rPr>
              <w:t>[new EV]</w:t>
            </w:r>
          </w:p>
        </w:tc>
        <w:tc>
          <w:tcPr>
            <w:tcW w:type="dxa" w:w="1152"/>
            <w:vAlign w:val="center"/>
            <w:tcMar>
              <w:top w:w="70" w:type="dxa"/>
              <w:start w:w="85" w:type="dxa"/>
              <w:bottom w:w="70" w:type="dxa"/>
              <w:end w:w="85" w:type="dxa"/>
            </w:tcMar>
          </w:tcPr>
          <w:p>
            <w:pPr>
              <w:spacing w:after="0" w:before="0"/>
            </w:pPr>
            <w:r/>
            <w:r>
              <w:rPr>
                <w:rFonts w:ascii="Aptos" w:hAnsi="Aptos"/>
                <w:b w:val="0"/>
                <w:color w:val="26333D"/>
                <w:sz w:val="14"/>
              </w:rPr>
              <w:t>[owner]</w:t>
            </w:r>
          </w:p>
        </w:tc>
      </w:tr>
      <w:tr>
        <w:trPr>
          <w:cantSplit/>
        </w:trPr>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4"/>
              </w:rPr>
              <w:t>[EV-002]</w:t>
            </w:r>
          </w:p>
        </w:tc>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4"/>
              </w:rPr>
              <w:t>Valid / Partially valid / Superseded</w:t>
            </w:r>
          </w:p>
        </w:tc>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[why]</w:t>
            </w:r>
          </w:p>
        </w:tc>
        <w:tc>
          <w:tcPr>
            <w:tcW w:type="dxa" w:w="2304"/>
            <w:vAlign w:val="center"/>
            <w:tcMar>
              <w:top w:w="70" w:type="dxa"/>
              <w:start w:w="85" w:type="dxa"/>
              <w:bottom w:w="70" w:type="dxa"/>
              <w:end w:w="85" w:type="dxa"/>
            </w:tcMar>
            <w:shd w:fill="F4F6F7"/>
          </w:tcPr>
          <w:p>
            <w:pPr>
              <w:spacing w:after="0" w:before="0"/>
            </w:pPr>
            <w:r/>
            <w:r>
              <w:rPr>
                <w:rFonts w:ascii="Aptos" w:hAnsi="Aptos"/>
                <w:b w:val="0"/>
                <w:color w:val="26333D"/>
                <w:sz w:val="14"/>
              </w:rPr>
              <w:t>[new EV]</w:t>
            </w:r>
          </w:p>
        </w:tc>
        <w:tc>
          <w:tcPr>
            <w:tcW w:type="dxa" w:w="1152"/>
            <w:vAlign w:val="center"/>
            <w:tcMar>
              <w:top w:w="70" w:type="dxa"/>
              <w:start w:w="85" w:type="dxa"/>
              <w:bottom w:w="70" w:type="dxa"/>
              <w:end w:w="85" w:type="dxa"/>
            </w:tcMar>
            <w:shd w:fill="F4F6F7"/>
          </w:tcPr>
          <w:p>
            <w:pPr>
              <w:spacing w:after="0" w:before="0"/>
            </w:pPr>
            <w:r/>
            <w:r>
              <w:rPr>
                <w:rFonts w:ascii="Aptos" w:hAnsi="Aptos"/>
                <w:b w:val="0"/>
                <w:color w:val="26333D"/>
                <w:sz w:val="14"/>
              </w:rPr>
              <w:t>[owner]</w:t>
            </w:r>
          </w:p>
        </w:tc>
      </w:tr>
      <w:tr>
        <w:trPr>
          <w:cantSplit/>
        </w:trPr>
        <w:tc>
          <w:tcPr>
            <w:tcW w:type="dxa" w:w="1656"/>
            <w:vAlign w:val="center"/>
            <w:tcMar>
              <w:top w:w="70" w:type="dxa"/>
              <w:start w:w="85" w:type="dxa"/>
              <w:bottom w:w="70" w:type="dxa"/>
              <w:end w:w="85" w:type="dxa"/>
            </w:tcMar>
          </w:tcPr>
          <w:p>
            <w:pPr>
              <w:spacing w:after="0" w:before="0"/>
            </w:pPr>
            <w:r/>
            <w:r>
              <w:rPr>
                <w:rFonts w:ascii="Aptos" w:hAnsi="Aptos"/>
                <w:b w:val="0"/>
                <w:color w:val="26333D"/>
                <w:sz w:val="14"/>
              </w:rPr>
              <w:t>[EV-003]</w:t>
            </w:r>
          </w:p>
        </w:tc>
        <w:tc>
          <w:tcPr>
            <w:tcW w:type="dxa" w:w="2232"/>
            <w:vAlign w:val="center"/>
            <w:tcMar>
              <w:top w:w="70" w:type="dxa"/>
              <w:start w:w="85" w:type="dxa"/>
              <w:bottom w:w="70" w:type="dxa"/>
              <w:end w:w="85" w:type="dxa"/>
            </w:tcMar>
          </w:tcPr>
          <w:p>
            <w:pPr>
              <w:spacing w:after="0" w:before="0"/>
            </w:pPr>
            <w:r/>
            <w:r>
              <w:rPr>
                <w:rFonts w:ascii="Aptos" w:hAnsi="Aptos"/>
                <w:b w:val="0"/>
                <w:color w:val="26333D"/>
                <w:sz w:val="14"/>
              </w:rPr>
              <w:t>Valid / Partially valid / Superseded</w:t>
            </w:r>
          </w:p>
        </w:tc>
        <w:tc>
          <w:tcPr>
            <w:tcW w:type="dxa" w:w="2376"/>
            <w:vAlign w:val="center"/>
            <w:tcMar>
              <w:top w:w="70" w:type="dxa"/>
              <w:start w:w="85" w:type="dxa"/>
              <w:bottom w:w="70" w:type="dxa"/>
              <w:end w:w="85" w:type="dxa"/>
            </w:tcMar>
          </w:tcPr>
          <w:p>
            <w:pPr>
              <w:spacing w:after="0" w:before="0"/>
            </w:pPr>
            <w:r/>
            <w:r>
              <w:rPr>
                <w:rFonts w:ascii="Aptos" w:hAnsi="Aptos"/>
                <w:b w:val="0"/>
                <w:color w:val="26333D"/>
                <w:sz w:val="14"/>
              </w:rPr>
              <w:t>[why]</w:t>
            </w:r>
          </w:p>
        </w:tc>
        <w:tc>
          <w:tcPr>
            <w:tcW w:type="dxa" w:w="2304"/>
            <w:vAlign w:val="center"/>
            <w:tcMar>
              <w:top w:w="70" w:type="dxa"/>
              <w:start w:w="85" w:type="dxa"/>
              <w:bottom w:w="70" w:type="dxa"/>
              <w:end w:w="85" w:type="dxa"/>
            </w:tcMar>
          </w:tcPr>
          <w:p>
            <w:pPr>
              <w:spacing w:after="0" w:before="0"/>
            </w:pPr>
            <w:r/>
            <w:r>
              <w:rPr>
                <w:rFonts w:ascii="Aptos" w:hAnsi="Aptos"/>
                <w:b w:val="0"/>
                <w:color w:val="26333D"/>
                <w:sz w:val="14"/>
              </w:rPr>
              <w:t>[new EV]</w:t>
            </w:r>
          </w:p>
        </w:tc>
        <w:tc>
          <w:tcPr>
            <w:tcW w:type="dxa" w:w="1152"/>
            <w:vAlign w:val="center"/>
            <w:tcMar>
              <w:top w:w="70" w:type="dxa"/>
              <w:start w:w="85" w:type="dxa"/>
              <w:bottom w:w="70" w:type="dxa"/>
              <w:end w:w="85" w:type="dxa"/>
            </w:tcMar>
          </w:tcPr>
          <w:p>
            <w:pPr>
              <w:spacing w:after="0" w:before="0"/>
            </w:pPr>
            <w:r/>
            <w:r>
              <w:rPr>
                <w:rFonts w:ascii="Aptos" w:hAnsi="Aptos"/>
                <w:b w:val="0"/>
                <w:color w:val="26333D"/>
                <w:sz w:val="14"/>
              </w:rPr>
              <w:t>[owner]</w:t>
            </w:r>
          </w:p>
        </w:tc>
      </w:tr>
    </w:tbl>
    <w:p>
      <w:pPr>
        <w:spacing w:after="0"/>
      </w:pPr>
    </w:p>
    <w:p>
      <w:r>
        <w:br w:type="page"/>
      </w:r>
    </w:p>
    <w:p>
      <w:pPr>
        <w:pStyle w:val="Heading1"/>
      </w:pPr>
      <w:r>
        <w:t>12. CM-05 — Change Approval &amp; Release Gate Record</w:t>
      </w:r>
    </w:p>
    <w:p>
      <w:pPr>
        <w:spacing w:after="50"/>
      </w:pPr>
      <w:r>
        <w:rPr>
          <w:b/>
        </w:rPr>
        <w:t xml:space="preserve">Change request ID: </w:t>
      </w:r>
      <w:r>
        <w:t>[Complete]</w:t>
      </w:r>
    </w:p>
    <w:p>
      <w:pPr>
        <w:spacing w:after="50"/>
      </w:pPr>
      <w:r>
        <w:rPr>
          <w:b/>
        </w:rPr>
        <w:t xml:space="preserve">AI system / AI ID: </w:t>
      </w:r>
      <w:r>
        <w:t>[Complete]</w:t>
      </w:r>
    </w:p>
    <w:p>
      <w:pPr>
        <w:spacing w:after="50"/>
      </w:pPr>
      <w:r>
        <w:rPr>
          <w:b/>
        </w:rPr>
        <w:t xml:space="preserve">Change class: </w:t>
      </w:r>
      <w:r>
        <w:t>[Complete]</w:t>
      </w:r>
    </w:p>
    <w:p>
      <w:pPr>
        <w:spacing w:after="50"/>
      </w:pPr>
      <w:r>
        <w:rPr>
          <w:b/>
        </w:rPr>
        <w:t xml:space="preserve">Emergency flag: </w:t>
      </w:r>
      <w:r>
        <w:t>[Complete]</w:t>
      </w:r>
    </w:p>
    <w:p>
      <w:pPr>
        <w:spacing w:after="50"/>
      </w:pPr>
      <w:r>
        <w:rPr>
          <w:b/>
        </w:rPr>
        <w:t xml:space="preserve">Target environment: </w:t>
      </w:r>
      <w:r>
        <w:t>Pilot / Production / Other</w:t>
      </w:r>
    </w:p>
    <w:p>
      <w:pPr>
        <w:spacing w:after="50"/>
      </w:pPr>
      <w:r>
        <w:rPr>
          <w:b/>
        </w:rPr>
        <w:t xml:space="preserve">Current governance gate: </w:t>
      </w:r>
      <w:r>
        <w:t>[Complete]</w:t>
      </w:r>
    </w:p>
    <w:p>
      <w:pPr>
        <w:spacing w:after="50"/>
      </w:pPr>
      <w:r>
        <w:rPr>
          <w:b/>
        </w:rPr>
        <w:t xml:space="preserve">Requested governance gate: </w:t>
      </w:r>
      <w:r>
        <w:t>[Complete]</w:t>
      </w:r>
    </w:p>
    <w:p>
      <w:pPr>
        <w:spacing w:after="50"/>
      </w:pPr>
      <w:r>
        <w:rPr>
          <w:b/>
        </w:rPr>
        <w:t xml:space="preserve">Current residual risk: </w:t>
      </w:r>
      <w:r>
        <w:t>[Complete]</w:t>
      </w:r>
    </w:p>
    <w:p>
      <w:pPr>
        <w:spacing w:after="50"/>
      </w:pPr>
      <w:r>
        <w:rPr>
          <w:b/>
        </w:rPr>
        <w:t xml:space="preserve">Post-change residual risk: </w:t>
      </w:r>
      <w:r>
        <w:t>[Complete]</w:t>
      </w:r>
    </w:p>
    <w:p>
      <w:pPr>
        <w:spacing w:after="50"/>
      </w:pPr>
      <w:r>
        <w:rPr>
          <w:b/>
        </w:rPr>
        <w:t xml:space="preserve">Target residual risk: </w:t>
      </w:r>
      <w:r>
        <w:t>[Complete]</w:t>
      </w:r>
    </w:p>
    <w:p>
      <w:pPr>
        <w:pStyle w:val="Heading2"/>
      </w:pPr>
      <w:r>
        <w:t>12.1 Gate readiness</w:t>
      </w:r>
    </w:p>
    <w:p>
      <w:pPr>
        <w:spacing w:after="40"/>
      </w:pPr>
      <w:r>
        <w:t>☐ Change matches approved design and scope.</w:t>
      </w:r>
    </w:p>
    <w:p>
      <w:pPr>
        <w:spacing w:after="40"/>
      </w:pPr>
      <w:r>
        <w:t>☐ Required risk/impact/legal/privacy/security/safety reassessments are complete.</w:t>
      </w:r>
    </w:p>
    <w:p>
      <w:pPr>
        <w:spacing w:after="40"/>
      </w:pPr>
      <w:r>
        <w:t>☐ Required tests passed or exceptions are explicitly approved.</w:t>
      </w:r>
    </w:p>
    <w:p>
      <w:pPr>
        <w:spacing w:after="40"/>
      </w:pPr>
      <w:r>
        <w:t>☐ Human oversight remains effective and trained/authorized personnel are available.</w:t>
      </w:r>
    </w:p>
    <w:p>
      <w:pPr>
        <w:spacing w:after="40"/>
      </w:pPr>
      <w:r>
        <w:t>☐ Rollback / suspension route is validated.</w:t>
      </w:r>
    </w:p>
    <w:p>
      <w:pPr>
        <w:spacing w:after="40"/>
      </w:pPr>
      <w:r>
        <w:t>☐ Monitoring and alert thresholds reflect the changed system.</w:t>
      </w:r>
    </w:p>
    <w:p>
      <w:pPr>
        <w:spacing w:after="40"/>
      </w:pPr>
      <w:r>
        <w:t>☐ Documentation and inventory fields are updated.</w:t>
      </w:r>
    </w:p>
    <w:p>
      <w:pPr>
        <w:spacing w:after="40"/>
      </w:pPr>
      <w:r>
        <w:t>☐ Vendor/contract/DPA changes are approved where applicable.</w:t>
      </w:r>
    </w:p>
    <w:p>
      <w:pPr>
        <w:spacing w:after="40"/>
      </w:pPr>
      <w:r>
        <w:t>☐ Evidence package is complete and traceable.</w:t>
      </w:r>
    </w:p>
    <w:p>
      <w:pPr>
        <w:spacing w:after="40"/>
      </w:pPr>
      <w:r>
        <w:t>☐ No unresolved Critical residual risk is being treated as routine approval.</w:t>
      </w:r>
    </w:p>
    <w:p>
      <w:pPr>
        <w:pStyle w:val="Heading2"/>
      </w:pPr>
      <w:r>
        <w:t>12.2 Specialist sign-off</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376"/>
            <w:vAlign w:val="center"/>
            <w:tcMar>
              <w:top w:w="70" w:type="dxa"/>
              <w:start w:w="85" w:type="dxa"/>
              <w:bottom w:w="70" w:type="dxa"/>
              <w:end w:w="85" w:type="dxa"/>
            </w:tcMar>
            <w:shd w:fill="173B57"/>
          </w:tcPr>
          <w:p>
            <w:pPr>
              <w:spacing w:after="0" w:before="0"/>
            </w:pPr>
            <w:r/>
            <w:r>
              <w:rPr>
                <w:rFonts w:ascii="Aptos" w:hAnsi="Aptos"/>
                <w:b/>
                <w:color w:val="FFFFFF"/>
                <w:sz w:val="14"/>
              </w:rPr>
              <w:t>Function</w:t>
            </w:r>
          </w:p>
        </w:tc>
        <w:tc>
          <w:tcPr>
            <w:tcW w:type="dxa" w:w="1656"/>
            <w:vAlign w:val="center"/>
            <w:tcMar>
              <w:top w:w="70" w:type="dxa"/>
              <w:start w:w="85" w:type="dxa"/>
              <w:bottom w:w="70" w:type="dxa"/>
              <w:end w:w="85" w:type="dxa"/>
            </w:tcMar>
            <w:shd w:fill="173B57"/>
          </w:tcPr>
          <w:p>
            <w:pPr>
              <w:spacing w:after="0" w:before="0"/>
            </w:pPr>
            <w:r/>
            <w:r>
              <w:rPr>
                <w:rFonts w:ascii="Aptos" w:hAnsi="Aptos"/>
                <w:b/>
                <w:color w:val="FFFFFF"/>
                <w:sz w:val="14"/>
              </w:rPr>
              <w:t>Required?</w:t>
            </w:r>
          </w:p>
        </w:tc>
        <w:tc>
          <w:tcPr>
            <w:tcW w:type="dxa" w:w="2088"/>
            <w:vAlign w:val="center"/>
            <w:tcMar>
              <w:top w:w="70" w:type="dxa"/>
              <w:start w:w="85" w:type="dxa"/>
              <w:bottom w:w="70" w:type="dxa"/>
              <w:end w:w="85" w:type="dxa"/>
            </w:tcMar>
            <w:shd w:fill="173B57"/>
          </w:tcPr>
          <w:p>
            <w:pPr>
              <w:spacing w:after="0" w:before="0"/>
            </w:pPr>
            <w:r/>
            <w:r>
              <w:rPr>
                <w:rFonts w:ascii="Aptos" w:hAnsi="Aptos"/>
                <w:b/>
                <w:color w:val="FFFFFF"/>
                <w:sz w:val="14"/>
              </w:rPr>
              <w:t>Decision</w:t>
            </w:r>
          </w:p>
        </w:tc>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4"/>
              </w:rPr>
              <w:t>Reviewer</w:t>
            </w:r>
          </w:p>
        </w:tc>
        <w:tc>
          <w:tcPr>
            <w:tcW w:type="dxa" w:w="2880"/>
            <w:vAlign w:val="center"/>
            <w:tcMar>
              <w:top w:w="70" w:type="dxa"/>
              <w:start w:w="85" w:type="dxa"/>
              <w:bottom w:w="70" w:type="dxa"/>
              <w:end w:w="85" w:type="dxa"/>
            </w:tcMar>
            <w:shd w:fill="173B57"/>
          </w:tcPr>
          <w:p>
            <w:pPr>
              <w:spacing w:after="0" w:before="0"/>
            </w:pPr>
            <w:r/>
            <w:r>
              <w:rPr>
                <w:rFonts w:ascii="Aptos" w:hAnsi="Aptos"/>
                <w:b/>
                <w:color w:val="FFFFFF"/>
                <w:sz w:val="14"/>
              </w:rPr>
              <w:t>Conditions / evidence</w:t>
            </w:r>
          </w:p>
        </w:tc>
      </w:tr>
      <w:tr>
        <w:trPr>
          <w:cantSplit/>
        </w:trPr>
        <w:tc>
          <w:tcPr>
            <w:tcW w:type="dxa" w:w="2376"/>
            <w:vAlign w:val="center"/>
            <w:tcMar>
              <w:top w:w="70" w:type="dxa"/>
              <w:start w:w="85" w:type="dxa"/>
              <w:bottom w:w="70" w:type="dxa"/>
              <w:end w:w="85" w:type="dxa"/>
            </w:tcMar>
          </w:tcPr>
          <w:p>
            <w:pPr>
              <w:spacing w:after="0" w:before="0"/>
            </w:pPr>
            <w:r/>
            <w:r>
              <w:rPr>
                <w:rFonts w:ascii="Aptos" w:hAnsi="Aptos"/>
                <w:b w:val="0"/>
                <w:color w:val="26333D"/>
                <w:sz w:val="14"/>
              </w:rPr>
              <w:t>AI Governance</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4"/>
              </w:rPr>
              <w:t>Yes for CM-C2/C3</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Security</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4"/>
              </w:rPr>
              <w:t>As triggered</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tcPr>
          <w:p>
            <w:pPr>
              <w:spacing w:after="0" w:before="0"/>
            </w:pPr>
            <w:r/>
            <w:r>
              <w:rPr>
                <w:rFonts w:ascii="Aptos" w:hAnsi="Aptos"/>
                <w:b w:val="0"/>
                <w:color w:val="26333D"/>
                <w:sz w:val="14"/>
              </w:rPr>
              <w:t>Privacy / DPO</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4"/>
              </w:rPr>
              <w:t>As triggered</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Legal</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4"/>
              </w:rPr>
              <w:t>As triggered</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tcPr>
          <w:p>
            <w:pPr>
              <w:spacing w:after="0" w:before="0"/>
            </w:pPr>
            <w:r/>
            <w:r>
              <w:rPr>
                <w:rFonts w:ascii="Aptos" w:hAnsi="Aptos"/>
                <w:b w:val="0"/>
                <w:color w:val="26333D"/>
                <w:sz w:val="14"/>
              </w:rPr>
              <w:t>HR</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4"/>
              </w:rPr>
              <w:t>People AI</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shd w:fill="F4F6F7"/>
          </w:tcPr>
          <w:p>
            <w:pPr>
              <w:spacing w:after="0" w:before="0"/>
            </w:pPr>
            <w:r/>
            <w:r>
              <w:rPr>
                <w:rFonts w:ascii="Aptos" w:hAnsi="Aptos"/>
                <w:b w:val="0"/>
                <w:color w:val="26333D"/>
                <w:sz w:val="14"/>
              </w:rPr>
              <w:t>Product Safety &amp; Quality</w:t>
            </w:r>
          </w:p>
        </w:tc>
        <w:tc>
          <w:tcPr>
            <w:tcW w:type="dxa" w:w="1656"/>
            <w:vAlign w:val="center"/>
            <w:tcMar>
              <w:top w:w="70" w:type="dxa"/>
              <w:start w:w="85" w:type="dxa"/>
              <w:bottom w:w="70" w:type="dxa"/>
              <w:end w:w="85" w:type="dxa"/>
            </w:tcMar>
            <w:shd w:fill="F4F6F7"/>
          </w:tcPr>
          <w:p>
            <w:pPr>
              <w:spacing w:after="0" w:before="0"/>
            </w:pPr>
            <w:r/>
            <w:r>
              <w:rPr>
                <w:rFonts w:ascii="Aptos" w:hAnsi="Aptos"/>
                <w:b w:val="0"/>
                <w:color w:val="26333D"/>
                <w:sz w:val="14"/>
              </w:rPr>
              <w:t>Safety/quality AI</w:t>
            </w:r>
          </w:p>
        </w:tc>
        <w:tc>
          <w:tcPr>
            <w:tcW w:type="dxa" w:w="2088"/>
            <w:vAlign w:val="center"/>
            <w:tcMar>
              <w:top w:w="70" w:type="dxa"/>
              <w:start w:w="85" w:type="dxa"/>
              <w:bottom w:w="70" w:type="dxa"/>
              <w:end w:w="85" w:type="dxa"/>
            </w:tcMar>
            <w:shd w:fill="F4F6F7"/>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shd w:fill="F4F6F7"/>
          </w:tcPr>
          <w:p>
            <w:pPr>
              <w:spacing w:after="0" w:before="0"/>
            </w:pPr>
            <w:r/>
            <w:r>
              <w:rPr>
                <w:rFonts w:ascii="Aptos" w:hAnsi="Aptos"/>
                <w:b w:val="0"/>
                <w:color w:val="26333D"/>
                <w:sz w:val="14"/>
              </w:rPr>
              <w:t>[details]</w:t>
            </w:r>
          </w:p>
        </w:tc>
      </w:tr>
      <w:tr>
        <w:trPr>
          <w:cantSplit/>
        </w:trPr>
        <w:tc>
          <w:tcPr>
            <w:tcW w:type="dxa" w:w="2376"/>
            <w:vAlign w:val="center"/>
            <w:tcMar>
              <w:top w:w="70" w:type="dxa"/>
              <w:start w:w="85" w:type="dxa"/>
              <w:bottom w:w="70" w:type="dxa"/>
              <w:end w:w="85" w:type="dxa"/>
            </w:tcMar>
          </w:tcPr>
          <w:p>
            <w:pPr>
              <w:spacing w:after="0" w:before="0"/>
            </w:pPr>
            <w:r/>
            <w:r>
              <w:rPr>
                <w:rFonts w:ascii="Aptos" w:hAnsi="Aptos"/>
                <w:b w:val="0"/>
                <w:color w:val="26333D"/>
                <w:sz w:val="14"/>
              </w:rPr>
              <w:t>Procurement / Vendor Assurance</w:t>
            </w:r>
          </w:p>
        </w:tc>
        <w:tc>
          <w:tcPr>
            <w:tcW w:type="dxa" w:w="1656"/>
            <w:vAlign w:val="center"/>
            <w:tcMar>
              <w:top w:w="70" w:type="dxa"/>
              <w:start w:w="85" w:type="dxa"/>
              <w:bottom w:w="70" w:type="dxa"/>
              <w:end w:w="85" w:type="dxa"/>
            </w:tcMar>
          </w:tcPr>
          <w:p>
            <w:pPr>
              <w:spacing w:after="0" w:before="0"/>
            </w:pPr>
            <w:r/>
            <w:r>
              <w:rPr>
                <w:rFonts w:ascii="Aptos" w:hAnsi="Aptos"/>
                <w:b w:val="0"/>
                <w:color w:val="26333D"/>
                <w:sz w:val="14"/>
              </w:rPr>
              <w:t>Third-party AI</w:t>
            </w:r>
          </w:p>
        </w:tc>
        <w:tc>
          <w:tcPr>
            <w:tcW w:type="dxa" w:w="2088"/>
            <w:vAlign w:val="center"/>
            <w:tcMar>
              <w:top w:w="70" w:type="dxa"/>
              <w:start w:w="85" w:type="dxa"/>
              <w:bottom w:w="70" w:type="dxa"/>
              <w:end w:w="85" w:type="dxa"/>
            </w:tcMar>
          </w:tcPr>
          <w:p>
            <w:pPr>
              <w:spacing w:after="0" w:before="0"/>
            </w:pPr>
            <w:r/>
            <w:r>
              <w:rPr>
                <w:rFonts w:ascii="Aptos" w:hAnsi="Aptos"/>
                <w:b w:val="0"/>
                <w:color w:val="26333D"/>
                <w:sz w:val="14"/>
              </w:rPr>
              <w:t>Approve / Hold / N/A</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4"/>
              </w:rPr>
              <w:t>[name]</w:t>
            </w:r>
          </w:p>
        </w:tc>
        <w:tc>
          <w:tcPr>
            <w:tcW w:type="dxa" w:w="2880"/>
            <w:vAlign w:val="center"/>
            <w:tcMar>
              <w:top w:w="70" w:type="dxa"/>
              <w:start w:w="85" w:type="dxa"/>
              <w:bottom w:w="70" w:type="dxa"/>
              <w:end w:w="85" w:type="dxa"/>
            </w:tcMar>
          </w:tcPr>
          <w:p>
            <w:pPr>
              <w:spacing w:after="0" w:before="0"/>
            </w:pPr>
            <w:r/>
            <w:r>
              <w:rPr>
                <w:rFonts w:ascii="Aptos" w:hAnsi="Aptos"/>
                <w:b w:val="0"/>
                <w:color w:val="26333D"/>
                <w:sz w:val="14"/>
              </w:rPr>
              <w:t>[details]</w:t>
            </w:r>
          </w:p>
        </w:tc>
      </w:tr>
    </w:tbl>
    <w:p>
      <w:pPr>
        <w:spacing w:after="0"/>
      </w:pPr>
    </w:p>
    <w:p>
      <w:pPr>
        <w:pStyle w:val="Heading2"/>
      </w:pPr>
      <w:r>
        <w:t>12.3 Release decision</w:t>
      </w:r>
    </w:p>
    <w:p>
      <w:pPr>
        <w:spacing w:after="40"/>
      </w:pPr>
      <w:r>
        <w:t>☐ Approved</w:t>
      </w:r>
    </w:p>
    <w:p>
      <w:pPr>
        <w:spacing w:after="40"/>
      </w:pPr>
      <w:r>
        <w:t>☐ Approved with conditions</w:t>
      </w:r>
    </w:p>
    <w:p>
      <w:pPr>
        <w:spacing w:after="40"/>
      </w:pPr>
      <w:r>
        <w:t>☐ Restricted pilot only</w:t>
      </w:r>
    </w:p>
    <w:p>
      <w:pPr>
        <w:spacing w:after="40"/>
      </w:pPr>
      <w:r>
        <w:t>☐ Held pending evidence</w:t>
      </w:r>
    </w:p>
    <w:p>
      <w:pPr>
        <w:spacing w:after="40"/>
      </w:pPr>
      <w:r>
        <w:t>☐ Rejected / redesign required</w:t>
      </w:r>
    </w:p>
    <w:p>
      <w:pPr>
        <w:spacing w:after="40"/>
      </w:pPr>
      <w:r>
        <w:t>☐ Emergency containment implemented; retrospective review required</w:t>
      </w:r>
    </w:p>
    <w:p>
      <w:pPr>
        <w:spacing w:after="50"/>
      </w:pPr>
      <w:r>
        <w:rPr>
          <w:b/>
        </w:rPr>
        <w:t xml:space="preserve">Approver / authority: </w:t>
      </w:r>
      <w:r>
        <w:t>[Complete]</w:t>
      </w:r>
    </w:p>
    <w:p>
      <w:pPr>
        <w:spacing w:after="50"/>
      </w:pPr>
      <w:r>
        <w:rPr>
          <w:b/>
        </w:rPr>
        <w:t xml:space="preserve">Approval conditions: </w:t>
      </w:r>
      <w:r>
        <w:t>[Complete]</w:t>
      </w:r>
    </w:p>
    <w:p>
      <w:pPr>
        <w:spacing w:after="50"/>
      </w:pPr>
      <w:r>
        <w:rPr>
          <w:b/>
        </w:rPr>
        <w:t xml:space="preserve">Post-release verification owner: </w:t>
      </w:r>
      <w:r>
        <w:t>[Complete]</w:t>
      </w:r>
    </w:p>
    <w:p>
      <w:pPr>
        <w:spacing w:after="50"/>
      </w:pPr>
      <w:r>
        <w:rPr>
          <w:b/>
        </w:rPr>
        <w:t xml:space="preserve">Verification due: </w:t>
      </w:r>
      <w:r>
        <w:t>[Complete]</w:t>
      </w:r>
    </w:p>
    <w:p>
      <w:pPr>
        <w:spacing w:after="50"/>
      </w:pPr>
      <w:r>
        <w:rPr>
          <w:b/>
        </w:rPr>
        <w:t xml:space="preserve">Next reassessment trigger/date: </w:t>
      </w:r>
      <w:r>
        <w:t>[trigger or scheduled review]</w:t>
      </w:r>
    </w:p>
    <w:p>
      <w:pPr>
        <w:pStyle w:val="Heading1"/>
      </w:pPr>
      <w:r>
        <w:t>13. CM-06 — Emergency AI Change Procedure</w:t>
      </w:r>
    </w:p>
    <w:p>
      <w:pPr>
        <w:spacing w:after="100" w:line="247" w:lineRule="auto"/>
      </w:pPr>
      <w:r>
        <w:t>Emergency changes are permitted only to contain, restore or prevent material harm when the normal lead time is not practical. This is a Duckworks internal operating rule and does not waive any applicable legal notification, safety, privacy or other obligations.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728"/>
            <w:vAlign w:val="center"/>
            <w:tcMar>
              <w:top w:w="70" w:type="dxa"/>
              <w:start w:w="85" w:type="dxa"/>
              <w:bottom w:w="70" w:type="dxa"/>
              <w:end w:w="85" w:type="dxa"/>
            </w:tcMar>
            <w:shd w:fill="173B57"/>
          </w:tcPr>
          <w:p>
            <w:pPr>
              <w:spacing w:after="0" w:before="0"/>
            </w:pPr>
            <w:r/>
            <w:r>
              <w:rPr>
                <w:rFonts w:ascii="Aptos" w:hAnsi="Aptos"/>
                <w:b/>
                <w:color w:val="FFFFFF"/>
                <w:sz w:val="16"/>
              </w:rPr>
              <w:t>Step</w:t>
            </w:r>
          </w:p>
        </w:tc>
        <w:tc>
          <w:tcPr>
            <w:tcW w:type="dxa" w:w="7632"/>
            <w:vAlign w:val="center"/>
            <w:tcMar>
              <w:top w:w="70" w:type="dxa"/>
              <w:start w:w="85" w:type="dxa"/>
              <w:bottom w:w="70" w:type="dxa"/>
              <w:end w:w="85" w:type="dxa"/>
            </w:tcMar>
            <w:shd w:fill="173B57"/>
          </w:tcPr>
          <w:p>
            <w:pPr>
              <w:spacing w:after="0" w:before="0"/>
            </w:pPr>
            <w:r/>
            <w:r>
              <w:rPr>
                <w:rFonts w:ascii="Aptos" w:hAnsi="Aptos"/>
                <w:b/>
                <w:color w:val="FFFFFF"/>
                <w:sz w:val="16"/>
              </w:rPr>
              <w:t>Emergency action</w:t>
            </w:r>
          </w:p>
        </w:tc>
      </w:tr>
      <w:tr>
        <w:trPr>
          <w:cantSplit/>
        </w:trPr>
        <w:tc>
          <w:tcPr>
            <w:tcW w:type="dxa" w:w="1728"/>
            <w:vAlign w:val="center"/>
            <w:tcMar>
              <w:top w:w="70" w:type="dxa"/>
              <w:start w:w="85" w:type="dxa"/>
              <w:bottom w:w="70" w:type="dxa"/>
              <w:end w:w="85" w:type="dxa"/>
            </w:tcMar>
          </w:tcPr>
          <w:p>
            <w:pPr>
              <w:spacing w:after="0" w:before="0"/>
            </w:pPr>
            <w:r/>
            <w:r>
              <w:rPr>
                <w:rFonts w:ascii="Aptos" w:hAnsi="Aptos"/>
                <w:b w:val="0"/>
                <w:color w:val="26333D"/>
                <w:sz w:val="16"/>
              </w:rPr>
              <w:t>1. Declare</w:t>
            </w:r>
          </w:p>
        </w:tc>
        <w:tc>
          <w:tcPr>
            <w:tcW w:type="dxa" w:w="7632"/>
            <w:vAlign w:val="center"/>
            <w:tcMar>
              <w:top w:w="70" w:type="dxa"/>
              <w:start w:w="85" w:type="dxa"/>
              <w:bottom w:w="70" w:type="dxa"/>
              <w:end w:w="85" w:type="dxa"/>
            </w:tcMar>
          </w:tcPr>
          <w:p>
            <w:pPr>
              <w:spacing w:after="0" w:before="0"/>
            </w:pPr>
            <w:r/>
            <w:r>
              <w:rPr>
                <w:rFonts w:ascii="Aptos" w:hAnsi="Aptos"/>
                <w:b w:val="0"/>
                <w:color w:val="26333D"/>
                <w:sz w:val="16"/>
              </w:rPr>
              <w:t>Incident Commander / CISO / authorized service owner identifies urgent need; link incident or outage.</w:t>
            </w:r>
          </w:p>
        </w:tc>
      </w:tr>
      <w:tr>
        <w:trPr>
          <w:cantSplit/>
        </w:trPr>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6"/>
              </w:rPr>
              <w:t>2. Classify</w:t>
            </w:r>
          </w:p>
        </w:tc>
        <w:tc>
          <w:tcPr>
            <w:tcW w:type="dxa" w:w="7632"/>
            <w:vAlign w:val="center"/>
            <w:tcMar>
              <w:top w:w="70" w:type="dxa"/>
              <w:start w:w="85" w:type="dxa"/>
              <w:bottom w:w="70" w:type="dxa"/>
              <w:end w:w="85" w:type="dxa"/>
            </w:tcMar>
            <w:shd w:fill="F4F6F7"/>
          </w:tcPr>
          <w:p>
            <w:pPr>
              <w:spacing w:after="0" w:before="0"/>
            </w:pPr>
            <w:r/>
            <w:r>
              <w:rPr>
                <w:rFonts w:ascii="Aptos" w:hAnsi="Aptos"/>
                <w:b w:val="0"/>
                <w:color w:val="26333D"/>
                <w:sz w:val="16"/>
              </w:rPr>
              <w:t>Assign normal CM-C class plus Emergency flag; document what normal evidence cannot be completed pre-change.</w:t>
            </w:r>
          </w:p>
        </w:tc>
      </w:tr>
      <w:tr>
        <w:trPr>
          <w:cantSplit/>
        </w:trPr>
        <w:tc>
          <w:tcPr>
            <w:tcW w:type="dxa" w:w="1728"/>
            <w:vAlign w:val="center"/>
            <w:tcMar>
              <w:top w:w="70" w:type="dxa"/>
              <w:start w:w="85" w:type="dxa"/>
              <w:bottom w:w="70" w:type="dxa"/>
              <w:end w:w="85" w:type="dxa"/>
            </w:tcMar>
          </w:tcPr>
          <w:p>
            <w:pPr>
              <w:spacing w:after="0" w:before="0"/>
            </w:pPr>
            <w:r/>
            <w:r>
              <w:rPr>
                <w:rFonts w:ascii="Aptos" w:hAnsi="Aptos"/>
                <w:b w:val="0"/>
                <w:color w:val="26333D"/>
                <w:sz w:val="16"/>
              </w:rPr>
              <w:t>3. Authorize</w:t>
            </w:r>
          </w:p>
        </w:tc>
        <w:tc>
          <w:tcPr>
            <w:tcW w:type="dxa" w:w="7632"/>
            <w:vAlign w:val="center"/>
            <w:tcMar>
              <w:top w:w="70" w:type="dxa"/>
              <w:start w:w="85" w:type="dxa"/>
              <w:bottom w:w="70" w:type="dxa"/>
              <w:end w:w="85" w:type="dxa"/>
            </w:tcMar>
          </w:tcPr>
          <w:p>
            <w:pPr>
              <w:spacing w:after="0" w:before="0"/>
            </w:pPr>
            <w:r/>
            <w:r>
              <w:rPr>
                <w:rFonts w:ascii="Aptos" w:hAnsi="Aptos"/>
                <w:b w:val="0"/>
                <w:color w:val="26333D"/>
                <w:sz w:val="16"/>
              </w:rPr>
              <w:t>Obtain minimum emergency authority: service/business owner + relevant incident authority; for rights/safety implications, include CRCO/Legal/appropriate specialist where feasible.</w:t>
            </w:r>
          </w:p>
        </w:tc>
      </w:tr>
      <w:tr>
        <w:trPr>
          <w:cantSplit/>
        </w:trPr>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6"/>
              </w:rPr>
              <w:t>4. Protect</w:t>
            </w:r>
          </w:p>
        </w:tc>
        <w:tc>
          <w:tcPr>
            <w:tcW w:type="dxa" w:w="7632"/>
            <w:vAlign w:val="center"/>
            <w:tcMar>
              <w:top w:w="70" w:type="dxa"/>
              <w:start w:w="85" w:type="dxa"/>
              <w:bottom w:w="70" w:type="dxa"/>
              <w:end w:w="85" w:type="dxa"/>
            </w:tcMar>
            <w:shd w:fill="F4F6F7"/>
          </w:tcPr>
          <w:p>
            <w:pPr>
              <w:spacing w:after="0" w:before="0"/>
            </w:pPr>
            <w:r/>
            <w:r>
              <w:rPr>
                <w:rFonts w:ascii="Aptos" w:hAnsi="Aptos"/>
                <w:b w:val="0"/>
                <w:color w:val="26333D"/>
                <w:sz w:val="16"/>
              </w:rPr>
              <w:t>Prefer reversible containment: disable feature, block connector, revert model, restrict access, route to human fallback.</w:t>
            </w:r>
          </w:p>
        </w:tc>
      </w:tr>
      <w:tr>
        <w:trPr>
          <w:cantSplit/>
        </w:trPr>
        <w:tc>
          <w:tcPr>
            <w:tcW w:type="dxa" w:w="1728"/>
            <w:vAlign w:val="center"/>
            <w:tcMar>
              <w:top w:w="70" w:type="dxa"/>
              <w:start w:w="85" w:type="dxa"/>
              <w:bottom w:w="70" w:type="dxa"/>
              <w:end w:w="85" w:type="dxa"/>
            </w:tcMar>
          </w:tcPr>
          <w:p>
            <w:pPr>
              <w:spacing w:after="0" w:before="0"/>
            </w:pPr>
            <w:r/>
            <w:r>
              <w:rPr>
                <w:rFonts w:ascii="Aptos" w:hAnsi="Aptos"/>
                <w:b w:val="0"/>
                <w:color w:val="26333D"/>
                <w:sz w:val="16"/>
              </w:rPr>
              <w:t>5. Implement</w:t>
            </w:r>
          </w:p>
        </w:tc>
        <w:tc>
          <w:tcPr>
            <w:tcW w:type="dxa" w:w="7632"/>
            <w:vAlign w:val="center"/>
            <w:tcMar>
              <w:top w:w="70" w:type="dxa"/>
              <w:start w:w="85" w:type="dxa"/>
              <w:bottom w:w="70" w:type="dxa"/>
              <w:end w:w="85" w:type="dxa"/>
            </w:tcMar>
          </w:tcPr>
          <w:p>
            <w:pPr>
              <w:spacing w:after="0" w:before="0"/>
            </w:pPr>
            <w:r/>
            <w:r>
              <w:rPr>
                <w:rFonts w:ascii="Aptos" w:hAnsi="Aptos"/>
                <w:b w:val="0"/>
                <w:color w:val="26333D"/>
                <w:sz w:val="16"/>
              </w:rPr>
              <w:t>Deploy the minimum necessary change; preserve before/after configuration and logs.</w:t>
            </w:r>
          </w:p>
        </w:tc>
      </w:tr>
      <w:tr>
        <w:trPr>
          <w:cantSplit/>
        </w:trPr>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6"/>
              </w:rPr>
              <w:t>6. Verify</w:t>
            </w:r>
          </w:p>
        </w:tc>
        <w:tc>
          <w:tcPr>
            <w:tcW w:type="dxa" w:w="7632"/>
            <w:vAlign w:val="center"/>
            <w:tcMar>
              <w:top w:w="70" w:type="dxa"/>
              <w:start w:w="85" w:type="dxa"/>
              <w:bottom w:w="70" w:type="dxa"/>
              <w:end w:w="85" w:type="dxa"/>
            </w:tcMar>
            <w:shd w:fill="F4F6F7"/>
          </w:tcPr>
          <w:p>
            <w:pPr>
              <w:spacing w:after="0" w:before="0"/>
            </w:pPr>
            <w:r/>
            <w:r>
              <w:rPr>
                <w:rFonts w:ascii="Aptos" w:hAnsi="Aptos"/>
                <w:b w:val="0"/>
                <w:color w:val="26333D"/>
                <w:sz w:val="16"/>
              </w:rPr>
              <w:t>Confirm containment/restoration and monitor for adverse side effects.</w:t>
            </w:r>
          </w:p>
        </w:tc>
      </w:tr>
      <w:tr>
        <w:trPr>
          <w:cantSplit/>
        </w:trPr>
        <w:tc>
          <w:tcPr>
            <w:tcW w:type="dxa" w:w="1728"/>
            <w:vAlign w:val="center"/>
            <w:tcMar>
              <w:top w:w="70" w:type="dxa"/>
              <w:start w:w="85" w:type="dxa"/>
              <w:bottom w:w="70" w:type="dxa"/>
              <w:end w:w="85" w:type="dxa"/>
            </w:tcMar>
          </w:tcPr>
          <w:p>
            <w:pPr>
              <w:spacing w:after="0" w:before="0"/>
            </w:pPr>
            <w:r/>
            <w:r>
              <w:rPr>
                <w:rFonts w:ascii="Aptos" w:hAnsi="Aptos"/>
                <w:b w:val="0"/>
                <w:color w:val="26333D"/>
                <w:sz w:val="16"/>
              </w:rPr>
              <w:t>7. Record</w:t>
            </w:r>
          </w:p>
        </w:tc>
        <w:tc>
          <w:tcPr>
            <w:tcW w:type="dxa" w:w="7632"/>
            <w:vAlign w:val="center"/>
            <w:tcMar>
              <w:top w:w="70" w:type="dxa"/>
              <w:start w:w="85" w:type="dxa"/>
              <w:bottom w:w="70" w:type="dxa"/>
              <w:end w:w="85" w:type="dxa"/>
            </w:tcMar>
          </w:tcPr>
          <w:p>
            <w:pPr>
              <w:spacing w:after="0" w:before="0"/>
            </w:pPr>
            <w:r/>
            <w:r>
              <w:rPr>
                <w:rFonts w:ascii="Aptos" w:hAnsi="Aptos"/>
                <w:b w:val="0"/>
                <w:color w:val="26333D"/>
                <w:sz w:val="16"/>
              </w:rPr>
              <w:t>Create/complete change record no later than the next business day.</w:t>
            </w:r>
          </w:p>
        </w:tc>
      </w:tr>
      <w:tr>
        <w:trPr>
          <w:cantSplit/>
        </w:trPr>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6"/>
              </w:rPr>
              <w:t>8. Retrospective review</w:t>
            </w:r>
          </w:p>
        </w:tc>
        <w:tc>
          <w:tcPr>
            <w:tcW w:type="dxa" w:w="7632"/>
            <w:vAlign w:val="center"/>
            <w:tcMar>
              <w:top w:w="70" w:type="dxa"/>
              <w:start w:w="85" w:type="dxa"/>
              <w:bottom w:w="70" w:type="dxa"/>
              <w:end w:w="85" w:type="dxa"/>
            </w:tcMar>
            <w:shd w:fill="F4F6F7"/>
          </w:tcPr>
          <w:p>
            <w:pPr>
              <w:spacing w:after="0" w:before="0"/>
            </w:pPr>
            <w:r/>
            <w:r>
              <w:rPr>
                <w:rFonts w:ascii="Aptos" w:hAnsi="Aptos"/>
                <w:b w:val="0"/>
                <w:color w:val="26333D"/>
                <w:sz w:val="16"/>
              </w:rPr>
              <w:t>Complete normal reassessment, evidence and approval within five business days or before permanent retention of the change, whichever occurs first.</w:t>
            </w:r>
          </w:p>
        </w:tc>
      </w:tr>
      <w:tr>
        <w:trPr>
          <w:cantSplit/>
        </w:trPr>
        <w:tc>
          <w:tcPr>
            <w:tcW w:type="dxa" w:w="1728"/>
            <w:vAlign w:val="center"/>
            <w:tcMar>
              <w:top w:w="70" w:type="dxa"/>
              <w:start w:w="85" w:type="dxa"/>
              <w:bottom w:w="70" w:type="dxa"/>
              <w:end w:w="85" w:type="dxa"/>
            </w:tcMar>
          </w:tcPr>
          <w:p>
            <w:pPr>
              <w:spacing w:after="0" w:before="0"/>
            </w:pPr>
            <w:r/>
            <w:r>
              <w:rPr>
                <w:rFonts w:ascii="Aptos" w:hAnsi="Aptos"/>
                <w:b w:val="0"/>
                <w:color w:val="26333D"/>
                <w:sz w:val="16"/>
              </w:rPr>
              <w:t>9. Close or revert</w:t>
            </w:r>
          </w:p>
        </w:tc>
        <w:tc>
          <w:tcPr>
            <w:tcW w:type="dxa" w:w="7632"/>
            <w:vAlign w:val="center"/>
            <w:tcMar>
              <w:top w:w="70" w:type="dxa"/>
              <w:start w:w="85" w:type="dxa"/>
              <w:bottom w:w="70" w:type="dxa"/>
              <w:end w:w="85" w:type="dxa"/>
            </w:tcMar>
          </w:tcPr>
          <w:p>
            <w:pPr>
              <w:spacing w:after="0" w:before="0"/>
            </w:pPr>
            <w:r/>
            <w:r>
              <w:rPr>
                <w:rFonts w:ascii="Aptos" w:hAnsi="Aptos"/>
                <w:b w:val="0"/>
                <w:color w:val="26333D"/>
                <w:sz w:val="16"/>
              </w:rPr>
              <w:t>Either convert to approved permanent change or rollback/remove emergency configuration.</w:t>
            </w:r>
          </w:p>
        </w:tc>
      </w:tr>
    </w:tbl>
    <w:p>
      <w:pPr>
        <w:spacing w:after="0"/>
      </w:pPr>
    </w:p>
    <w:p>
      <w:pPr>
        <w:pStyle w:val="Heading2"/>
      </w:pPr>
      <w:r>
        <w:t>13.1 Emergency change minimum record</w:t>
      </w:r>
    </w:p>
    <w:p>
      <w:pPr>
        <w:spacing w:after="40"/>
      </w:pPr>
      <w:r>
        <w:t>☐ Incident / trigger and severity</w:t>
      </w:r>
    </w:p>
    <w:p>
      <w:pPr>
        <w:spacing w:after="40"/>
      </w:pPr>
      <w:r>
        <w:t>☐ AI system and version before change</w:t>
      </w:r>
    </w:p>
    <w:p>
      <w:pPr>
        <w:spacing w:after="40"/>
      </w:pPr>
      <w:r>
        <w:t>☐ Reason normal process could not be completed</w:t>
      </w:r>
    </w:p>
    <w:p>
      <w:pPr>
        <w:spacing w:after="40"/>
      </w:pPr>
      <w:r>
        <w:t>☐ Change made and exact configuration/version</w:t>
      </w:r>
    </w:p>
    <w:p>
      <w:pPr>
        <w:spacing w:after="40"/>
      </w:pPr>
      <w:r>
        <w:t>☐ Authority approving emergency action</w:t>
      </w:r>
    </w:p>
    <w:p>
      <w:pPr>
        <w:spacing w:after="40"/>
      </w:pPr>
      <w:r>
        <w:t>☐ Data/security/privacy/safety impact considered</w:t>
      </w:r>
    </w:p>
    <w:p>
      <w:pPr>
        <w:spacing w:after="40"/>
      </w:pPr>
      <w:r>
        <w:t>☐ Rollback/fallback</w:t>
      </w:r>
    </w:p>
    <w:p>
      <w:pPr>
        <w:spacing w:after="40"/>
      </w:pPr>
      <w:r>
        <w:t>☐ Verification evidence</w:t>
      </w:r>
    </w:p>
    <w:p>
      <w:pPr>
        <w:spacing w:after="40"/>
      </w:pPr>
      <w:r>
        <w:t>☐ Temporary controls</w:t>
      </w:r>
    </w:p>
    <w:p>
      <w:pPr>
        <w:spacing w:after="40"/>
      </w:pPr>
      <w:r>
        <w:t>☐ Retrospective-review owner and due date</w:t>
      </w:r>
    </w:p>
    <w:p>
      <w:pPr>
        <w:pStyle w:val="Heading1"/>
      </w:pPr>
      <w:r>
        <w:t>14. CM-07 — Third-Party Model / Vendor Change Procedure</w:t>
      </w:r>
    </w:p>
    <w:p>
      <w:pPr>
        <w:spacing w:after="100" w:line="247" w:lineRule="auto"/>
      </w:pPr>
      <w:r>
        <w:t>Vendor-driven changes can alter Duckworks risk without a traditional internal deployment. Procurement and system owners must therefore treat material vendor notices as change triggers rather than passive communications.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tcMar>
              <w:top w:w="70" w:type="dxa"/>
              <w:start w:w="85" w:type="dxa"/>
              <w:bottom w:w="70" w:type="dxa"/>
              <w:end w:w="85" w:type="dxa"/>
            </w:tcMar>
            <w:shd w:fill="173B57"/>
          </w:tcPr>
          <w:p>
            <w:pPr>
              <w:spacing w:after="0" w:before="0"/>
            </w:pPr>
            <w:r/>
            <w:r>
              <w:rPr>
                <w:rFonts w:ascii="Aptos" w:hAnsi="Aptos"/>
                <w:b/>
                <w:color w:val="FFFFFF"/>
                <w:sz w:val="15"/>
              </w:rPr>
              <w:t>Vendor change</w:t>
            </w:r>
          </w:p>
        </w:tc>
        <w:tc>
          <w:tcPr>
            <w:tcW w:type="dxa" w:w="3672"/>
            <w:vAlign w:val="center"/>
            <w:tcMar>
              <w:top w:w="70" w:type="dxa"/>
              <w:start w:w="85" w:type="dxa"/>
              <w:bottom w:w="70" w:type="dxa"/>
              <w:end w:w="85" w:type="dxa"/>
            </w:tcMar>
            <w:shd w:fill="173B57"/>
          </w:tcPr>
          <w:p>
            <w:pPr>
              <w:spacing w:after="0" w:before="0"/>
            </w:pPr>
            <w:r/>
            <w:r>
              <w:rPr>
                <w:rFonts w:ascii="Aptos" w:hAnsi="Aptos"/>
                <w:b/>
                <w:color w:val="FFFFFF"/>
                <w:sz w:val="15"/>
              </w:rPr>
              <w:t>Potential impact</w:t>
            </w:r>
          </w:p>
        </w:tc>
        <w:tc>
          <w:tcPr>
            <w:tcW w:type="dxa" w:w="3240"/>
            <w:vAlign w:val="center"/>
            <w:tcMar>
              <w:top w:w="70" w:type="dxa"/>
              <w:start w:w="85" w:type="dxa"/>
              <w:bottom w:w="70" w:type="dxa"/>
              <w:end w:w="85" w:type="dxa"/>
            </w:tcMar>
            <w:shd w:fill="173B57"/>
          </w:tcPr>
          <w:p>
            <w:pPr>
              <w:spacing w:after="0" w:before="0"/>
            </w:pPr>
            <w:r/>
            <w:r>
              <w:rPr>
                <w:rFonts w:ascii="Aptos" w:hAnsi="Aptos"/>
                <w:b/>
                <w:color w:val="FFFFFF"/>
                <w:sz w:val="15"/>
              </w:rPr>
              <w:t>Required response</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5"/>
              </w:rPr>
              <w:t>Model/service version</w:t>
            </w:r>
          </w:p>
        </w:tc>
        <w:tc>
          <w:tcPr>
            <w:tcW w:type="dxa" w:w="3672"/>
            <w:vAlign w:val="center"/>
            <w:tcMar>
              <w:top w:w="70" w:type="dxa"/>
              <w:start w:w="85" w:type="dxa"/>
              <w:bottom w:w="70" w:type="dxa"/>
              <w:end w:w="85" w:type="dxa"/>
            </w:tcMar>
          </w:tcPr>
          <w:p>
            <w:pPr>
              <w:spacing w:after="0" w:before="0"/>
            </w:pPr>
            <w:r/>
            <w:r>
              <w:rPr>
                <w:rFonts w:ascii="Aptos" w:hAnsi="Aptos"/>
                <w:b w:val="0"/>
                <w:color w:val="26333D"/>
                <w:sz w:val="15"/>
              </w:rPr>
              <w:t>Behavior, capability, guardrails, performance, compatibility</w:t>
            </w:r>
          </w:p>
        </w:tc>
        <w:tc>
          <w:tcPr>
            <w:tcW w:type="dxa" w:w="3240"/>
            <w:vAlign w:val="center"/>
            <w:tcMar>
              <w:top w:w="70" w:type="dxa"/>
              <w:start w:w="85" w:type="dxa"/>
              <w:bottom w:w="70" w:type="dxa"/>
              <w:end w:w="85" w:type="dxa"/>
            </w:tcMar>
          </w:tcPr>
          <w:p>
            <w:pPr>
              <w:spacing w:after="0" w:before="0"/>
            </w:pPr>
            <w:r/>
            <w:r>
              <w:rPr>
                <w:rFonts w:ascii="Aptos" w:hAnsi="Aptos"/>
                <w:b w:val="0"/>
                <w:color w:val="26333D"/>
                <w:sz w:val="15"/>
              </w:rPr>
              <w:t>Technical validation + risk/security review</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5"/>
              </w:rPr>
              <w:t>Hosting location / architecture</w:t>
            </w:r>
          </w:p>
        </w:tc>
        <w:tc>
          <w:tcPr>
            <w:tcW w:type="dxa" w:w="3672"/>
            <w:vAlign w:val="center"/>
            <w:tcMar>
              <w:top w:w="70" w:type="dxa"/>
              <w:start w:w="85" w:type="dxa"/>
              <w:bottom w:w="70" w:type="dxa"/>
              <w:end w:w="85" w:type="dxa"/>
            </w:tcMar>
            <w:shd w:fill="F4F6F7"/>
          </w:tcPr>
          <w:p>
            <w:pPr>
              <w:spacing w:after="0" w:before="0"/>
            </w:pPr>
            <w:r/>
            <w:r>
              <w:rPr>
                <w:rFonts w:ascii="Aptos" w:hAnsi="Aptos"/>
                <w:b w:val="0"/>
                <w:color w:val="26333D"/>
                <w:sz w:val="15"/>
              </w:rPr>
              <w:t>Data transfer, resilience, access, compliance, latency</w:t>
            </w:r>
          </w:p>
        </w:tc>
        <w:tc>
          <w:tcPr>
            <w:tcW w:type="dxa" w:w="3240"/>
            <w:vAlign w:val="center"/>
            <w:tcMar>
              <w:top w:w="70" w:type="dxa"/>
              <w:start w:w="85" w:type="dxa"/>
              <w:bottom w:w="70" w:type="dxa"/>
              <w:end w:w="85" w:type="dxa"/>
            </w:tcMar>
            <w:shd w:fill="F4F6F7"/>
          </w:tcPr>
          <w:p>
            <w:pPr>
              <w:spacing w:after="0" w:before="0"/>
            </w:pPr>
            <w:r/>
            <w:r>
              <w:rPr>
                <w:rFonts w:ascii="Aptos" w:hAnsi="Aptos"/>
                <w:b w:val="0"/>
                <w:color w:val="26333D"/>
                <w:sz w:val="15"/>
              </w:rPr>
              <w:t>Privacy/Legal/Security + BCP review</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5"/>
              </w:rPr>
              <w:t>Data use / training terms</w:t>
            </w:r>
          </w:p>
        </w:tc>
        <w:tc>
          <w:tcPr>
            <w:tcW w:type="dxa" w:w="3672"/>
            <w:vAlign w:val="center"/>
            <w:tcMar>
              <w:top w:w="70" w:type="dxa"/>
              <w:start w:w="85" w:type="dxa"/>
              <w:bottom w:w="70" w:type="dxa"/>
              <w:end w:w="85" w:type="dxa"/>
            </w:tcMar>
          </w:tcPr>
          <w:p>
            <w:pPr>
              <w:spacing w:after="0" w:before="0"/>
            </w:pPr>
            <w:r/>
            <w:r>
              <w:rPr>
                <w:rFonts w:ascii="Aptos" w:hAnsi="Aptos"/>
                <w:b w:val="0"/>
                <w:color w:val="26333D"/>
                <w:sz w:val="15"/>
              </w:rPr>
              <w:t>Confidentiality, IP, personal data, model improvement</w:t>
            </w:r>
          </w:p>
        </w:tc>
        <w:tc>
          <w:tcPr>
            <w:tcW w:type="dxa" w:w="3240"/>
            <w:vAlign w:val="center"/>
            <w:tcMar>
              <w:top w:w="70" w:type="dxa"/>
              <w:start w:w="85" w:type="dxa"/>
              <w:bottom w:w="70" w:type="dxa"/>
              <w:end w:w="85" w:type="dxa"/>
            </w:tcMar>
          </w:tcPr>
          <w:p>
            <w:pPr>
              <w:spacing w:after="0" w:before="0"/>
            </w:pPr>
            <w:r/>
            <w:r>
              <w:rPr>
                <w:rFonts w:ascii="Aptos" w:hAnsi="Aptos"/>
                <w:b w:val="0"/>
                <w:color w:val="26333D"/>
                <w:sz w:val="15"/>
              </w:rPr>
              <w:t>Legal/Privacy/Procurement review</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5"/>
              </w:rPr>
              <w:t>Retention / deletion</w:t>
            </w:r>
          </w:p>
        </w:tc>
        <w:tc>
          <w:tcPr>
            <w:tcW w:type="dxa" w:w="3672"/>
            <w:vAlign w:val="center"/>
            <w:tcMar>
              <w:top w:w="70" w:type="dxa"/>
              <w:start w:w="85" w:type="dxa"/>
              <w:bottom w:w="70" w:type="dxa"/>
              <w:end w:w="85" w:type="dxa"/>
            </w:tcMar>
            <w:shd w:fill="F4F6F7"/>
          </w:tcPr>
          <w:p>
            <w:pPr>
              <w:spacing w:after="0" w:before="0"/>
            </w:pPr>
            <w:r/>
            <w:r>
              <w:rPr>
                <w:rFonts w:ascii="Aptos" w:hAnsi="Aptos"/>
                <w:b w:val="0"/>
                <w:color w:val="26333D"/>
                <w:sz w:val="15"/>
              </w:rPr>
              <w:t>Data minimization, deletion evidence, incident exposure</w:t>
            </w:r>
          </w:p>
        </w:tc>
        <w:tc>
          <w:tcPr>
            <w:tcW w:type="dxa" w:w="3240"/>
            <w:vAlign w:val="center"/>
            <w:tcMar>
              <w:top w:w="70" w:type="dxa"/>
              <w:start w:w="85" w:type="dxa"/>
              <w:bottom w:w="70" w:type="dxa"/>
              <w:end w:w="85" w:type="dxa"/>
            </w:tcMar>
            <w:shd w:fill="F4F6F7"/>
          </w:tcPr>
          <w:p>
            <w:pPr>
              <w:spacing w:after="0" w:before="0"/>
            </w:pPr>
            <w:r/>
            <w:r>
              <w:rPr>
                <w:rFonts w:ascii="Aptos" w:hAnsi="Aptos"/>
                <w:b w:val="0"/>
                <w:color w:val="26333D"/>
                <w:sz w:val="15"/>
              </w:rPr>
              <w:t>Privacy/Security review</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5"/>
              </w:rPr>
              <w:t>Subprocessor / model provider</w:t>
            </w:r>
          </w:p>
        </w:tc>
        <w:tc>
          <w:tcPr>
            <w:tcW w:type="dxa" w:w="3672"/>
            <w:vAlign w:val="center"/>
            <w:tcMar>
              <w:top w:w="70" w:type="dxa"/>
              <w:start w:w="85" w:type="dxa"/>
              <w:bottom w:w="70" w:type="dxa"/>
              <w:end w:w="85" w:type="dxa"/>
            </w:tcMar>
          </w:tcPr>
          <w:p>
            <w:pPr>
              <w:spacing w:after="0" w:before="0"/>
            </w:pPr>
            <w:r/>
            <w:r>
              <w:rPr>
                <w:rFonts w:ascii="Aptos" w:hAnsi="Aptos"/>
                <w:b w:val="0"/>
                <w:color w:val="26333D"/>
                <w:sz w:val="15"/>
              </w:rPr>
              <w:t>Supply-chain risk, data flow, contractual coverage</w:t>
            </w:r>
          </w:p>
        </w:tc>
        <w:tc>
          <w:tcPr>
            <w:tcW w:type="dxa" w:w="3240"/>
            <w:vAlign w:val="center"/>
            <w:tcMar>
              <w:top w:w="70" w:type="dxa"/>
              <w:start w:w="85" w:type="dxa"/>
              <w:bottom w:w="70" w:type="dxa"/>
              <w:end w:w="85" w:type="dxa"/>
            </w:tcMar>
          </w:tcPr>
          <w:p>
            <w:pPr>
              <w:spacing w:after="0" w:before="0"/>
            </w:pPr>
            <w:r/>
            <w:r>
              <w:rPr>
                <w:rFonts w:ascii="Aptos" w:hAnsi="Aptos"/>
                <w:b w:val="0"/>
                <w:color w:val="26333D"/>
                <w:sz w:val="15"/>
              </w:rPr>
              <w:t>Vendor assurance + Legal/Privacy/Security</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5"/>
              </w:rPr>
              <w:t>Security controls / certifications</w:t>
            </w:r>
          </w:p>
        </w:tc>
        <w:tc>
          <w:tcPr>
            <w:tcW w:type="dxa" w:w="3672"/>
            <w:vAlign w:val="center"/>
            <w:tcMar>
              <w:top w:w="70" w:type="dxa"/>
              <w:start w:w="85" w:type="dxa"/>
              <w:bottom w:w="70" w:type="dxa"/>
              <w:end w:w="85" w:type="dxa"/>
            </w:tcMar>
            <w:shd w:fill="F4F6F7"/>
          </w:tcPr>
          <w:p>
            <w:pPr>
              <w:spacing w:after="0" w:before="0"/>
            </w:pPr>
            <w:r/>
            <w:r>
              <w:rPr>
                <w:rFonts w:ascii="Aptos" w:hAnsi="Aptos"/>
                <w:b w:val="0"/>
                <w:color w:val="26333D"/>
                <w:sz w:val="15"/>
              </w:rPr>
              <w:t>Assurance basis may become stale or weaker</w:t>
            </w:r>
          </w:p>
        </w:tc>
        <w:tc>
          <w:tcPr>
            <w:tcW w:type="dxa" w:w="3240"/>
            <w:vAlign w:val="center"/>
            <w:tcMar>
              <w:top w:w="70" w:type="dxa"/>
              <w:start w:w="85" w:type="dxa"/>
              <w:bottom w:w="70" w:type="dxa"/>
              <w:end w:w="85" w:type="dxa"/>
            </w:tcMar>
            <w:shd w:fill="F4F6F7"/>
          </w:tcPr>
          <w:p>
            <w:pPr>
              <w:spacing w:after="0" w:before="0"/>
            </w:pPr>
            <w:r/>
            <w:r>
              <w:rPr>
                <w:rFonts w:ascii="Aptos" w:hAnsi="Aptos"/>
                <w:b w:val="0"/>
                <w:color w:val="26333D"/>
                <w:sz w:val="15"/>
              </w:rPr>
              <w:t>Security/vendor re-assessment</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5"/>
              </w:rPr>
              <w:t>API/tool capability</w:t>
            </w:r>
          </w:p>
        </w:tc>
        <w:tc>
          <w:tcPr>
            <w:tcW w:type="dxa" w:w="3672"/>
            <w:vAlign w:val="center"/>
            <w:tcMar>
              <w:top w:w="70" w:type="dxa"/>
              <w:start w:w="85" w:type="dxa"/>
              <w:bottom w:w="70" w:type="dxa"/>
              <w:end w:w="85" w:type="dxa"/>
            </w:tcMar>
          </w:tcPr>
          <w:p>
            <w:pPr>
              <w:spacing w:after="0" w:before="0"/>
            </w:pPr>
            <w:r/>
            <w:r>
              <w:rPr>
                <w:rFonts w:ascii="Aptos" w:hAnsi="Aptos"/>
                <w:b w:val="0"/>
                <w:color w:val="26333D"/>
                <w:sz w:val="15"/>
              </w:rPr>
              <w:t>New actions, permissions, autonomy, data exposure</w:t>
            </w:r>
          </w:p>
        </w:tc>
        <w:tc>
          <w:tcPr>
            <w:tcW w:type="dxa" w:w="3240"/>
            <w:vAlign w:val="center"/>
            <w:tcMar>
              <w:top w:w="70" w:type="dxa"/>
              <w:start w:w="85" w:type="dxa"/>
              <w:bottom w:w="70" w:type="dxa"/>
              <w:end w:w="85" w:type="dxa"/>
            </w:tcMar>
          </w:tcPr>
          <w:p>
            <w:pPr>
              <w:spacing w:after="0" w:before="0"/>
            </w:pPr>
            <w:r/>
            <w:r>
              <w:rPr>
                <w:rFonts w:ascii="Aptos" w:hAnsi="Aptos"/>
                <w:b w:val="0"/>
                <w:color w:val="26333D"/>
                <w:sz w:val="15"/>
              </w:rPr>
              <w:t>CM-C2/C3 technical + governance review</w:t>
            </w:r>
          </w:p>
        </w:tc>
      </w:tr>
      <w:tr>
        <w:trPr>
          <w:cantSplit/>
        </w:trPr>
        <w:tc>
          <w:tcPr>
            <w:tcW w:type="dxa" w:w="2592"/>
            <w:vAlign w:val="center"/>
            <w:tcMar>
              <w:top w:w="70" w:type="dxa"/>
              <w:start w:w="85" w:type="dxa"/>
              <w:bottom w:w="70" w:type="dxa"/>
              <w:end w:w="85" w:type="dxa"/>
            </w:tcMar>
            <w:shd w:fill="F4F6F7"/>
          </w:tcPr>
          <w:p>
            <w:pPr>
              <w:spacing w:after="0" w:before="0"/>
            </w:pPr>
            <w:r/>
            <w:r>
              <w:rPr>
                <w:rFonts w:ascii="Aptos" w:hAnsi="Aptos"/>
                <w:b w:val="0"/>
                <w:color w:val="26333D"/>
                <w:sz w:val="15"/>
              </w:rPr>
              <w:t>Terms / SLA / support</w:t>
            </w:r>
          </w:p>
        </w:tc>
        <w:tc>
          <w:tcPr>
            <w:tcW w:type="dxa" w:w="3672"/>
            <w:vAlign w:val="center"/>
            <w:tcMar>
              <w:top w:w="70" w:type="dxa"/>
              <w:start w:w="85" w:type="dxa"/>
              <w:bottom w:w="70" w:type="dxa"/>
              <w:end w:w="85" w:type="dxa"/>
            </w:tcMar>
            <w:shd w:fill="F4F6F7"/>
          </w:tcPr>
          <w:p>
            <w:pPr>
              <w:spacing w:after="0" w:before="0"/>
            </w:pPr>
            <w:r/>
            <w:r>
              <w:rPr>
                <w:rFonts w:ascii="Aptos" w:hAnsi="Aptos"/>
                <w:b w:val="0"/>
                <w:color w:val="26333D"/>
                <w:sz w:val="15"/>
              </w:rPr>
              <w:t>Availability, incident response, exit, audit rights</w:t>
            </w:r>
          </w:p>
        </w:tc>
        <w:tc>
          <w:tcPr>
            <w:tcW w:type="dxa" w:w="3240"/>
            <w:vAlign w:val="center"/>
            <w:tcMar>
              <w:top w:w="70" w:type="dxa"/>
              <w:start w:w="85" w:type="dxa"/>
              <w:bottom w:w="70" w:type="dxa"/>
              <w:end w:w="85" w:type="dxa"/>
            </w:tcMar>
            <w:shd w:fill="F4F6F7"/>
          </w:tcPr>
          <w:p>
            <w:pPr>
              <w:spacing w:after="0" w:before="0"/>
            </w:pPr>
            <w:r/>
            <w:r>
              <w:rPr>
                <w:rFonts w:ascii="Aptos" w:hAnsi="Aptos"/>
                <w:b w:val="0"/>
                <w:color w:val="26333D"/>
                <w:sz w:val="15"/>
              </w:rPr>
              <w:t>Procurement/Legal/BCP</w:t>
            </w:r>
          </w:p>
        </w:tc>
      </w:tr>
      <w:tr>
        <w:trPr>
          <w:cantSplit/>
        </w:trPr>
        <w:tc>
          <w:tcPr>
            <w:tcW w:type="dxa" w:w="2592"/>
            <w:vAlign w:val="center"/>
            <w:tcMar>
              <w:top w:w="70" w:type="dxa"/>
              <w:start w:w="85" w:type="dxa"/>
              <w:bottom w:w="70" w:type="dxa"/>
              <w:end w:w="85" w:type="dxa"/>
            </w:tcMar>
          </w:tcPr>
          <w:p>
            <w:pPr>
              <w:spacing w:after="0" w:before="0"/>
            </w:pPr>
            <w:r/>
            <w:r>
              <w:rPr>
                <w:rFonts w:ascii="Aptos" w:hAnsi="Aptos"/>
                <w:b w:val="0"/>
                <w:color w:val="26333D"/>
                <w:sz w:val="15"/>
              </w:rPr>
              <w:t>End-of-life / deprecation</w:t>
            </w:r>
          </w:p>
        </w:tc>
        <w:tc>
          <w:tcPr>
            <w:tcW w:type="dxa" w:w="3672"/>
            <w:vAlign w:val="center"/>
            <w:tcMar>
              <w:top w:w="70" w:type="dxa"/>
              <w:start w:w="85" w:type="dxa"/>
              <w:bottom w:w="70" w:type="dxa"/>
              <w:end w:w="85" w:type="dxa"/>
            </w:tcMar>
          </w:tcPr>
          <w:p>
            <w:pPr>
              <w:spacing w:after="0" w:before="0"/>
            </w:pPr>
            <w:r/>
            <w:r>
              <w:rPr>
                <w:rFonts w:ascii="Aptos" w:hAnsi="Aptos"/>
                <w:b w:val="0"/>
                <w:color w:val="26333D"/>
                <w:sz w:val="15"/>
              </w:rPr>
              <w:t>Forced migration, availability, evidence expiry</w:t>
            </w:r>
          </w:p>
        </w:tc>
        <w:tc>
          <w:tcPr>
            <w:tcW w:type="dxa" w:w="3240"/>
            <w:vAlign w:val="center"/>
            <w:tcMar>
              <w:top w:w="70" w:type="dxa"/>
              <w:start w:w="85" w:type="dxa"/>
              <w:bottom w:w="70" w:type="dxa"/>
              <w:end w:w="85" w:type="dxa"/>
            </w:tcMar>
          </w:tcPr>
          <w:p>
            <w:pPr>
              <w:spacing w:after="0" w:before="0"/>
            </w:pPr>
            <w:r/>
            <w:r>
              <w:rPr>
                <w:rFonts w:ascii="Aptos" w:hAnsi="Aptos"/>
                <w:b w:val="0"/>
                <w:color w:val="26333D"/>
                <w:sz w:val="15"/>
              </w:rPr>
              <w:t>Replacement plan + reassessment</w:t>
            </w:r>
          </w:p>
        </w:tc>
      </w:tr>
    </w:tbl>
    <w:p>
      <w:pPr>
        <w:spacing w:after="0"/>
      </w:pPr>
    </w:p>
    <w:p>
      <w:pPr>
        <w:pStyle w:val="Heading2"/>
      </w:pPr>
      <w:r>
        <w:t>14.1 Vendor notice workflow</w:t>
      </w:r>
    </w:p>
    <w:p>
      <w:pPr>
        <w:pStyle w:val="ListNumber"/>
        <w:spacing w:after="50"/>
      </w:pPr>
      <w:r>
        <w:t>Register notice against each affected AI ID.</w:t>
      </w:r>
    </w:p>
    <w:p>
      <w:pPr>
        <w:pStyle w:val="ListNumber"/>
        <w:spacing w:after="50"/>
      </w:pPr>
      <w:r>
        <w:t>Determine whether vendor change is administrative, standard, material or major.</w:t>
      </w:r>
    </w:p>
    <w:p>
      <w:pPr>
        <w:pStyle w:val="ListNumber"/>
        <w:spacing w:after="50"/>
      </w:pPr>
      <w:r>
        <w:t>Freeze/extend prior version where commercially and technically possible if review is incomplete.</w:t>
      </w:r>
    </w:p>
    <w:p>
      <w:pPr>
        <w:pStyle w:val="ListNumber"/>
        <w:spacing w:after="50"/>
      </w:pPr>
      <w:r>
        <w:t>Reassess contract/DPA, vendor due diligence and data-flow assumptions where affected.</w:t>
      </w:r>
    </w:p>
    <w:p>
      <w:pPr>
        <w:pStyle w:val="ListNumber"/>
        <w:spacing w:after="50"/>
      </w:pPr>
      <w:r>
        <w:t>Obtain updated security/privacy/assurance evidence.</w:t>
      </w:r>
    </w:p>
    <w:p>
      <w:pPr>
        <w:pStyle w:val="ListNumber"/>
        <w:spacing w:after="50"/>
      </w:pPr>
      <w:r>
        <w:t>Retest critical application scenarios before migration when behavior may change.</w:t>
      </w:r>
    </w:p>
    <w:p>
      <w:pPr>
        <w:pStyle w:val="ListNumber"/>
        <w:spacing w:after="50"/>
      </w:pPr>
      <w:r>
        <w:t>Update exit/rollback plan if vendor support or version availability changes.</w:t>
      </w:r>
    </w:p>
    <w:p>
      <w:pPr>
        <w:pStyle w:val="ListNumber"/>
        <w:spacing w:after="50"/>
      </w:pPr>
      <w:r>
        <w:t>Record final decision and superseded evidence.</w:t>
      </w:r>
    </w:p>
    <w:p>
      <w:r>
        <w:br w:type="page"/>
      </w:r>
    </w:p>
    <w:p>
      <w:pPr>
        <w:pStyle w:val="Heading1"/>
      </w:pPr>
      <w:r>
        <w:t>15. CM-08 — Rollback, Suspension &amp; Recovery Plan</w:t>
      </w:r>
    </w:p>
    <w:p>
      <w:pPr>
        <w:spacing w:after="50"/>
      </w:pPr>
      <w:r>
        <w:rPr>
          <w:b/>
        </w:rPr>
        <w:t xml:space="preserve">AI system / AI ID: </w:t>
      </w:r>
      <w:r>
        <w:t>[Complete]</w:t>
      </w:r>
    </w:p>
    <w:p>
      <w:pPr>
        <w:spacing w:after="50"/>
      </w:pPr>
      <w:r>
        <w:rPr>
          <w:b/>
        </w:rPr>
        <w:t xml:space="preserve">Change request ID: </w:t>
      </w:r>
      <w:r>
        <w:t>[Complete]</w:t>
      </w:r>
    </w:p>
    <w:p>
      <w:pPr>
        <w:spacing w:after="50"/>
      </w:pPr>
      <w:r>
        <w:rPr>
          <w:b/>
        </w:rPr>
        <w:t xml:space="preserve">Current baseline / version: </w:t>
      </w:r>
      <w:r>
        <w:t>[Complete]</w:t>
      </w:r>
    </w:p>
    <w:p>
      <w:pPr>
        <w:spacing w:after="50"/>
      </w:pPr>
      <w:r>
        <w:rPr>
          <w:b/>
        </w:rPr>
        <w:t xml:space="preserve">Target baseline / version: </w:t>
      </w:r>
      <w:r>
        <w:t>[Complete]</w:t>
      </w:r>
    </w:p>
    <w:p>
      <w:pPr>
        <w:spacing w:after="50"/>
      </w:pPr>
      <w:r>
        <w:rPr>
          <w:b/>
        </w:rPr>
        <w:t xml:space="preserve">Rollback owner: </w:t>
      </w:r>
      <w:r>
        <w:t>[Complete]</w:t>
      </w:r>
    </w:p>
    <w:p>
      <w:pPr>
        <w:spacing w:after="50"/>
      </w:pPr>
      <w:r>
        <w:rPr>
          <w:b/>
        </w:rPr>
        <w:t xml:space="preserve">Business fallback owner: </w:t>
      </w:r>
      <w:r>
        <w:t>[Complete]</w:t>
      </w:r>
    </w:p>
    <w:p>
      <w:pPr>
        <w:spacing w:after="50"/>
      </w:pPr>
      <w:r>
        <w:rPr>
          <w:b/>
        </w:rPr>
        <w:t xml:space="preserve">Maximum acceptable service disruption: </w:t>
      </w:r>
      <w:r>
        <w:t>[internal target]</w:t>
      </w:r>
    </w:p>
    <w:p>
      <w:pPr>
        <w:spacing w:after="50"/>
      </w:pPr>
      <w:r>
        <w:rPr>
          <w:b/>
        </w:rPr>
        <w:t xml:space="preserve">Data restoration dependency: </w:t>
      </w:r>
      <w:r>
        <w:t>[Complete]</w:t>
      </w:r>
    </w:p>
    <w:p>
      <w:pPr>
        <w:spacing w:after="50"/>
      </w:pPr>
      <w:r>
        <w:rPr>
          <w:b/>
        </w:rPr>
        <w:t xml:space="preserve">Vendor dependency: </w:t>
      </w:r>
      <w:r>
        <w:t>[Complete]</w:t>
      </w:r>
    </w:p>
    <w:p>
      <w:pPr>
        <w:spacing w:after="50"/>
      </w:pPr>
      <w:r>
        <w:rPr>
          <w:b/>
        </w:rPr>
        <w:t xml:space="preserve">Human/manual fallback: </w:t>
      </w:r>
      <w:r>
        <w:t>[Complete]</w:t>
      </w:r>
    </w:p>
    <w:p>
      <w:pPr>
        <w:pStyle w:val="Heading2"/>
      </w:pPr>
      <w:r>
        <w:t>15.1 Rollback triggers</w:t>
      </w:r>
    </w:p>
    <w:p>
      <w:pPr>
        <w:spacing w:after="40"/>
      </w:pPr>
      <w:r>
        <w:t>☐ Critical or unanticipated safety/rights/privacy/security issue.</w:t>
      </w:r>
    </w:p>
    <w:p>
      <w:pPr>
        <w:spacing w:after="40"/>
      </w:pPr>
      <w:r>
        <w:t>☐ Material degradation in accuracy, reliability or error distribution.</w:t>
      </w:r>
    </w:p>
    <w:p>
      <w:pPr>
        <w:spacing w:after="40"/>
      </w:pPr>
      <w:r>
        <w:t>☐ Loss of expected human review, escalation or access-control behavior.</w:t>
      </w:r>
    </w:p>
    <w:p>
      <w:pPr>
        <w:spacing w:after="40"/>
      </w:pPr>
      <w:r>
        <w:t>☐ Unexpected vendor/model behavior outside validated boundaries.</w:t>
      </w:r>
    </w:p>
    <w:p>
      <w:pPr>
        <w:spacing w:after="40"/>
      </w:pPr>
      <w:r>
        <w:t>☐ Monitoring or logging failure preventing adequate oversight.</w:t>
      </w:r>
    </w:p>
    <w:p>
      <w:pPr>
        <w:spacing w:after="40"/>
      </w:pPr>
      <w:r>
        <w:t>☐ Deployment defect, integration failure or data corruption.</w:t>
      </w:r>
    </w:p>
    <w:p>
      <w:pPr>
        <w:spacing w:after="40"/>
      </w:pPr>
      <w:r>
        <w:t>☐ Governance condition breached or required approval invalidated.</w:t>
      </w:r>
    </w:p>
    <w:p>
      <w:pPr>
        <w:pStyle w:val="Heading2"/>
      </w:pPr>
      <w:r>
        <w:t>15.2 Rollback sequence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720"/>
            <w:vAlign w:val="center"/>
            <w:tcMar>
              <w:top w:w="70" w:type="dxa"/>
              <w:start w:w="85" w:type="dxa"/>
              <w:bottom w:w="70" w:type="dxa"/>
              <w:end w:w="85" w:type="dxa"/>
            </w:tcMar>
            <w:shd w:fill="173B57"/>
          </w:tcPr>
          <w:p>
            <w:pPr>
              <w:spacing w:after="0" w:before="0"/>
            </w:pPr>
            <w:r/>
            <w:r>
              <w:rPr>
                <w:rFonts w:ascii="Aptos" w:hAnsi="Aptos"/>
                <w:b/>
                <w:color w:val="FFFFFF"/>
                <w:sz w:val="16"/>
              </w:rPr>
              <w:t>#</w:t>
            </w:r>
          </w:p>
        </w:tc>
        <w:tc>
          <w:tcPr>
            <w:tcW w:type="dxa" w:w="8640"/>
            <w:vAlign w:val="center"/>
            <w:tcMar>
              <w:top w:w="70" w:type="dxa"/>
              <w:start w:w="85" w:type="dxa"/>
              <w:bottom w:w="70" w:type="dxa"/>
              <w:end w:w="85" w:type="dxa"/>
            </w:tcMar>
            <w:shd w:fill="173B57"/>
          </w:tcPr>
          <w:p>
            <w:pPr>
              <w:spacing w:after="0" w:before="0"/>
            </w:pPr>
            <w:r/>
            <w:r>
              <w:rPr>
                <w:rFonts w:ascii="Aptos" w:hAnsi="Aptos"/>
                <w:b/>
                <w:color w:val="FFFFFF"/>
                <w:sz w:val="16"/>
              </w:rPr>
              <w:t>Recovery action</w:t>
            </w:r>
          </w:p>
        </w:tc>
      </w:tr>
      <w:tr>
        <w:trPr>
          <w:cantSplit/>
        </w:trPr>
        <w:tc>
          <w:tcPr>
            <w:tcW w:type="dxa" w:w="720"/>
            <w:vAlign w:val="center"/>
            <w:tcMar>
              <w:top w:w="70" w:type="dxa"/>
              <w:start w:w="85" w:type="dxa"/>
              <w:bottom w:w="70" w:type="dxa"/>
              <w:end w:w="85" w:type="dxa"/>
            </w:tcMar>
          </w:tcPr>
          <w:p>
            <w:pPr>
              <w:spacing w:after="0" w:before="0"/>
            </w:pPr>
            <w:r/>
            <w:r>
              <w:rPr>
                <w:rFonts w:ascii="Aptos" w:hAnsi="Aptos"/>
                <w:b w:val="0"/>
                <w:color w:val="26333D"/>
                <w:sz w:val="16"/>
              </w:rPr>
              <w:t>1</w:t>
            </w:r>
          </w:p>
        </w:tc>
        <w:tc>
          <w:tcPr>
            <w:tcW w:type="dxa" w:w="8640"/>
            <w:vAlign w:val="center"/>
            <w:tcMar>
              <w:top w:w="70" w:type="dxa"/>
              <w:start w:w="85" w:type="dxa"/>
              <w:bottom w:w="70" w:type="dxa"/>
              <w:end w:w="85" w:type="dxa"/>
            </w:tcMar>
          </w:tcPr>
          <w:p>
            <w:pPr>
              <w:spacing w:after="0" w:before="0"/>
            </w:pPr>
            <w:r/>
            <w:r>
              <w:rPr>
                <w:rFonts w:ascii="Aptos" w:hAnsi="Aptos"/>
                <w:b w:val="0"/>
                <w:color w:val="26333D"/>
                <w:sz w:val="16"/>
              </w:rPr>
              <w:t>Stop or restrict the affected capability.</w:t>
            </w:r>
          </w:p>
        </w:tc>
      </w:tr>
      <w:tr>
        <w:trPr>
          <w:cantSplit/>
        </w:trPr>
        <w:tc>
          <w:tcPr>
            <w:tcW w:type="dxa" w:w="720"/>
            <w:vAlign w:val="center"/>
            <w:tcMar>
              <w:top w:w="70" w:type="dxa"/>
              <w:start w:w="85" w:type="dxa"/>
              <w:bottom w:w="70" w:type="dxa"/>
              <w:end w:w="85" w:type="dxa"/>
            </w:tcMar>
            <w:shd w:fill="F4F6F7"/>
          </w:tcPr>
          <w:p>
            <w:pPr>
              <w:spacing w:after="0" w:before="0"/>
            </w:pPr>
            <w:r/>
            <w:r>
              <w:rPr>
                <w:rFonts w:ascii="Aptos" w:hAnsi="Aptos"/>
                <w:b w:val="0"/>
                <w:color w:val="26333D"/>
                <w:sz w:val="16"/>
              </w:rPr>
              <w:t>2</w:t>
            </w:r>
          </w:p>
        </w:tc>
        <w:tc>
          <w:tcPr>
            <w:tcW w:type="dxa" w:w="8640"/>
            <w:vAlign w:val="center"/>
            <w:tcMar>
              <w:top w:w="70" w:type="dxa"/>
              <w:start w:w="85" w:type="dxa"/>
              <w:bottom w:w="70" w:type="dxa"/>
              <w:end w:w="85" w:type="dxa"/>
            </w:tcMar>
            <w:shd w:fill="F4F6F7"/>
          </w:tcPr>
          <w:p>
            <w:pPr>
              <w:spacing w:after="0" w:before="0"/>
            </w:pPr>
            <w:r/>
            <w:r>
              <w:rPr>
                <w:rFonts w:ascii="Aptos" w:hAnsi="Aptos"/>
                <w:b w:val="0"/>
                <w:color w:val="26333D"/>
                <w:sz w:val="16"/>
              </w:rPr>
              <w:t>Preserve relevant logs, prompts/outputs, configuration and monitoring evidence.</w:t>
            </w:r>
          </w:p>
        </w:tc>
      </w:tr>
      <w:tr>
        <w:trPr>
          <w:cantSplit/>
        </w:trPr>
        <w:tc>
          <w:tcPr>
            <w:tcW w:type="dxa" w:w="720"/>
            <w:vAlign w:val="center"/>
            <w:tcMar>
              <w:top w:w="70" w:type="dxa"/>
              <w:start w:w="85" w:type="dxa"/>
              <w:bottom w:w="70" w:type="dxa"/>
              <w:end w:w="85" w:type="dxa"/>
            </w:tcMar>
          </w:tcPr>
          <w:p>
            <w:pPr>
              <w:spacing w:after="0" w:before="0"/>
            </w:pPr>
            <w:r/>
            <w:r>
              <w:rPr>
                <w:rFonts w:ascii="Aptos" w:hAnsi="Aptos"/>
                <w:b w:val="0"/>
                <w:color w:val="26333D"/>
                <w:sz w:val="16"/>
              </w:rPr>
              <w:t>3</w:t>
            </w:r>
          </w:p>
        </w:tc>
        <w:tc>
          <w:tcPr>
            <w:tcW w:type="dxa" w:w="8640"/>
            <w:vAlign w:val="center"/>
            <w:tcMar>
              <w:top w:w="70" w:type="dxa"/>
              <w:start w:w="85" w:type="dxa"/>
              <w:bottom w:w="70" w:type="dxa"/>
              <w:end w:w="85" w:type="dxa"/>
            </w:tcMar>
          </w:tcPr>
          <w:p>
            <w:pPr>
              <w:spacing w:after="0" w:before="0"/>
            </w:pPr>
            <w:r/>
            <w:r>
              <w:rPr>
                <w:rFonts w:ascii="Aptos" w:hAnsi="Aptos"/>
                <w:b w:val="0"/>
                <w:color w:val="26333D"/>
                <w:sz w:val="16"/>
              </w:rPr>
              <w:t>Notify business owner, technical owner and triggered specialist functions.</w:t>
            </w:r>
          </w:p>
        </w:tc>
      </w:tr>
      <w:tr>
        <w:trPr>
          <w:cantSplit/>
        </w:trPr>
        <w:tc>
          <w:tcPr>
            <w:tcW w:type="dxa" w:w="720"/>
            <w:vAlign w:val="center"/>
            <w:tcMar>
              <w:top w:w="70" w:type="dxa"/>
              <w:start w:w="85" w:type="dxa"/>
              <w:bottom w:w="70" w:type="dxa"/>
              <w:end w:w="85" w:type="dxa"/>
            </w:tcMar>
            <w:shd w:fill="F4F6F7"/>
          </w:tcPr>
          <w:p>
            <w:pPr>
              <w:spacing w:after="0" w:before="0"/>
            </w:pPr>
            <w:r/>
            <w:r>
              <w:rPr>
                <w:rFonts w:ascii="Aptos" w:hAnsi="Aptos"/>
                <w:b w:val="0"/>
                <w:color w:val="26333D"/>
                <w:sz w:val="16"/>
              </w:rPr>
              <w:t>4</w:t>
            </w:r>
          </w:p>
        </w:tc>
        <w:tc>
          <w:tcPr>
            <w:tcW w:type="dxa" w:w="8640"/>
            <w:vAlign w:val="center"/>
            <w:tcMar>
              <w:top w:w="70" w:type="dxa"/>
              <w:start w:w="85" w:type="dxa"/>
              <w:bottom w:w="70" w:type="dxa"/>
              <w:end w:w="85" w:type="dxa"/>
            </w:tcMar>
            <w:shd w:fill="F4F6F7"/>
          </w:tcPr>
          <w:p>
            <w:pPr>
              <w:spacing w:after="0" w:before="0"/>
            </w:pPr>
            <w:r/>
            <w:r>
              <w:rPr>
                <w:rFonts w:ascii="Aptos" w:hAnsi="Aptos"/>
                <w:b w:val="0"/>
                <w:color w:val="26333D"/>
                <w:sz w:val="16"/>
              </w:rPr>
              <w:t>Restore approved prior version or activate manual/human fallback.</w:t>
            </w:r>
          </w:p>
        </w:tc>
      </w:tr>
      <w:tr>
        <w:trPr>
          <w:cantSplit/>
        </w:trPr>
        <w:tc>
          <w:tcPr>
            <w:tcW w:type="dxa" w:w="720"/>
            <w:vAlign w:val="center"/>
            <w:tcMar>
              <w:top w:w="70" w:type="dxa"/>
              <w:start w:w="85" w:type="dxa"/>
              <w:bottom w:w="70" w:type="dxa"/>
              <w:end w:w="85" w:type="dxa"/>
            </w:tcMar>
          </w:tcPr>
          <w:p>
            <w:pPr>
              <w:spacing w:after="0" w:before="0"/>
            </w:pPr>
            <w:r/>
            <w:r>
              <w:rPr>
                <w:rFonts w:ascii="Aptos" w:hAnsi="Aptos"/>
                <w:b w:val="0"/>
                <w:color w:val="26333D"/>
                <w:sz w:val="16"/>
              </w:rPr>
              <w:t>5</w:t>
            </w:r>
          </w:p>
        </w:tc>
        <w:tc>
          <w:tcPr>
            <w:tcW w:type="dxa" w:w="8640"/>
            <w:vAlign w:val="center"/>
            <w:tcMar>
              <w:top w:w="70" w:type="dxa"/>
              <w:start w:w="85" w:type="dxa"/>
              <w:bottom w:w="70" w:type="dxa"/>
              <w:end w:w="85" w:type="dxa"/>
            </w:tcMar>
          </w:tcPr>
          <w:p>
            <w:pPr>
              <w:spacing w:after="0" w:before="0"/>
            </w:pPr>
            <w:r/>
            <w:r>
              <w:rPr>
                <w:rFonts w:ascii="Aptos" w:hAnsi="Aptos"/>
                <w:b w:val="0"/>
                <w:color w:val="26333D"/>
                <w:sz w:val="16"/>
              </w:rPr>
              <w:t>Validate data integrity, access controls and service function.</w:t>
            </w:r>
          </w:p>
        </w:tc>
      </w:tr>
      <w:tr>
        <w:trPr>
          <w:cantSplit/>
        </w:trPr>
        <w:tc>
          <w:tcPr>
            <w:tcW w:type="dxa" w:w="720"/>
            <w:vAlign w:val="center"/>
            <w:tcMar>
              <w:top w:w="70" w:type="dxa"/>
              <w:start w:w="85" w:type="dxa"/>
              <w:bottom w:w="70" w:type="dxa"/>
              <w:end w:w="85" w:type="dxa"/>
            </w:tcMar>
            <w:shd w:fill="F4F6F7"/>
          </w:tcPr>
          <w:p>
            <w:pPr>
              <w:spacing w:after="0" w:before="0"/>
            </w:pPr>
            <w:r/>
            <w:r>
              <w:rPr>
                <w:rFonts w:ascii="Aptos" w:hAnsi="Aptos"/>
                <w:b w:val="0"/>
                <w:color w:val="26333D"/>
                <w:sz w:val="16"/>
              </w:rPr>
              <w:t>6</w:t>
            </w:r>
          </w:p>
        </w:tc>
        <w:tc>
          <w:tcPr>
            <w:tcW w:type="dxa" w:w="8640"/>
            <w:vAlign w:val="center"/>
            <w:tcMar>
              <w:top w:w="70" w:type="dxa"/>
              <w:start w:w="85" w:type="dxa"/>
              <w:bottom w:w="70" w:type="dxa"/>
              <w:end w:w="85" w:type="dxa"/>
            </w:tcMar>
            <w:shd w:fill="F4F6F7"/>
          </w:tcPr>
          <w:p>
            <w:pPr>
              <w:spacing w:after="0" w:before="0"/>
            </w:pPr>
            <w:r/>
            <w:r>
              <w:rPr>
                <w:rFonts w:ascii="Aptos" w:hAnsi="Aptos"/>
                <w:b w:val="0"/>
                <w:color w:val="26333D"/>
                <w:sz w:val="16"/>
              </w:rPr>
              <w:t>Confirm user/customer communication requirements if service behavior changed.</w:t>
            </w:r>
          </w:p>
        </w:tc>
      </w:tr>
      <w:tr>
        <w:trPr>
          <w:cantSplit/>
        </w:trPr>
        <w:tc>
          <w:tcPr>
            <w:tcW w:type="dxa" w:w="720"/>
            <w:vAlign w:val="center"/>
            <w:tcMar>
              <w:top w:w="70" w:type="dxa"/>
              <w:start w:w="85" w:type="dxa"/>
              <w:bottom w:w="70" w:type="dxa"/>
              <w:end w:w="85" w:type="dxa"/>
            </w:tcMar>
          </w:tcPr>
          <w:p>
            <w:pPr>
              <w:spacing w:after="0" w:before="0"/>
            </w:pPr>
            <w:r/>
            <w:r>
              <w:rPr>
                <w:rFonts w:ascii="Aptos" w:hAnsi="Aptos"/>
                <w:b w:val="0"/>
                <w:color w:val="26333D"/>
                <w:sz w:val="16"/>
              </w:rPr>
              <w:t>7</w:t>
            </w:r>
          </w:p>
        </w:tc>
        <w:tc>
          <w:tcPr>
            <w:tcW w:type="dxa" w:w="8640"/>
            <w:vAlign w:val="center"/>
            <w:tcMar>
              <w:top w:w="70" w:type="dxa"/>
              <w:start w:w="85" w:type="dxa"/>
              <w:bottom w:w="70" w:type="dxa"/>
              <w:end w:w="85" w:type="dxa"/>
            </w:tcMar>
          </w:tcPr>
          <w:p>
            <w:pPr>
              <w:spacing w:after="0" w:before="0"/>
            </w:pPr>
            <w:r/>
            <w:r>
              <w:rPr>
                <w:rFonts w:ascii="Aptos" w:hAnsi="Aptos"/>
                <w:b w:val="0"/>
                <w:color w:val="26333D"/>
                <w:sz w:val="16"/>
              </w:rPr>
              <w:t>Open incident/problem record where failure is material.</w:t>
            </w:r>
          </w:p>
        </w:tc>
      </w:tr>
      <w:tr>
        <w:trPr>
          <w:cantSplit/>
        </w:trPr>
        <w:tc>
          <w:tcPr>
            <w:tcW w:type="dxa" w:w="720"/>
            <w:vAlign w:val="center"/>
            <w:tcMar>
              <w:top w:w="70" w:type="dxa"/>
              <w:start w:w="85" w:type="dxa"/>
              <w:bottom w:w="70" w:type="dxa"/>
              <w:end w:w="85" w:type="dxa"/>
            </w:tcMar>
            <w:shd w:fill="F4F6F7"/>
          </w:tcPr>
          <w:p>
            <w:pPr>
              <w:spacing w:after="0" w:before="0"/>
            </w:pPr>
            <w:r/>
            <w:r>
              <w:rPr>
                <w:rFonts w:ascii="Aptos" w:hAnsi="Aptos"/>
                <w:b w:val="0"/>
                <w:color w:val="26333D"/>
                <w:sz w:val="16"/>
              </w:rPr>
              <w:t>8</w:t>
            </w:r>
          </w:p>
        </w:tc>
        <w:tc>
          <w:tcPr>
            <w:tcW w:type="dxa" w:w="8640"/>
            <w:vAlign w:val="center"/>
            <w:tcMar>
              <w:top w:w="70" w:type="dxa"/>
              <w:start w:w="85" w:type="dxa"/>
              <w:bottom w:w="70" w:type="dxa"/>
              <w:end w:w="85" w:type="dxa"/>
            </w:tcMar>
            <w:shd w:fill="F4F6F7"/>
          </w:tcPr>
          <w:p>
            <w:pPr>
              <w:spacing w:after="0" w:before="0"/>
            </w:pPr>
            <w:r/>
            <w:r>
              <w:rPr>
                <w:rFonts w:ascii="Aptos" w:hAnsi="Aptos"/>
                <w:b w:val="0"/>
                <w:color w:val="26333D"/>
                <w:sz w:val="16"/>
              </w:rPr>
              <w:t>Determine whether re-release requires CM-C2/C3 reassessment.</w:t>
            </w:r>
          </w:p>
        </w:tc>
      </w:tr>
    </w:tbl>
    <w:p>
      <w:pPr>
        <w:spacing w:after="0"/>
      </w:pPr>
    </w:p>
    <w:p>
      <w:pPr>
        <w:pStyle w:val="Heading1"/>
      </w:pPr>
      <w:r>
        <w:t>16. CM-09 — AI Change Log &amp; Evidence Register</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cantSplit/>
        </w:trPr>
        <w:tc>
          <w:tcPr>
            <w:tcW w:type="dxa" w:w="1224"/>
            <w:vAlign w:val="center"/>
            <w:tcMar>
              <w:top w:w="70" w:type="dxa"/>
              <w:start w:w="85" w:type="dxa"/>
              <w:bottom w:w="70" w:type="dxa"/>
              <w:end w:w="85" w:type="dxa"/>
            </w:tcMar>
            <w:shd w:fill="173B57"/>
          </w:tcPr>
          <w:p>
            <w:pPr>
              <w:spacing w:after="0" w:before="0"/>
            </w:pPr>
            <w:r/>
            <w:r>
              <w:rPr>
                <w:rFonts w:ascii="Aptos" w:hAnsi="Aptos"/>
                <w:b/>
                <w:color w:val="FFFFFF"/>
                <w:sz w:val="13"/>
              </w:rPr>
              <w:t>Change ID</w:t>
            </w:r>
          </w:p>
        </w:tc>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3"/>
              </w:rPr>
              <w:t>AI ID</w:t>
            </w:r>
          </w:p>
        </w:tc>
        <w:tc>
          <w:tcPr>
            <w:tcW w:type="dxa" w:w="864"/>
            <w:vAlign w:val="center"/>
            <w:tcMar>
              <w:top w:w="70" w:type="dxa"/>
              <w:start w:w="85" w:type="dxa"/>
              <w:bottom w:w="70" w:type="dxa"/>
              <w:end w:w="85" w:type="dxa"/>
            </w:tcMar>
            <w:shd w:fill="173B57"/>
          </w:tcPr>
          <w:p>
            <w:pPr>
              <w:spacing w:after="0" w:before="0"/>
            </w:pPr>
            <w:r/>
            <w:r>
              <w:rPr>
                <w:rFonts w:ascii="Aptos" w:hAnsi="Aptos"/>
                <w:b/>
                <w:color w:val="FFFFFF"/>
                <w:sz w:val="13"/>
              </w:rPr>
              <w:t>Class</w:t>
            </w:r>
          </w:p>
        </w:tc>
        <w:tc>
          <w:tcPr>
            <w:tcW w:type="dxa" w:w="1512"/>
            <w:vAlign w:val="center"/>
            <w:tcMar>
              <w:top w:w="70" w:type="dxa"/>
              <w:start w:w="85" w:type="dxa"/>
              <w:bottom w:w="70" w:type="dxa"/>
              <w:end w:w="85" w:type="dxa"/>
            </w:tcMar>
            <w:shd w:fill="173B57"/>
          </w:tcPr>
          <w:p>
            <w:pPr>
              <w:spacing w:after="0" w:before="0"/>
            </w:pPr>
            <w:r/>
            <w:r>
              <w:rPr>
                <w:rFonts w:ascii="Aptos" w:hAnsi="Aptos"/>
                <w:b/>
                <w:color w:val="FFFFFF"/>
                <w:sz w:val="13"/>
              </w:rPr>
              <w:t>Type</w:t>
            </w:r>
          </w:p>
        </w:tc>
        <w:tc>
          <w:tcPr>
            <w:tcW w:type="dxa" w:w="2160"/>
            <w:vAlign w:val="center"/>
            <w:tcMar>
              <w:top w:w="70" w:type="dxa"/>
              <w:start w:w="85" w:type="dxa"/>
              <w:bottom w:w="70" w:type="dxa"/>
              <w:end w:w="85" w:type="dxa"/>
            </w:tcMar>
            <w:shd w:fill="173B57"/>
          </w:tcPr>
          <w:p>
            <w:pPr>
              <w:spacing w:after="0" w:before="0"/>
            </w:pPr>
            <w:r/>
            <w:r>
              <w:rPr>
                <w:rFonts w:ascii="Aptos" w:hAnsi="Aptos"/>
                <w:b/>
                <w:color w:val="FFFFFF"/>
                <w:sz w:val="13"/>
              </w:rPr>
              <w:t>Summary</w:t>
            </w:r>
          </w:p>
        </w:tc>
        <w:tc>
          <w:tcPr>
            <w:tcW w:type="dxa" w:w="1296"/>
            <w:vAlign w:val="center"/>
            <w:tcMar>
              <w:top w:w="70" w:type="dxa"/>
              <w:start w:w="85" w:type="dxa"/>
              <w:bottom w:w="70" w:type="dxa"/>
              <w:end w:w="85" w:type="dxa"/>
            </w:tcMar>
            <w:shd w:fill="173B57"/>
          </w:tcPr>
          <w:p>
            <w:pPr>
              <w:spacing w:after="0" w:before="0"/>
            </w:pPr>
            <w:r/>
            <w:r>
              <w:rPr>
                <w:rFonts w:ascii="Aptos" w:hAnsi="Aptos"/>
                <w:b/>
                <w:color w:val="FFFFFF"/>
                <w:sz w:val="13"/>
              </w:rPr>
              <w:t>Version</w:t>
            </w:r>
          </w:p>
        </w:tc>
        <w:tc>
          <w:tcPr>
            <w:tcW w:type="dxa" w:w="1440"/>
            <w:vAlign w:val="center"/>
            <w:tcMar>
              <w:top w:w="70" w:type="dxa"/>
              <w:start w:w="85" w:type="dxa"/>
              <w:bottom w:w="70" w:type="dxa"/>
              <w:end w:w="85" w:type="dxa"/>
            </w:tcMar>
            <w:shd w:fill="173B57"/>
          </w:tcPr>
          <w:p>
            <w:pPr>
              <w:spacing w:after="0" w:before="0"/>
            </w:pPr>
            <w:r/>
            <w:r>
              <w:rPr>
                <w:rFonts w:ascii="Aptos" w:hAnsi="Aptos"/>
                <w:b/>
                <w:color w:val="FFFFFF"/>
                <w:sz w:val="13"/>
              </w:rPr>
              <w:t>Decision</w:t>
            </w:r>
          </w:p>
        </w:tc>
        <w:tc>
          <w:tcPr>
            <w:tcW w:type="dxa" w:w="1296"/>
            <w:vAlign w:val="center"/>
            <w:tcMar>
              <w:top w:w="70" w:type="dxa"/>
              <w:start w:w="85" w:type="dxa"/>
              <w:bottom w:w="70" w:type="dxa"/>
              <w:end w:w="85" w:type="dxa"/>
            </w:tcMar>
            <w:shd w:fill="173B57"/>
          </w:tcPr>
          <w:p>
            <w:pPr>
              <w:spacing w:after="0" w:before="0"/>
            </w:pPr>
            <w:r/>
            <w:r>
              <w:rPr>
                <w:rFonts w:ascii="Aptos" w:hAnsi="Aptos"/>
                <w:b/>
                <w:color w:val="FFFFFF"/>
                <w:sz w:val="13"/>
              </w:rPr>
              <w:t>Owner</w:t>
            </w:r>
          </w:p>
        </w:tc>
        <w:tc>
          <w:tcPr>
            <w:tcW w:type="dxa" w:w="1584"/>
            <w:vAlign w:val="center"/>
            <w:tcMar>
              <w:top w:w="70" w:type="dxa"/>
              <w:start w:w="85" w:type="dxa"/>
              <w:bottom w:w="70" w:type="dxa"/>
              <w:end w:w="85" w:type="dxa"/>
            </w:tcMar>
            <w:shd w:fill="173B57"/>
          </w:tcPr>
          <w:p>
            <w:pPr>
              <w:spacing w:after="0" w:before="0"/>
            </w:pPr>
            <w:r/>
            <w:r>
              <w:rPr>
                <w:rFonts w:ascii="Aptos" w:hAnsi="Aptos"/>
                <w:b/>
                <w:color w:val="FFFFFF"/>
                <w:sz w:val="13"/>
              </w:rPr>
              <w:t>Evidence</w:t>
            </w:r>
          </w:p>
        </w:tc>
      </w:tr>
      <w:tr>
        <w:trPr>
          <w:cantSplit/>
        </w:trPr>
        <w:tc>
          <w:tcPr>
            <w:tcW w:type="dxa" w:w="1224"/>
            <w:vAlign w:val="center"/>
            <w:tcMar>
              <w:top w:w="70" w:type="dxa"/>
              <w:start w:w="85" w:type="dxa"/>
              <w:bottom w:w="70" w:type="dxa"/>
              <w:end w:w="85" w:type="dxa"/>
            </w:tcMar>
          </w:tcPr>
          <w:p>
            <w:pPr>
              <w:spacing w:after="0" w:before="0"/>
            </w:pPr>
            <w:r/>
            <w:r>
              <w:rPr>
                <w:rFonts w:ascii="Aptos" w:hAnsi="Aptos"/>
                <w:b w:val="0"/>
                <w:color w:val="26333D"/>
                <w:sz w:val="13"/>
              </w:rPr>
              <w:t>CHG-0001</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3"/>
              </w:rPr>
              <w:t>AI-002 QuackBot</w:t>
            </w:r>
          </w:p>
        </w:tc>
        <w:tc>
          <w:tcPr>
            <w:tcW w:type="dxa" w:w="864"/>
            <w:vAlign w:val="center"/>
            <w:tcMar>
              <w:top w:w="70" w:type="dxa"/>
              <w:start w:w="85" w:type="dxa"/>
              <w:bottom w:w="70" w:type="dxa"/>
              <w:end w:w="85" w:type="dxa"/>
            </w:tcMar>
          </w:tcPr>
          <w:p>
            <w:pPr>
              <w:spacing w:after="0" w:before="0"/>
            </w:pPr>
            <w:r/>
            <w:r>
              <w:rPr>
                <w:rFonts w:ascii="Aptos" w:hAnsi="Aptos"/>
                <w:b w:val="0"/>
                <w:color w:val="26333D"/>
                <w:sz w:val="13"/>
              </w:rPr>
              <w:t>CM-C2</w:t>
            </w:r>
          </w:p>
        </w:tc>
        <w:tc>
          <w:tcPr>
            <w:tcW w:type="dxa" w:w="1512"/>
            <w:vAlign w:val="center"/>
            <w:tcMar>
              <w:top w:w="70" w:type="dxa"/>
              <w:start w:w="85" w:type="dxa"/>
              <w:bottom w:w="70" w:type="dxa"/>
              <w:end w:w="85" w:type="dxa"/>
            </w:tcMar>
          </w:tcPr>
          <w:p>
            <w:pPr>
              <w:spacing w:after="0" w:before="0"/>
            </w:pPr>
            <w:r/>
            <w:r>
              <w:rPr>
                <w:rFonts w:ascii="Aptos" w:hAnsi="Aptos"/>
                <w:b w:val="0"/>
                <w:color w:val="26333D"/>
                <w:sz w:val="13"/>
              </w:rPr>
              <w:t>Model / RAG</w:t>
            </w:r>
          </w:p>
        </w:tc>
        <w:tc>
          <w:tcPr>
            <w:tcW w:type="dxa" w:w="2160"/>
            <w:vAlign w:val="center"/>
            <w:tcMar>
              <w:top w:w="70" w:type="dxa"/>
              <w:start w:w="85" w:type="dxa"/>
              <w:bottom w:w="70" w:type="dxa"/>
              <w:end w:w="85" w:type="dxa"/>
            </w:tcMar>
          </w:tcPr>
          <w:p>
            <w:pPr>
              <w:spacing w:after="0" w:before="0"/>
            </w:pPr>
            <w:r/>
            <w:r>
              <w:rPr>
                <w:rFonts w:ascii="Aptos" w:hAnsi="Aptos"/>
                <w:b w:val="0"/>
                <w:color w:val="26333D"/>
                <w:sz w:val="13"/>
              </w:rPr>
              <w:t>[summary]</w:t>
            </w:r>
          </w:p>
        </w:tc>
        <w:tc>
          <w:tcPr>
            <w:tcW w:type="dxa" w:w="1296"/>
            <w:vAlign w:val="center"/>
            <w:tcMar>
              <w:top w:w="70" w:type="dxa"/>
              <w:start w:w="85" w:type="dxa"/>
              <w:bottom w:w="70" w:type="dxa"/>
              <w:end w:w="85" w:type="dxa"/>
            </w:tcMar>
          </w:tcPr>
          <w:p>
            <w:pPr>
              <w:spacing w:after="0" w:before="0"/>
            </w:pPr>
            <w:r/>
            <w:r>
              <w:rPr>
                <w:rFonts w:ascii="Aptos" w:hAnsi="Aptos"/>
                <w:b w:val="0"/>
                <w:color w:val="26333D"/>
                <w:sz w:val="13"/>
              </w:rPr>
              <w:t>[version]</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3"/>
              </w:rPr>
              <w:t>[decision]</w:t>
            </w:r>
          </w:p>
        </w:tc>
        <w:tc>
          <w:tcPr>
            <w:tcW w:type="dxa" w:w="1296"/>
            <w:vAlign w:val="center"/>
            <w:tcMar>
              <w:top w:w="70" w:type="dxa"/>
              <w:start w:w="85" w:type="dxa"/>
              <w:bottom w:w="70" w:type="dxa"/>
              <w:end w:w="85" w:type="dxa"/>
            </w:tcMar>
          </w:tcPr>
          <w:p>
            <w:pPr>
              <w:spacing w:after="0" w:before="0"/>
            </w:pPr>
            <w:r/>
            <w:r>
              <w:rPr>
                <w:rFonts w:ascii="Aptos" w:hAnsi="Aptos"/>
                <w:b w:val="0"/>
                <w:color w:val="26333D"/>
                <w:sz w:val="13"/>
              </w:rPr>
              <w:t>[owner]</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3"/>
              </w:rPr>
              <w:t>[EV IDs]</w:t>
            </w:r>
          </w:p>
        </w:tc>
      </w:tr>
      <w:tr>
        <w:trPr>
          <w:cantSplit/>
        </w:trPr>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3"/>
              </w:rPr>
              <w:t>CHG-0002</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3"/>
              </w:rPr>
              <w:t>AI-006 PondGPT</w:t>
            </w:r>
          </w:p>
        </w:tc>
        <w:tc>
          <w:tcPr>
            <w:tcW w:type="dxa" w:w="864"/>
            <w:vAlign w:val="center"/>
            <w:tcMar>
              <w:top w:w="70" w:type="dxa"/>
              <w:start w:w="85" w:type="dxa"/>
              <w:bottom w:w="70" w:type="dxa"/>
              <w:end w:w="85" w:type="dxa"/>
            </w:tcMar>
            <w:shd w:fill="F4F6F7"/>
          </w:tcPr>
          <w:p>
            <w:pPr>
              <w:spacing w:after="0" w:before="0"/>
            </w:pPr>
            <w:r/>
            <w:r>
              <w:rPr>
                <w:rFonts w:ascii="Aptos" w:hAnsi="Aptos"/>
                <w:b w:val="0"/>
                <w:color w:val="26333D"/>
                <w:sz w:val="13"/>
              </w:rPr>
              <w:t>CM-C2</w:t>
            </w:r>
          </w:p>
        </w:tc>
        <w:tc>
          <w:tcPr>
            <w:tcW w:type="dxa" w:w="1512"/>
            <w:vAlign w:val="center"/>
            <w:tcMar>
              <w:top w:w="70" w:type="dxa"/>
              <w:start w:w="85" w:type="dxa"/>
              <w:bottom w:w="70" w:type="dxa"/>
              <w:end w:w="85" w:type="dxa"/>
            </w:tcMar>
            <w:shd w:fill="F4F6F7"/>
          </w:tcPr>
          <w:p>
            <w:pPr>
              <w:spacing w:after="0" w:before="0"/>
            </w:pPr>
            <w:r/>
            <w:r>
              <w:rPr>
                <w:rFonts w:ascii="Aptos" w:hAnsi="Aptos"/>
                <w:b w:val="0"/>
                <w:color w:val="26333D"/>
                <w:sz w:val="13"/>
              </w:rPr>
              <w:t>Connector / access</w:t>
            </w:r>
          </w:p>
        </w:tc>
        <w:tc>
          <w:tcPr>
            <w:tcW w:type="dxa" w:w="2160"/>
            <w:vAlign w:val="center"/>
            <w:tcMar>
              <w:top w:w="70" w:type="dxa"/>
              <w:start w:w="85" w:type="dxa"/>
              <w:bottom w:w="70" w:type="dxa"/>
              <w:end w:w="85" w:type="dxa"/>
            </w:tcMar>
            <w:shd w:fill="F4F6F7"/>
          </w:tcPr>
          <w:p>
            <w:pPr>
              <w:spacing w:after="0" w:before="0"/>
            </w:pPr>
            <w:r/>
            <w:r>
              <w:rPr>
                <w:rFonts w:ascii="Aptos" w:hAnsi="Aptos"/>
                <w:b w:val="0"/>
                <w:color w:val="26333D"/>
                <w:sz w:val="13"/>
              </w:rPr>
              <w:t>[summary]</w:t>
            </w:r>
          </w:p>
        </w:tc>
        <w:tc>
          <w:tcPr>
            <w:tcW w:type="dxa" w:w="1296"/>
            <w:vAlign w:val="center"/>
            <w:tcMar>
              <w:top w:w="70" w:type="dxa"/>
              <w:start w:w="85" w:type="dxa"/>
              <w:bottom w:w="70" w:type="dxa"/>
              <w:end w:w="85" w:type="dxa"/>
            </w:tcMar>
            <w:shd w:fill="F4F6F7"/>
          </w:tcPr>
          <w:p>
            <w:pPr>
              <w:spacing w:after="0" w:before="0"/>
            </w:pPr>
            <w:r/>
            <w:r>
              <w:rPr>
                <w:rFonts w:ascii="Aptos" w:hAnsi="Aptos"/>
                <w:b w:val="0"/>
                <w:color w:val="26333D"/>
                <w:sz w:val="13"/>
              </w:rPr>
              <w:t>[version]</w:t>
            </w:r>
          </w:p>
        </w:tc>
        <w:tc>
          <w:tcPr>
            <w:tcW w:type="dxa" w:w="1440"/>
            <w:vAlign w:val="center"/>
            <w:tcMar>
              <w:top w:w="70" w:type="dxa"/>
              <w:start w:w="85" w:type="dxa"/>
              <w:bottom w:w="70" w:type="dxa"/>
              <w:end w:w="85" w:type="dxa"/>
            </w:tcMar>
            <w:shd w:fill="F4F6F7"/>
          </w:tcPr>
          <w:p>
            <w:pPr>
              <w:spacing w:after="0" w:before="0"/>
            </w:pPr>
            <w:r/>
            <w:r>
              <w:rPr>
                <w:rFonts w:ascii="Aptos" w:hAnsi="Aptos"/>
                <w:b w:val="0"/>
                <w:color w:val="26333D"/>
                <w:sz w:val="13"/>
              </w:rPr>
              <w:t>[decision]</w:t>
            </w:r>
          </w:p>
        </w:tc>
        <w:tc>
          <w:tcPr>
            <w:tcW w:type="dxa" w:w="1296"/>
            <w:vAlign w:val="center"/>
            <w:tcMar>
              <w:top w:w="70" w:type="dxa"/>
              <w:start w:w="85" w:type="dxa"/>
              <w:bottom w:w="70" w:type="dxa"/>
              <w:end w:w="85" w:type="dxa"/>
            </w:tcMar>
            <w:shd w:fill="F4F6F7"/>
          </w:tcPr>
          <w:p>
            <w:pPr>
              <w:spacing w:after="0" w:before="0"/>
            </w:pPr>
            <w:r/>
            <w:r>
              <w:rPr>
                <w:rFonts w:ascii="Aptos" w:hAnsi="Aptos"/>
                <w:b w:val="0"/>
                <w:color w:val="26333D"/>
                <w:sz w:val="13"/>
              </w:rPr>
              <w:t>[owner]</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3"/>
              </w:rPr>
              <w:t>[EV IDs]</w:t>
            </w:r>
          </w:p>
        </w:tc>
      </w:tr>
      <w:tr>
        <w:trPr>
          <w:cantSplit/>
        </w:trPr>
        <w:tc>
          <w:tcPr>
            <w:tcW w:type="dxa" w:w="1224"/>
            <w:vAlign w:val="center"/>
            <w:tcMar>
              <w:top w:w="70" w:type="dxa"/>
              <w:start w:w="85" w:type="dxa"/>
              <w:bottom w:w="70" w:type="dxa"/>
              <w:end w:w="85" w:type="dxa"/>
            </w:tcMar>
          </w:tcPr>
          <w:p>
            <w:pPr>
              <w:spacing w:after="0" w:before="0"/>
            </w:pPr>
            <w:r/>
            <w:r>
              <w:rPr>
                <w:rFonts w:ascii="Aptos" w:hAnsi="Aptos"/>
                <w:b w:val="0"/>
                <w:color w:val="26333D"/>
                <w:sz w:val="13"/>
              </w:rPr>
              <w:t>CHG-0003</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3"/>
              </w:rPr>
              <w:t>AI-005 DuckTalent</w:t>
            </w:r>
          </w:p>
        </w:tc>
        <w:tc>
          <w:tcPr>
            <w:tcW w:type="dxa" w:w="864"/>
            <w:vAlign w:val="center"/>
            <w:tcMar>
              <w:top w:w="70" w:type="dxa"/>
              <w:start w:w="85" w:type="dxa"/>
              <w:bottom w:w="70" w:type="dxa"/>
              <w:end w:w="85" w:type="dxa"/>
            </w:tcMar>
          </w:tcPr>
          <w:p>
            <w:pPr>
              <w:spacing w:after="0" w:before="0"/>
            </w:pPr>
            <w:r/>
            <w:r>
              <w:rPr>
                <w:rFonts w:ascii="Aptos" w:hAnsi="Aptos"/>
                <w:b w:val="0"/>
                <w:color w:val="26333D"/>
                <w:sz w:val="13"/>
              </w:rPr>
              <w:t>CM-C3</w:t>
            </w:r>
          </w:p>
        </w:tc>
        <w:tc>
          <w:tcPr>
            <w:tcW w:type="dxa" w:w="1512"/>
            <w:vAlign w:val="center"/>
            <w:tcMar>
              <w:top w:w="70" w:type="dxa"/>
              <w:start w:w="85" w:type="dxa"/>
              <w:bottom w:w="70" w:type="dxa"/>
              <w:end w:w="85" w:type="dxa"/>
            </w:tcMar>
          </w:tcPr>
          <w:p>
            <w:pPr>
              <w:spacing w:after="0" w:before="0"/>
            </w:pPr>
            <w:r/>
            <w:r>
              <w:rPr>
                <w:rFonts w:ascii="Aptos" w:hAnsi="Aptos"/>
                <w:b w:val="0"/>
                <w:color w:val="26333D"/>
                <w:sz w:val="13"/>
              </w:rPr>
              <w:t>Ranking / intended use</w:t>
            </w:r>
          </w:p>
        </w:tc>
        <w:tc>
          <w:tcPr>
            <w:tcW w:type="dxa" w:w="2160"/>
            <w:vAlign w:val="center"/>
            <w:tcMar>
              <w:top w:w="70" w:type="dxa"/>
              <w:start w:w="85" w:type="dxa"/>
              <w:bottom w:w="70" w:type="dxa"/>
              <w:end w:w="85" w:type="dxa"/>
            </w:tcMar>
          </w:tcPr>
          <w:p>
            <w:pPr>
              <w:spacing w:after="0" w:before="0"/>
            </w:pPr>
            <w:r/>
            <w:r>
              <w:rPr>
                <w:rFonts w:ascii="Aptos" w:hAnsi="Aptos"/>
                <w:b w:val="0"/>
                <w:color w:val="26333D"/>
                <w:sz w:val="13"/>
              </w:rPr>
              <w:t>[summary]</w:t>
            </w:r>
          </w:p>
        </w:tc>
        <w:tc>
          <w:tcPr>
            <w:tcW w:type="dxa" w:w="1296"/>
            <w:vAlign w:val="center"/>
            <w:tcMar>
              <w:top w:w="70" w:type="dxa"/>
              <w:start w:w="85" w:type="dxa"/>
              <w:bottom w:w="70" w:type="dxa"/>
              <w:end w:w="85" w:type="dxa"/>
            </w:tcMar>
          </w:tcPr>
          <w:p>
            <w:pPr>
              <w:spacing w:after="0" w:before="0"/>
            </w:pPr>
            <w:r/>
            <w:r>
              <w:rPr>
                <w:rFonts w:ascii="Aptos" w:hAnsi="Aptos"/>
                <w:b w:val="0"/>
                <w:color w:val="26333D"/>
                <w:sz w:val="13"/>
              </w:rPr>
              <w:t>[version]</w:t>
            </w:r>
          </w:p>
        </w:tc>
        <w:tc>
          <w:tcPr>
            <w:tcW w:type="dxa" w:w="1440"/>
            <w:vAlign w:val="center"/>
            <w:tcMar>
              <w:top w:w="70" w:type="dxa"/>
              <w:start w:w="85" w:type="dxa"/>
              <w:bottom w:w="70" w:type="dxa"/>
              <w:end w:w="85" w:type="dxa"/>
            </w:tcMar>
          </w:tcPr>
          <w:p>
            <w:pPr>
              <w:spacing w:after="0" w:before="0"/>
            </w:pPr>
            <w:r/>
            <w:r>
              <w:rPr>
                <w:rFonts w:ascii="Aptos" w:hAnsi="Aptos"/>
                <w:b w:val="0"/>
                <w:color w:val="26333D"/>
                <w:sz w:val="13"/>
              </w:rPr>
              <w:t>[decision]</w:t>
            </w:r>
          </w:p>
        </w:tc>
        <w:tc>
          <w:tcPr>
            <w:tcW w:type="dxa" w:w="1296"/>
            <w:vAlign w:val="center"/>
            <w:tcMar>
              <w:top w:w="70" w:type="dxa"/>
              <w:start w:w="85" w:type="dxa"/>
              <w:bottom w:w="70" w:type="dxa"/>
              <w:end w:w="85" w:type="dxa"/>
            </w:tcMar>
          </w:tcPr>
          <w:p>
            <w:pPr>
              <w:spacing w:after="0" w:before="0"/>
            </w:pPr>
            <w:r/>
            <w:r>
              <w:rPr>
                <w:rFonts w:ascii="Aptos" w:hAnsi="Aptos"/>
                <w:b w:val="0"/>
                <w:color w:val="26333D"/>
                <w:sz w:val="13"/>
              </w:rPr>
              <w:t>[owner]</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3"/>
              </w:rPr>
              <w:t>[EV IDs]</w:t>
            </w:r>
          </w:p>
        </w:tc>
      </w:tr>
    </w:tbl>
    <w:p>
      <w:pPr>
        <w:spacing w:after="0"/>
      </w:pPr>
    </w:p>
    <w:p>
      <w:pPr>
        <w:pStyle w:val="Heading2"/>
      </w:pPr>
      <w:r>
        <w:t>16.1 Evidence package minimum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vAlign w:val="center"/>
            <w:tcMar>
              <w:top w:w="70" w:type="dxa"/>
              <w:start w:w="85" w:type="dxa"/>
              <w:bottom w:w="70" w:type="dxa"/>
              <w:end w:w="85" w:type="dxa"/>
            </w:tcMar>
            <w:shd w:fill="173B57"/>
          </w:tcPr>
          <w:p>
            <w:pPr>
              <w:spacing w:after="0" w:before="0"/>
            </w:pPr>
            <w:r/>
            <w:r>
              <w:rPr>
                <w:rFonts w:ascii="Aptos" w:hAnsi="Aptos"/>
                <w:b/>
                <w:color w:val="FFFFFF"/>
                <w:sz w:val="16"/>
              </w:rPr>
              <w:t>Evidence ID</w:t>
            </w:r>
          </w:p>
        </w:tc>
        <w:tc>
          <w:tcPr>
            <w:tcW w:type="dxa" w:w="7344"/>
            <w:vAlign w:val="center"/>
            <w:tcMar>
              <w:top w:w="70" w:type="dxa"/>
              <w:start w:w="85" w:type="dxa"/>
              <w:bottom w:w="70" w:type="dxa"/>
              <w:end w:w="85" w:type="dxa"/>
            </w:tcMar>
            <w:shd w:fill="173B57"/>
          </w:tcPr>
          <w:p>
            <w:pPr>
              <w:spacing w:after="0" w:before="0"/>
            </w:pPr>
            <w:r/>
            <w:r>
              <w:rPr>
                <w:rFonts w:ascii="Aptos" w:hAnsi="Aptos"/>
                <w:b/>
                <w:color w:val="FFFFFF"/>
                <w:sz w:val="16"/>
              </w:rPr>
              <w:t>Required record</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EV-CM-01</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Approved change request</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EV-CM-02</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Classification &amp; impact screen</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EV-CM-03</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Updated/revalidated risk and impact artifacts</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EV-CM-04</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Legal/privacy/security/safety/vendor specialist reviews as applicable</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EV-CM-05</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Technical design/version/configuration manifest</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EV-CM-06</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Test and validation results</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EV-CM-07</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Rollback/suspension plan and test evidence</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EV-CM-08</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Release approval and conditions</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EV-CM-09</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Deployment record</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EV-CM-10</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Post-change verification and monitoring</w:t>
            </w:r>
          </w:p>
        </w:tc>
      </w:tr>
      <w:tr>
        <w:trPr>
          <w:cantSplit/>
        </w:trPr>
        <w:tc>
          <w:tcPr>
            <w:tcW w:type="dxa" w:w="2016"/>
            <w:vAlign w:val="center"/>
            <w:tcMar>
              <w:top w:w="70" w:type="dxa"/>
              <w:start w:w="85" w:type="dxa"/>
              <w:bottom w:w="70" w:type="dxa"/>
              <w:end w:w="85" w:type="dxa"/>
            </w:tcMar>
          </w:tcPr>
          <w:p>
            <w:pPr>
              <w:spacing w:after="0" w:before="0"/>
            </w:pPr>
            <w:r/>
            <w:r>
              <w:rPr>
                <w:rFonts w:ascii="Aptos" w:hAnsi="Aptos"/>
                <w:b w:val="0"/>
                <w:color w:val="26333D"/>
                <w:sz w:val="16"/>
              </w:rPr>
              <w:t>EV-CM-11</w:t>
            </w:r>
          </w:p>
        </w:tc>
        <w:tc>
          <w:tcPr>
            <w:tcW w:type="dxa" w:w="7344"/>
            <w:vAlign w:val="center"/>
            <w:tcMar>
              <w:top w:w="70" w:type="dxa"/>
              <w:start w:w="85" w:type="dxa"/>
              <w:bottom w:w="70" w:type="dxa"/>
              <w:end w:w="85" w:type="dxa"/>
            </w:tcMar>
          </w:tcPr>
          <w:p>
            <w:pPr>
              <w:spacing w:after="0" w:before="0"/>
            </w:pPr>
            <w:r/>
            <w:r>
              <w:rPr>
                <w:rFonts w:ascii="Aptos" w:hAnsi="Aptos"/>
                <w:b w:val="0"/>
                <w:color w:val="26333D"/>
                <w:sz w:val="16"/>
              </w:rPr>
              <w:t>Superseded evidence references</w:t>
            </w:r>
          </w:p>
        </w:tc>
      </w:tr>
      <w:tr>
        <w:trPr>
          <w:cantSplit/>
        </w:trPr>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6"/>
              </w:rPr>
              <w:t>EV-CM-12</w:t>
            </w:r>
          </w:p>
        </w:tc>
        <w:tc>
          <w:tcPr>
            <w:tcW w:type="dxa" w:w="7344"/>
            <w:vAlign w:val="center"/>
            <w:tcMar>
              <w:top w:w="70" w:type="dxa"/>
              <w:start w:w="85" w:type="dxa"/>
              <w:bottom w:w="70" w:type="dxa"/>
              <w:end w:w="85" w:type="dxa"/>
            </w:tcMar>
            <w:shd w:fill="F4F6F7"/>
          </w:tcPr>
          <w:p>
            <w:pPr>
              <w:spacing w:after="0" w:before="0"/>
            </w:pPr>
            <w:r/>
            <w:r>
              <w:rPr>
                <w:rFonts w:ascii="Aptos" w:hAnsi="Aptos"/>
                <w:b w:val="0"/>
                <w:color w:val="26333D"/>
                <w:sz w:val="16"/>
              </w:rPr>
              <w:t>Closure / action completion record</w:t>
            </w:r>
          </w:p>
        </w:tc>
      </w:tr>
    </w:tbl>
    <w:p>
      <w:pPr>
        <w:spacing w:after="0"/>
      </w:pPr>
    </w:p>
    <w:p>
      <w:pPr>
        <w:pStyle w:val="Heading1"/>
      </w:pPr>
      <w:r>
        <w:t>17. System-Specific Change Examples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872"/>
            <w:vAlign w:val="center"/>
            <w:tcMar>
              <w:top w:w="70" w:type="dxa"/>
              <w:start w:w="85" w:type="dxa"/>
              <w:bottom w:w="70" w:type="dxa"/>
              <w:end w:w="85" w:type="dxa"/>
            </w:tcMar>
            <w:shd w:fill="173B57"/>
          </w:tcPr>
          <w:p>
            <w:pPr>
              <w:spacing w:after="0" w:before="0"/>
            </w:pPr>
            <w:r/>
            <w:r>
              <w:rPr>
                <w:rFonts w:ascii="Aptos" w:hAnsi="Aptos"/>
                <w:b/>
                <w:color w:val="FFFFFF"/>
                <w:sz w:val="14"/>
              </w:rPr>
              <w:t>System</w:t>
            </w:r>
          </w:p>
        </w:tc>
        <w:tc>
          <w:tcPr>
            <w:tcW w:type="dxa" w:w="3456"/>
            <w:vAlign w:val="center"/>
            <w:tcMar>
              <w:top w:w="70" w:type="dxa"/>
              <w:start w:w="85" w:type="dxa"/>
              <w:bottom w:w="70" w:type="dxa"/>
              <w:end w:w="85" w:type="dxa"/>
            </w:tcMar>
            <w:shd w:fill="173B57"/>
          </w:tcPr>
          <w:p>
            <w:pPr>
              <w:spacing w:after="0" w:before="0"/>
            </w:pPr>
            <w:r/>
            <w:r>
              <w:rPr>
                <w:rFonts w:ascii="Aptos" w:hAnsi="Aptos"/>
                <w:b/>
                <w:color w:val="FFFFFF"/>
                <w:sz w:val="14"/>
              </w:rPr>
              <w:t>Example change</w:t>
            </w:r>
          </w:p>
        </w:tc>
        <w:tc>
          <w:tcPr>
            <w:tcW w:type="dxa" w:w="1224"/>
            <w:vAlign w:val="center"/>
            <w:tcMar>
              <w:top w:w="70" w:type="dxa"/>
              <w:start w:w="85" w:type="dxa"/>
              <w:bottom w:w="70" w:type="dxa"/>
              <w:end w:w="85" w:type="dxa"/>
            </w:tcMar>
            <w:shd w:fill="173B57"/>
          </w:tcPr>
          <w:p>
            <w:pPr>
              <w:spacing w:after="0" w:before="0"/>
            </w:pPr>
            <w:r/>
            <w:r>
              <w:rPr>
                <w:rFonts w:ascii="Aptos" w:hAnsi="Aptos"/>
                <w:b/>
                <w:color w:val="FFFFFF"/>
                <w:sz w:val="14"/>
              </w:rPr>
              <w:t>Default class</w:t>
            </w:r>
          </w:p>
        </w:tc>
        <w:tc>
          <w:tcPr>
            <w:tcW w:type="dxa" w:w="3528"/>
            <w:vAlign w:val="center"/>
            <w:tcMar>
              <w:top w:w="70" w:type="dxa"/>
              <w:start w:w="85" w:type="dxa"/>
              <w:bottom w:w="70" w:type="dxa"/>
              <w:end w:w="85" w:type="dxa"/>
            </w:tcMar>
            <w:shd w:fill="173B57"/>
          </w:tcPr>
          <w:p>
            <w:pPr>
              <w:spacing w:after="0" w:before="0"/>
            </w:pPr>
            <w:r/>
            <w:r>
              <w:rPr>
                <w:rFonts w:ascii="Aptos" w:hAnsi="Aptos"/>
                <w:b/>
                <w:color w:val="FFFFFF"/>
                <w:sz w:val="14"/>
              </w:rPr>
              <w:t>Required focus</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DuckDesign AI</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Update hosted generative model while engineer review remains unchanged</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CM-C2</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Model validation, IP/data, security, regression; engineer review still effective</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DuckDesign AI</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Allow generated design to flow directly into production without engineer sign-off</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Purpose/autonomy/safety/human oversight/legal-product review</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QuackBot</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Add a new product-support RAG repository</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CM-C2</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Content quality, access, privacy, prompt injection/RAG security, customer safeguards</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QuackBot</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Permit chatbot to give unreviewed safety-critical repair instructions</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Safety, intended purpose, human escalation, legal/product impact</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FeatherForecast</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Routine retraining with approved data and same decision-support boundary</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CM-C2</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Data quality, performance/drift, manager approval remains</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FeatherForecast</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Automatically issue purchase commitments</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Autonomy/decision authority, operational/financial controls, oversight</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WingInspect Vision</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Adjust defect-confidence threshold</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False negatives/positives, quality/safety; C3 if acceptance authority materially changes</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WingInspect Vision</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Remove human inspector final acceptance</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Safety/quality, human oversight, legal/product assessment</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DuckTalent AI</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Change ranking features or scoring weights</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Fairness, discrimination, legal/privacy, explainability, human review</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DuckTalent AI</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Replace underlying recruitment model/vendor</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Enhanced fairness/legal/privacy/vendor revalidation; current 'Do Not Deploy' gate remains unless separately changed</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PondGPT</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Connect a new internal document repository</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CM-C2 or C3</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Authorization boundaries, sensitive data, privacy, RAG security; C3 if materially new restricted data/users</w:t>
            </w:r>
          </w:p>
        </w:tc>
      </w:tr>
      <w:tr>
        <w:trPr>
          <w:cantSplit/>
        </w:trPr>
        <w:tc>
          <w:tcPr>
            <w:tcW w:type="dxa" w:w="1872"/>
            <w:vAlign w:val="center"/>
            <w:tcMar>
              <w:top w:w="70" w:type="dxa"/>
              <w:start w:w="85" w:type="dxa"/>
              <w:bottom w:w="70" w:type="dxa"/>
              <w:end w:w="85" w:type="dxa"/>
            </w:tcMar>
            <w:shd w:fill="F4F6F7"/>
          </w:tcPr>
          <w:p>
            <w:pPr>
              <w:spacing w:after="0" w:before="0"/>
            </w:pPr>
            <w:r/>
            <w:r>
              <w:rPr>
                <w:rFonts w:ascii="Aptos" w:hAnsi="Aptos"/>
                <w:b w:val="0"/>
                <w:color w:val="26333D"/>
                <w:sz w:val="14"/>
              </w:rPr>
              <w:t>PondGPT</w:t>
            </w:r>
          </w:p>
        </w:tc>
        <w:tc>
          <w:tcPr>
            <w:tcW w:type="dxa" w:w="3456"/>
            <w:vAlign w:val="center"/>
            <w:tcMar>
              <w:top w:w="70" w:type="dxa"/>
              <w:start w:w="85" w:type="dxa"/>
              <w:bottom w:w="70" w:type="dxa"/>
              <w:end w:w="85" w:type="dxa"/>
            </w:tcMar>
            <w:shd w:fill="F4F6F7"/>
          </w:tcPr>
          <w:p>
            <w:pPr>
              <w:spacing w:after="0" w:before="0"/>
            </w:pPr>
            <w:r/>
            <w:r>
              <w:rPr>
                <w:rFonts w:ascii="Aptos" w:hAnsi="Aptos"/>
                <w:b w:val="0"/>
                <w:color w:val="26333D"/>
                <w:sz w:val="14"/>
              </w:rPr>
              <w:t>Enable agent to execute administrative actions</w:t>
            </w:r>
          </w:p>
        </w:tc>
        <w:tc>
          <w:tcPr>
            <w:tcW w:type="dxa" w:w="1224"/>
            <w:vAlign w:val="center"/>
            <w:tcMar>
              <w:top w:w="70" w:type="dxa"/>
              <w:start w:w="85" w:type="dxa"/>
              <w:bottom w:w="70" w:type="dxa"/>
              <w:end w:w="85" w:type="dxa"/>
            </w:tcMar>
            <w:shd w:fill="F4F6F7"/>
          </w:tcPr>
          <w:p>
            <w:pPr>
              <w:spacing w:after="0" w:before="0"/>
            </w:pPr>
            <w:r/>
            <w:r>
              <w:rPr>
                <w:rFonts w:ascii="Aptos" w:hAnsi="Aptos"/>
                <w:b w:val="0"/>
                <w:color w:val="26333D"/>
                <w:sz w:val="14"/>
              </w:rPr>
              <w:t>CM-C3</w:t>
            </w:r>
          </w:p>
        </w:tc>
        <w:tc>
          <w:tcPr>
            <w:tcW w:type="dxa" w:w="3528"/>
            <w:vAlign w:val="center"/>
            <w:tcMar>
              <w:top w:w="70" w:type="dxa"/>
              <w:start w:w="85" w:type="dxa"/>
              <w:bottom w:w="70" w:type="dxa"/>
              <w:end w:w="85" w:type="dxa"/>
            </w:tcMar>
            <w:shd w:fill="F4F6F7"/>
          </w:tcPr>
          <w:p>
            <w:pPr>
              <w:spacing w:after="0" w:before="0"/>
            </w:pPr>
            <w:r/>
            <w:r>
              <w:rPr>
                <w:rFonts w:ascii="Aptos" w:hAnsi="Aptos"/>
                <w:b w:val="0"/>
                <w:color w:val="26333D"/>
                <w:sz w:val="14"/>
              </w:rPr>
              <w:t>Autonomy, permissions, security, oversight, audit logs</w:t>
            </w:r>
          </w:p>
        </w:tc>
      </w:tr>
      <w:tr>
        <w:trPr>
          <w:cantSplit/>
        </w:trPr>
        <w:tc>
          <w:tcPr>
            <w:tcW w:type="dxa" w:w="1872"/>
            <w:vAlign w:val="center"/>
            <w:tcMar>
              <w:top w:w="70" w:type="dxa"/>
              <w:start w:w="85" w:type="dxa"/>
              <w:bottom w:w="70" w:type="dxa"/>
              <w:end w:w="85" w:type="dxa"/>
            </w:tcMar>
          </w:tcPr>
          <w:p>
            <w:pPr>
              <w:spacing w:after="0" w:before="0"/>
            </w:pPr>
            <w:r/>
            <w:r>
              <w:rPr>
                <w:rFonts w:ascii="Aptos" w:hAnsi="Aptos"/>
                <w:b w:val="0"/>
                <w:color w:val="26333D"/>
                <w:sz w:val="14"/>
              </w:rPr>
              <w:t>Unregistered GenAI</w:t>
            </w:r>
          </w:p>
        </w:tc>
        <w:tc>
          <w:tcPr>
            <w:tcW w:type="dxa" w:w="3456"/>
            <w:vAlign w:val="center"/>
            <w:tcMar>
              <w:top w:w="70" w:type="dxa"/>
              <w:start w:w="85" w:type="dxa"/>
              <w:bottom w:w="70" w:type="dxa"/>
              <w:end w:w="85" w:type="dxa"/>
            </w:tcMar>
          </w:tcPr>
          <w:p>
            <w:pPr>
              <w:spacing w:after="0" w:before="0"/>
            </w:pPr>
            <w:r/>
            <w:r>
              <w:rPr>
                <w:rFonts w:ascii="Aptos" w:hAnsi="Aptos"/>
                <w:b w:val="0"/>
                <w:color w:val="26333D"/>
                <w:sz w:val="14"/>
              </w:rPr>
              <w:t>Employee switches from one public AI tool to another</w:t>
            </w:r>
          </w:p>
        </w:tc>
        <w:tc>
          <w:tcPr>
            <w:tcW w:type="dxa" w:w="1224"/>
            <w:vAlign w:val="center"/>
            <w:tcMar>
              <w:top w:w="70" w:type="dxa"/>
              <w:start w:w="85" w:type="dxa"/>
              <w:bottom w:w="70" w:type="dxa"/>
              <w:end w:w="85" w:type="dxa"/>
            </w:tcMar>
          </w:tcPr>
          <w:p>
            <w:pPr>
              <w:spacing w:after="0" w:before="0"/>
            </w:pPr>
            <w:r/>
            <w:r>
              <w:rPr>
                <w:rFonts w:ascii="Aptos" w:hAnsi="Aptos"/>
                <w:b w:val="0"/>
                <w:color w:val="26333D"/>
                <w:sz w:val="14"/>
              </w:rPr>
              <w:t>Not normal change path</w:t>
            </w:r>
          </w:p>
        </w:tc>
        <w:tc>
          <w:tcPr>
            <w:tcW w:type="dxa" w:w="3528"/>
            <w:vAlign w:val="center"/>
            <w:tcMar>
              <w:top w:w="70" w:type="dxa"/>
              <w:start w:w="85" w:type="dxa"/>
              <w:bottom w:w="70" w:type="dxa"/>
              <w:end w:w="85" w:type="dxa"/>
            </w:tcMar>
          </w:tcPr>
          <w:p>
            <w:pPr>
              <w:spacing w:after="0" w:before="0"/>
            </w:pPr>
            <w:r/>
            <w:r>
              <w:rPr>
                <w:rFonts w:ascii="Aptos" w:hAnsi="Aptos"/>
                <w:b w:val="0"/>
                <w:color w:val="26333D"/>
                <w:sz w:val="14"/>
              </w:rPr>
              <w:t>Discover, contain and register each material use before approval</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FF1D5"/>
            <w:tcMar>
              <w:top w:w="120" w:type="dxa"/>
              <w:start w:w="140" w:type="dxa"/>
              <w:bottom w:w="120" w:type="dxa"/>
              <w:end w:w="140" w:type="dxa"/>
            </w:tcMar>
            <w:tcBorders>
              <w:left w:val="single" w:sz="18" w:color="2D6F6D"/>
            </w:tcBorders>
          </w:tcPr>
          <w:p>
            <w:pPr>
              <w:spacing w:after="60"/>
            </w:pPr>
            <w:r>
              <w:rPr>
                <w:b/>
                <w:color w:val="173B57"/>
                <w:sz w:val="20"/>
              </w:rPr>
              <w:t>Current gate preservation</w:t>
            </w:r>
          </w:p>
          <w:p>
            <w:pPr>
              <w:spacing w:after="0"/>
            </w:pPr>
            <w:r>
              <w:rPr>
                <w:color w:val="26333D"/>
                <w:sz w:val="18"/>
              </w:rPr>
              <w:t>A change request cannot implicitly override an existing Duckworks release restriction. For example, DuckTalent remains “Do Not Deploy,” QuackBot remains blocked pending release gates, and restricted-pilot systems remain restricted until the appropriate governance authority explicitly changes that decision.</w:t>
            </w:r>
          </w:p>
        </w:tc>
      </w:tr>
    </w:tbl>
    <w:p>
      <w:pPr>
        <w:spacing w:after="0"/>
      </w:pPr>
    </w:p>
    <w:p>
      <w:r>
        <w:br w:type="page"/>
      </w:r>
    </w:p>
    <w:p>
      <w:pPr>
        <w:pStyle w:val="Heading1"/>
      </w:pPr>
      <w:r>
        <w:t>18. Change Management Metrics and KRIs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232"/>
            <w:vAlign w:val="center"/>
            <w:tcMar>
              <w:top w:w="70" w:type="dxa"/>
              <w:start w:w="85" w:type="dxa"/>
              <w:bottom w:w="70" w:type="dxa"/>
              <w:end w:w="85" w:type="dxa"/>
            </w:tcMar>
            <w:shd w:fill="173B57"/>
          </w:tcPr>
          <w:p>
            <w:pPr>
              <w:spacing w:after="0" w:before="0"/>
            </w:pPr>
            <w:r/>
            <w:r>
              <w:rPr>
                <w:rFonts w:ascii="Aptos" w:hAnsi="Aptos"/>
                <w:b/>
                <w:color w:val="FFFFFF"/>
                <w:sz w:val="15"/>
              </w:rPr>
              <w:t>Metric / KRI</w:t>
            </w:r>
          </w:p>
        </w:tc>
        <w:tc>
          <w:tcPr>
            <w:tcW w:type="dxa" w:w="4824"/>
            <w:vAlign w:val="center"/>
            <w:tcMar>
              <w:top w:w="70" w:type="dxa"/>
              <w:start w:w="85" w:type="dxa"/>
              <w:bottom w:w="70" w:type="dxa"/>
              <w:end w:w="85" w:type="dxa"/>
            </w:tcMar>
            <w:shd w:fill="173B57"/>
          </w:tcPr>
          <w:p>
            <w:pPr>
              <w:spacing w:after="0" w:before="0"/>
            </w:pPr>
            <w:r/>
            <w:r>
              <w:rPr>
                <w:rFonts w:ascii="Aptos" w:hAnsi="Aptos"/>
                <w:b/>
                <w:color w:val="FFFFFF"/>
                <w:sz w:val="15"/>
              </w:rPr>
              <w:t>Definition</w:t>
            </w:r>
          </w:p>
        </w:tc>
        <w:tc>
          <w:tcPr>
            <w:tcW w:type="dxa" w:w="1584"/>
            <w:vAlign w:val="center"/>
            <w:tcMar>
              <w:top w:w="70" w:type="dxa"/>
              <w:start w:w="85" w:type="dxa"/>
              <w:bottom w:w="70" w:type="dxa"/>
              <w:end w:w="85" w:type="dxa"/>
            </w:tcMar>
            <w:shd w:fill="173B57"/>
          </w:tcPr>
          <w:p>
            <w:pPr>
              <w:spacing w:after="0" w:before="0"/>
            </w:pPr>
            <w:r/>
            <w:r>
              <w:rPr>
                <w:rFonts w:ascii="Aptos" w:hAnsi="Aptos"/>
                <w:b/>
                <w:color w:val="FFFFFF"/>
                <w:sz w:val="15"/>
              </w:rPr>
              <w:t>Cadence</w:t>
            </w:r>
          </w:p>
        </w:tc>
        <w:tc>
          <w:tcPr>
            <w:tcW w:type="dxa" w:w="1728"/>
            <w:vAlign w:val="center"/>
            <w:tcMar>
              <w:top w:w="70" w:type="dxa"/>
              <w:start w:w="85" w:type="dxa"/>
              <w:bottom w:w="70" w:type="dxa"/>
              <w:end w:w="85" w:type="dxa"/>
            </w:tcMar>
            <w:shd w:fill="173B57"/>
          </w:tcPr>
          <w:p>
            <w:pPr>
              <w:spacing w:after="0" w:before="0"/>
            </w:pPr>
            <w:r/>
            <w:r>
              <w:rPr>
                <w:rFonts w:ascii="Aptos" w:hAnsi="Aptos"/>
                <w:b/>
                <w:color w:val="FFFFFF"/>
                <w:sz w:val="15"/>
              </w:rPr>
              <w:t>Owner</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Change volume</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Number of AI changes by CM-C0–C3 and system</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AI Governance Lead</w:t>
            </w:r>
          </w:p>
        </w:tc>
      </w:tr>
      <w:tr>
        <w:trPr>
          <w:cantSplit/>
        </w:trPr>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5"/>
              </w:rPr>
              <w:t>Material-change rate</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 of changes classified CM-C2/C3</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5"/>
              </w:rPr>
              <w:t>AI Governance Lead</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Unapproved change rate</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Changes detected without prior approval</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 / immediate for material</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CISO + AI Governance</w:t>
            </w:r>
          </w:p>
        </w:tc>
      </w:tr>
      <w:tr>
        <w:trPr>
          <w:cantSplit/>
        </w:trPr>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5"/>
              </w:rPr>
              <w:t>Reassessment completion</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 of triggered reassessments completed before release</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5"/>
              </w:rPr>
              <w:t>Risk &amp; Compliance</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Evidence completeness</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 of CM-C2/C3 changes with complete evidence package</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AI Governance Lead</w:t>
            </w:r>
          </w:p>
        </w:tc>
      </w:tr>
      <w:tr>
        <w:trPr>
          <w:cantSplit/>
        </w:trPr>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5"/>
              </w:rPr>
              <w:t>Rollback success</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 of tested rollbacks completed successfully</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Quarterly</w:t>
            </w:r>
          </w:p>
        </w:tc>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5"/>
              </w:rPr>
              <w:t>Technical Owners</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Emergency change rate</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Emergency changes as % of all changes</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Technology + Risk</w:t>
            </w:r>
          </w:p>
        </w:tc>
      </w:tr>
      <w:tr>
        <w:trPr>
          <w:cantSplit/>
        </w:trPr>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5"/>
              </w:rPr>
              <w:t>Emergency retrospective overdue</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Count beyond five-business-day internal target</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Weekly</w:t>
            </w:r>
          </w:p>
        </w:tc>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5"/>
              </w:rPr>
              <w:t>AI Governance Lead</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Post-change incidents</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Material incidents within defined post-release window</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CISO / Business Owner</w:t>
            </w:r>
          </w:p>
        </w:tc>
      </w:tr>
      <w:tr>
        <w:trPr>
          <w:cantSplit/>
        </w:trPr>
        <w:tc>
          <w:tcPr>
            <w:tcW w:type="dxa" w:w="2232"/>
            <w:vAlign w:val="center"/>
            <w:tcMar>
              <w:top w:w="70" w:type="dxa"/>
              <w:start w:w="85" w:type="dxa"/>
              <w:bottom w:w="70" w:type="dxa"/>
              <w:end w:w="85" w:type="dxa"/>
            </w:tcMar>
            <w:shd w:fill="F4F6F7"/>
          </w:tcPr>
          <w:p>
            <w:pPr>
              <w:spacing w:after="0" w:before="0"/>
            </w:pPr>
            <w:r/>
            <w:r>
              <w:rPr>
                <w:rFonts w:ascii="Aptos" w:hAnsi="Aptos"/>
                <w:b w:val="0"/>
                <w:color w:val="26333D"/>
                <w:sz w:val="15"/>
              </w:rPr>
              <w:t>Vendor notice coverage</w:t>
            </w:r>
          </w:p>
        </w:tc>
        <w:tc>
          <w:tcPr>
            <w:tcW w:type="dxa" w:w="4824"/>
            <w:vAlign w:val="center"/>
            <w:tcMar>
              <w:top w:w="70" w:type="dxa"/>
              <w:start w:w="85" w:type="dxa"/>
              <w:bottom w:w="70" w:type="dxa"/>
              <w:end w:w="85" w:type="dxa"/>
            </w:tcMar>
            <w:shd w:fill="F4F6F7"/>
          </w:tcPr>
          <w:p>
            <w:pPr>
              <w:spacing w:after="0" w:before="0"/>
            </w:pPr>
            <w:r/>
            <w:r>
              <w:rPr>
                <w:rFonts w:ascii="Aptos" w:hAnsi="Aptos"/>
                <w:b w:val="0"/>
                <w:color w:val="26333D"/>
                <w:sz w:val="15"/>
              </w:rPr>
              <w:t>% of material vendor notices registered and assessed</w:t>
            </w:r>
          </w:p>
        </w:tc>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5"/>
              </w:rPr>
              <w:t>Quarterly</w:t>
            </w:r>
          </w:p>
        </w:tc>
        <w:tc>
          <w:tcPr>
            <w:tcW w:type="dxa" w:w="1728"/>
            <w:vAlign w:val="center"/>
            <w:tcMar>
              <w:top w:w="70" w:type="dxa"/>
              <w:start w:w="85" w:type="dxa"/>
              <w:bottom w:w="70" w:type="dxa"/>
              <w:end w:w="85" w:type="dxa"/>
            </w:tcMar>
            <w:shd w:fill="F4F6F7"/>
          </w:tcPr>
          <w:p>
            <w:pPr>
              <w:spacing w:after="0" w:before="0"/>
            </w:pPr>
            <w:r/>
            <w:r>
              <w:rPr>
                <w:rFonts w:ascii="Aptos" w:hAnsi="Aptos"/>
                <w:b w:val="0"/>
                <w:color w:val="26333D"/>
                <w:sz w:val="15"/>
              </w:rPr>
              <w:t>Procurement</w:t>
            </w:r>
          </w:p>
        </w:tc>
      </w:tr>
      <w:tr>
        <w:trPr>
          <w:cantSplit/>
        </w:trPr>
        <w:tc>
          <w:tcPr>
            <w:tcW w:type="dxa" w:w="2232"/>
            <w:vAlign w:val="center"/>
            <w:tcMar>
              <w:top w:w="70" w:type="dxa"/>
              <w:start w:w="85" w:type="dxa"/>
              <w:bottom w:w="70" w:type="dxa"/>
              <w:end w:w="85" w:type="dxa"/>
            </w:tcMar>
          </w:tcPr>
          <w:p>
            <w:pPr>
              <w:spacing w:after="0" w:before="0"/>
            </w:pPr>
            <w:r/>
            <w:r>
              <w:rPr>
                <w:rFonts w:ascii="Aptos" w:hAnsi="Aptos"/>
                <w:b w:val="0"/>
                <w:color w:val="26333D"/>
                <w:sz w:val="15"/>
              </w:rPr>
              <w:t>Change-related control failures</w:t>
            </w:r>
          </w:p>
        </w:tc>
        <w:tc>
          <w:tcPr>
            <w:tcW w:type="dxa" w:w="4824"/>
            <w:vAlign w:val="center"/>
            <w:tcMar>
              <w:top w:w="70" w:type="dxa"/>
              <w:start w:w="85" w:type="dxa"/>
              <w:bottom w:w="70" w:type="dxa"/>
              <w:end w:w="85" w:type="dxa"/>
            </w:tcMar>
          </w:tcPr>
          <w:p>
            <w:pPr>
              <w:spacing w:after="0" w:before="0"/>
            </w:pPr>
            <w:r/>
            <w:r>
              <w:rPr>
                <w:rFonts w:ascii="Aptos" w:hAnsi="Aptos"/>
                <w:b w:val="0"/>
                <w:color w:val="26333D"/>
                <w:sz w:val="15"/>
              </w:rPr>
              <w:t>Count of controls invalidated or failed after change</w:t>
            </w:r>
          </w:p>
        </w:tc>
        <w:tc>
          <w:tcPr>
            <w:tcW w:type="dxa" w:w="1584"/>
            <w:vAlign w:val="center"/>
            <w:tcMar>
              <w:top w:w="70" w:type="dxa"/>
              <w:start w:w="85" w:type="dxa"/>
              <w:bottom w:w="70" w:type="dxa"/>
              <w:end w:w="85" w:type="dxa"/>
            </w:tcMar>
          </w:tcPr>
          <w:p>
            <w:pPr>
              <w:spacing w:after="0" w:before="0"/>
            </w:pPr>
            <w:r/>
            <w:r>
              <w:rPr>
                <w:rFonts w:ascii="Aptos" w:hAnsi="Aptos"/>
                <w:b w:val="0"/>
                <w:color w:val="26333D"/>
                <w:sz w:val="15"/>
              </w:rPr>
              <w:t>Monthly</w:t>
            </w:r>
          </w:p>
        </w:tc>
        <w:tc>
          <w:tcPr>
            <w:tcW w:type="dxa" w:w="1728"/>
            <w:vAlign w:val="center"/>
            <w:tcMar>
              <w:top w:w="70" w:type="dxa"/>
              <w:start w:w="85" w:type="dxa"/>
              <w:bottom w:w="70" w:type="dxa"/>
              <w:end w:w="85" w:type="dxa"/>
            </w:tcMar>
          </w:tcPr>
          <w:p>
            <w:pPr>
              <w:spacing w:after="0" w:before="0"/>
            </w:pPr>
            <w:r/>
            <w:r>
              <w:rPr>
                <w:rFonts w:ascii="Aptos" w:hAnsi="Aptos"/>
                <w:b w:val="0"/>
                <w:color w:val="26333D"/>
                <w:sz w:val="15"/>
              </w:rPr>
              <w:t>Control Owners</w:t>
            </w:r>
          </w:p>
        </w:tc>
      </w:tr>
    </w:tbl>
    <w:p>
      <w:pPr>
        <w:spacing w:after="0"/>
      </w:pPr>
    </w:p>
    <w:p>
      <w:pPr>
        <w:pStyle w:val="Heading1"/>
      </w:pPr>
      <w:r>
        <w:t>19. Process Acceptance Criteria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584"/>
            <w:vAlign w:val="center"/>
            <w:tcMar>
              <w:top w:w="70" w:type="dxa"/>
              <w:start w:w="85" w:type="dxa"/>
              <w:bottom w:w="70" w:type="dxa"/>
              <w:end w:w="85" w:type="dxa"/>
            </w:tcMar>
            <w:shd w:fill="173B57"/>
          </w:tcPr>
          <w:p>
            <w:pPr>
              <w:spacing w:after="0" w:before="0"/>
            </w:pPr>
            <w:r/>
            <w:r>
              <w:rPr>
                <w:rFonts w:ascii="Aptos" w:hAnsi="Aptos"/>
                <w:b/>
                <w:color w:val="FFFFFF"/>
                <w:sz w:val="16"/>
              </w:rPr>
              <w:t>ID</w:t>
            </w:r>
          </w:p>
        </w:tc>
        <w:tc>
          <w:tcPr>
            <w:tcW w:type="dxa" w:w="7776"/>
            <w:vAlign w:val="center"/>
            <w:tcMar>
              <w:top w:w="70" w:type="dxa"/>
              <w:start w:w="85" w:type="dxa"/>
              <w:bottom w:w="70" w:type="dxa"/>
              <w:end w:w="85" w:type="dxa"/>
            </w:tcMar>
            <w:shd w:fill="173B57"/>
          </w:tcPr>
          <w:p>
            <w:pPr>
              <w:spacing w:after="0" w:before="0"/>
            </w:pPr>
            <w:r/>
            <w:r>
              <w:rPr>
                <w:rFonts w:ascii="Aptos" w:hAnsi="Aptos"/>
                <w:b/>
                <w:color w:val="FFFFFF"/>
                <w:sz w:val="16"/>
              </w:rPr>
              <w:t>Acceptance criterion</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CM-AC-01</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Every material AI change is linked to an AI inventory record and current baseline.</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CM-AC-02</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CM-C2/C3 changes have a completed impact screen before production release.</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CM-AC-03</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Reassessment scope identifies which prior artifacts/evidence remain valid or are superseded.</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CM-AC-04</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Required specialist reviews are evidenced.</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CM-AC-05</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No CM-C3 change is released through a CM-C0/C1 approval path.</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CM-AC-06</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High/Critical residual-risk decisions follow the existing Duckworks governance authority and escalation rules.</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CM-AC-07</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Human-oversight changes are explicitly assessed rather than treated as ordinary configuration changes.</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CM-AC-08</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Third-party material changes trigger vendor/contract/security/privacy review where relevant.</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CM-AC-09</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Rollback or suspension is documented for CM-C2/C3 changes where service risk requires it.</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CM-AC-10</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Post-change verification confirms expected controls and monitoring operate.</w:t>
            </w:r>
          </w:p>
        </w:tc>
      </w:tr>
      <w:tr>
        <w:trPr>
          <w:cantSplit/>
        </w:trPr>
        <w:tc>
          <w:tcPr>
            <w:tcW w:type="dxa" w:w="1584"/>
            <w:vAlign w:val="center"/>
            <w:tcMar>
              <w:top w:w="70" w:type="dxa"/>
              <w:start w:w="85" w:type="dxa"/>
              <w:bottom w:w="70" w:type="dxa"/>
              <w:end w:w="85" w:type="dxa"/>
            </w:tcMar>
          </w:tcPr>
          <w:p>
            <w:pPr>
              <w:spacing w:after="0" w:before="0"/>
            </w:pPr>
            <w:r/>
            <w:r>
              <w:rPr>
                <w:rFonts w:ascii="Aptos" w:hAnsi="Aptos"/>
                <w:b w:val="0"/>
                <w:color w:val="26333D"/>
                <w:sz w:val="16"/>
              </w:rPr>
              <w:t>CM-AC-11</w:t>
            </w:r>
          </w:p>
        </w:tc>
        <w:tc>
          <w:tcPr>
            <w:tcW w:type="dxa" w:w="7776"/>
            <w:vAlign w:val="center"/>
            <w:tcMar>
              <w:top w:w="70" w:type="dxa"/>
              <w:start w:w="85" w:type="dxa"/>
              <w:bottom w:w="70" w:type="dxa"/>
              <w:end w:w="85" w:type="dxa"/>
            </w:tcMar>
          </w:tcPr>
          <w:p>
            <w:pPr>
              <w:spacing w:after="0" w:before="0"/>
            </w:pPr>
            <w:r/>
            <w:r>
              <w:rPr>
                <w:rFonts w:ascii="Aptos" w:hAnsi="Aptos"/>
                <w:b w:val="0"/>
                <w:color w:val="26333D"/>
                <w:sz w:val="16"/>
              </w:rPr>
              <w:t>Emergency changes receive retrospective review within the internal target or are escalated.</w:t>
            </w:r>
          </w:p>
        </w:tc>
      </w:tr>
      <w:tr>
        <w:trPr>
          <w:cantSplit/>
        </w:trPr>
        <w:tc>
          <w:tcPr>
            <w:tcW w:type="dxa" w:w="1584"/>
            <w:vAlign w:val="center"/>
            <w:tcMar>
              <w:top w:w="70" w:type="dxa"/>
              <w:start w:w="85" w:type="dxa"/>
              <w:bottom w:w="70" w:type="dxa"/>
              <w:end w:w="85" w:type="dxa"/>
            </w:tcMar>
            <w:shd w:fill="F4F6F7"/>
          </w:tcPr>
          <w:p>
            <w:pPr>
              <w:spacing w:after="0" w:before="0"/>
            </w:pPr>
            <w:r/>
            <w:r>
              <w:rPr>
                <w:rFonts w:ascii="Aptos" w:hAnsi="Aptos"/>
                <w:b w:val="0"/>
                <w:color w:val="26333D"/>
                <w:sz w:val="16"/>
              </w:rPr>
              <w:t>CM-AC-12</w:t>
            </w:r>
          </w:p>
        </w:tc>
        <w:tc>
          <w:tcPr>
            <w:tcW w:type="dxa" w:w="7776"/>
            <w:vAlign w:val="center"/>
            <w:tcMar>
              <w:top w:w="70" w:type="dxa"/>
              <w:start w:w="85" w:type="dxa"/>
              <w:bottom w:w="70" w:type="dxa"/>
              <w:end w:w="85" w:type="dxa"/>
            </w:tcMar>
            <w:shd w:fill="F4F6F7"/>
          </w:tcPr>
          <w:p>
            <w:pPr>
              <w:spacing w:after="0" w:before="0"/>
            </w:pPr>
            <w:r/>
            <w:r>
              <w:rPr>
                <w:rFonts w:ascii="Aptos" w:hAnsi="Aptos"/>
                <w:b w:val="0"/>
                <w:color w:val="26333D"/>
                <w:sz w:val="16"/>
              </w:rPr>
              <w:t>The change log provides traceability from request → assessment → evidence → approval → release → verification.</w:t>
            </w:r>
          </w:p>
        </w:tc>
      </w:tr>
    </w:tbl>
    <w:p>
      <w:pPr>
        <w:spacing w:after="0"/>
      </w:pPr>
    </w:p>
    <w:p>
      <w:pPr>
        <w:pStyle w:val="Heading1"/>
      </w:pPr>
      <w:r>
        <w:t>20. Integration with Existing Duckworks Artifacts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vAlign w:val="center"/>
            <w:tcMar>
              <w:top w:w="70" w:type="dxa"/>
              <w:start w:w="85" w:type="dxa"/>
              <w:bottom w:w="70" w:type="dxa"/>
              <w:end w:w="85" w:type="dxa"/>
            </w:tcMar>
            <w:shd w:fill="173B57"/>
          </w:tcPr>
          <w:p>
            <w:pPr>
              <w:spacing w:after="0" w:before="0"/>
            </w:pPr>
            <w:r/>
            <w:r>
              <w:rPr>
                <w:rFonts w:ascii="Aptos" w:hAnsi="Aptos"/>
                <w:b/>
                <w:color w:val="FFFFFF"/>
                <w:sz w:val="16"/>
              </w:rPr>
              <w:t>Artifact</w:t>
            </w:r>
          </w:p>
        </w:tc>
        <w:tc>
          <w:tcPr>
            <w:tcW w:type="dxa" w:w="6192"/>
            <w:vAlign w:val="center"/>
            <w:tcMar>
              <w:top w:w="70" w:type="dxa"/>
              <w:start w:w="85" w:type="dxa"/>
              <w:bottom w:w="70" w:type="dxa"/>
              <w:end w:w="85" w:type="dxa"/>
            </w:tcMar>
            <w:shd w:fill="173B57"/>
          </w:tcPr>
          <w:p>
            <w:pPr>
              <w:spacing w:after="0" w:before="0"/>
            </w:pPr>
            <w:r/>
            <w:r>
              <w:rPr>
                <w:rFonts w:ascii="Aptos" w:hAnsi="Aptos"/>
                <w:b/>
                <w:color w:val="FFFFFF"/>
                <w:sz w:val="16"/>
              </w:rPr>
              <w:t>Change-management integration</w:t>
            </w:r>
          </w:p>
        </w:tc>
      </w:tr>
      <w:tr>
        <w:trPr>
          <w:cantSplit/>
        </w:trPr>
        <w:tc>
          <w:tcPr>
            <w:tcW w:type="dxa" w:w="3168"/>
            <w:vAlign w:val="center"/>
            <w:tcMar>
              <w:top w:w="70" w:type="dxa"/>
              <w:start w:w="85" w:type="dxa"/>
              <w:bottom w:w="70" w:type="dxa"/>
              <w:end w:w="85" w:type="dxa"/>
            </w:tcMar>
          </w:tcPr>
          <w:p>
            <w:pPr>
              <w:spacing w:after="0" w:before="0"/>
            </w:pPr>
            <w:r/>
            <w:r>
              <w:rPr>
                <w:rFonts w:ascii="Aptos" w:hAnsi="Aptos"/>
                <w:b w:val="0"/>
                <w:color w:val="26333D"/>
                <w:sz w:val="16"/>
              </w:rPr>
              <w:t>QuackTrack AI System Inventory</w:t>
            </w:r>
          </w:p>
        </w:tc>
        <w:tc>
          <w:tcPr>
            <w:tcW w:type="dxa" w:w="6192"/>
            <w:vAlign w:val="center"/>
            <w:tcMar>
              <w:top w:w="70" w:type="dxa"/>
              <w:start w:w="85" w:type="dxa"/>
              <w:bottom w:w="70" w:type="dxa"/>
              <w:end w:w="85" w:type="dxa"/>
            </w:tcMar>
          </w:tcPr>
          <w:p>
            <w:pPr>
              <w:spacing w:after="0" w:before="0"/>
            </w:pPr>
            <w:r/>
            <w:r>
              <w:rPr>
                <w:rFonts w:ascii="Aptos" w:hAnsi="Aptos"/>
                <w:b w:val="0"/>
                <w:color w:val="26333D"/>
                <w:sz w:val="16"/>
              </w:rPr>
              <w:t>Baseline system identity, version, owners, lifecycle and governance state are updated after change.</w:t>
            </w:r>
          </w:p>
        </w:tc>
      </w:tr>
      <w:tr>
        <w:trPr>
          <w:cantSplit/>
        </w:trPr>
        <w:tc>
          <w:tcPr>
            <w:tcW w:type="dxa" w:w="3168"/>
            <w:vAlign w:val="center"/>
            <w:tcMar>
              <w:top w:w="70" w:type="dxa"/>
              <w:start w:w="85" w:type="dxa"/>
              <w:bottom w:w="70" w:type="dxa"/>
              <w:end w:w="85" w:type="dxa"/>
            </w:tcMar>
            <w:shd w:fill="F4F6F7"/>
          </w:tcPr>
          <w:p>
            <w:pPr>
              <w:spacing w:after="0" w:before="0"/>
            </w:pPr>
            <w:r/>
            <w:r>
              <w:rPr>
                <w:rFonts w:ascii="Aptos" w:hAnsi="Aptos"/>
                <w:b w:val="0"/>
                <w:color w:val="26333D"/>
                <w:sz w:val="16"/>
              </w:rPr>
              <w:t>AI Risk Classification &amp; Assessment Methodology</w:t>
            </w:r>
          </w:p>
        </w:tc>
        <w:tc>
          <w:tcPr>
            <w:tcW w:type="dxa" w:w="6192"/>
            <w:vAlign w:val="center"/>
            <w:tcMar>
              <w:top w:w="70" w:type="dxa"/>
              <w:start w:w="85" w:type="dxa"/>
              <w:bottom w:w="70" w:type="dxa"/>
              <w:end w:w="85" w:type="dxa"/>
            </w:tcMar>
            <w:shd w:fill="F4F6F7"/>
          </w:tcPr>
          <w:p>
            <w:pPr>
              <w:spacing w:after="0" w:before="0"/>
            </w:pPr>
            <w:r/>
            <w:r>
              <w:rPr>
                <w:rFonts w:ascii="Aptos" w:hAnsi="Aptos"/>
                <w:b w:val="0"/>
                <w:color w:val="26333D"/>
                <w:sz w:val="16"/>
              </w:rPr>
              <w:t>Reassessment triggers, residual-risk rules, control evidence and High/Critical approval requirements remain authoritative.</w:t>
            </w:r>
          </w:p>
        </w:tc>
      </w:tr>
      <w:tr>
        <w:trPr>
          <w:cantSplit/>
        </w:trPr>
        <w:tc>
          <w:tcPr>
            <w:tcW w:type="dxa" w:w="3168"/>
            <w:vAlign w:val="center"/>
            <w:tcMar>
              <w:top w:w="70" w:type="dxa"/>
              <w:start w:w="85" w:type="dxa"/>
              <w:bottom w:w="70" w:type="dxa"/>
              <w:end w:w="85" w:type="dxa"/>
            </w:tcMar>
          </w:tcPr>
          <w:p>
            <w:pPr>
              <w:spacing w:after="0" w:before="0"/>
            </w:pPr>
            <w:r/>
            <w:r>
              <w:rPr>
                <w:rFonts w:ascii="Aptos" w:hAnsi="Aptos"/>
                <w:b w:val="0"/>
                <w:color w:val="26333D"/>
                <w:sz w:val="16"/>
              </w:rPr>
              <w:t>AI Impact Assessments</w:t>
            </w:r>
          </w:p>
        </w:tc>
        <w:tc>
          <w:tcPr>
            <w:tcW w:type="dxa" w:w="6192"/>
            <w:vAlign w:val="center"/>
            <w:tcMar>
              <w:top w:w="70" w:type="dxa"/>
              <w:start w:w="85" w:type="dxa"/>
              <w:bottom w:w="70" w:type="dxa"/>
              <w:end w:w="85" w:type="dxa"/>
            </w:tcMar>
          </w:tcPr>
          <w:p>
            <w:pPr>
              <w:spacing w:after="0" w:before="0"/>
            </w:pPr>
            <w:r/>
            <w:r>
              <w:rPr>
                <w:rFonts w:ascii="Aptos" w:hAnsi="Aptos"/>
                <w:b w:val="0"/>
                <w:color w:val="26333D"/>
                <w:sz w:val="16"/>
              </w:rPr>
              <w:t>Reopened when affected people, rights, safety, autonomy, fairness, transparency or material impacts may change.</w:t>
            </w:r>
          </w:p>
        </w:tc>
      </w:tr>
      <w:tr>
        <w:trPr>
          <w:cantSplit/>
        </w:trPr>
        <w:tc>
          <w:tcPr>
            <w:tcW w:type="dxa" w:w="3168"/>
            <w:vAlign w:val="center"/>
            <w:tcMar>
              <w:top w:w="70" w:type="dxa"/>
              <w:start w:w="85" w:type="dxa"/>
              <w:bottom w:w="70" w:type="dxa"/>
              <w:end w:w="85" w:type="dxa"/>
            </w:tcMar>
            <w:shd w:fill="F4F6F7"/>
          </w:tcPr>
          <w:p>
            <w:pPr>
              <w:spacing w:after="0" w:before="0"/>
            </w:pPr>
            <w:r/>
            <w:r>
              <w:rPr>
                <w:rFonts w:ascii="Aptos" w:hAnsi="Aptos"/>
                <w:b w:val="0"/>
                <w:color w:val="26333D"/>
                <w:sz w:val="16"/>
              </w:rPr>
              <w:t>AI Governance Operational Playbooks</w:t>
            </w:r>
          </w:p>
        </w:tc>
        <w:tc>
          <w:tcPr>
            <w:tcW w:type="dxa" w:w="6192"/>
            <w:vAlign w:val="center"/>
            <w:tcMar>
              <w:top w:w="70" w:type="dxa"/>
              <w:start w:w="85" w:type="dxa"/>
              <w:bottom w:w="70" w:type="dxa"/>
              <w:end w:w="85" w:type="dxa"/>
            </w:tcMar>
            <w:shd w:fill="F4F6F7"/>
          </w:tcPr>
          <w:p>
            <w:pPr>
              <w:spacing w:after="0" w:before="0"/>
            </w:pPr>
            <w:r/>
            <w:r>
              <w:rPr>
                <w:rFonts w:ascii="Aptos" w:hAnsi="Aptos"/>
                <w:b w:val="0"/>
                <w:color w:val="26333D"/>
                <w:sz w:val="16"/>
              </w:rPr>
              <w:t>Provide scenario-level operating guidance; this process supplies the formal change control path.</w:t>
            </w:r>
          </w:p>
        </w:tc>
      </w:tr>
      <w:tr>
        <w:trPr>
          <w:cantSplit/>
        </w:trPr>
        <w:tc>
          <w:tcPr>
            <w:tcW w:type="dxa" w:w="3168"/>
            <w:vAlign w:val="center"/>
            <w:tcMar>
              <w:top w:w="70" w:type="dxa"/>
              <w:start w:w="85" w:type="dxa"/>
              <w:bottom w:w="70" w:type="dxa"/>
              <w:end w:w="85" w:type="dxa"/>
            </w:tcMar>
          </w:tcPr>
          <w:p>
            <w:pPr>
              <w:spacing w:after="0" w:before="0"/>
            </w:pPr>
            <w:r/>
            <w:r>
              <w:rPr>
                <w:rFonts w:ascii="Aptos" w:hAnsi="Aptos"/>
                <w:b w:val="0"/>
                <w:color w:val="26333D"/>
                <w:sz w:val="16"/>
              </w:rPr>
              <w:t>AI Governance Runbooks</w:t>
            </w:r>
          </w:p>
        </w:tc>
        <w:tc>
          <w:tcPr>
            <w:tcW w:type="dxa" w:w="6192"/>
            <w:vAlign w:val="center"/>
            <w:tcMar>
              <w:top w:w="70" w:type="dxa"/>
              <w:start w:w="85" w:type="dxa"/>
              <w:bottom w:w="70" w:type="dxa"/>
              <w:end w:w="85" w:type="dxa"/>
            </w:tcMar>
          </w:tcPr>
          <w:p>
            <w:pPr>
              <w:spacing w:after="0" w:before="0"/>
            </w:pPr>
            <w:r/>
            <w:r>
              <w:rPr>
                <w:rFonts w:ascii="Aptos" w:hAnsi="Aptos"/>
                <w:b w:val="0"/>
                <w:color w:val="26333D"/>
                <w:sz w:val="16"/>
              </w:rPr>
              <w:t>Incident/runbook actions can trigger emergency changes; permanent fixes return to normal change governance.</w:t>
            </w:r>
          </w:p>
        </w:tc>
      </w:tr>
      <w:tr>
        <w:trPr>
          <w:cantSplit/>
        </w:trPr>
        <w:tc>
          <w:tcPr>
            <w:tcW w:type="dxa" w:w="3168"/>
            <w:vAlign w:val="center"/>
            <w:tcMar>
              <w:top w:w="70" w:type="dxa"/>
              <w:start w:w="85" w:type="dxa"/>
              <w:bottom w:w="70" w:type="dxa"/>
              <w:end w:w="85" w:type="dxa"/>
            </w:tcMar>
            <w:shd w:fill="F4F6F7"/>
          </w:tcPr>
          <w:p>
            <w:pPr>
              <w:spacing w:after="0" w:before="0"/>
            </w:pPr>
            <w:r/>
            <w:r>
              <w:rPr>
                <w:rFonts w:ascii="Aptos" w:hAnsi="Aptos"/>
                <w:b w:val="0"/>
                <w:color w:val="26333D"/>
                <w:sz w:val="16"/>
              </w:rPr>
              <w:t>AI Vendor Contract / AI DPA</w:t>
            </w:r>
          </w:p>
        </w:tc>
        <w:tc>
          <w:tcPr>
            <w:tcW w:type="dxa" w:w="6192"/>
            <w:vAlign w:val="center"/>
            <w:tcMar>
              <w:top w:w="70" w:type="dxa"/>
              <w:start w:w="85" w:type="dxa"/>
              <w:bottom w:w="70" w:type="dxa"/>
              <w:end w:w="85" w:type="dxa"/>
            </w:tcMar>
            <w:shd w:fill="F4F6F7"/>
          </w:tcPr>
          <w:p>
            <w:pPr>
              <w:spacing w:after="0" w:before="0"/>
            </w:pPr>
            <w:r/>
            <w:r>
              <w:rPr>
                <w:rFonts w:ascii="Aptos" w:hAnsi="Aptos"/>
                <w:b w:val="0"/>
                <w:color w:val="26333D"/>
                <w:sz w:val="16"/>
              </w:rPr>
              <w:t>Vendor/model, data-use, retention, subprocessor and service changes are reviewed against contract/DPA obligations.</w:t>
            </w:r>
          </w:p>
        </w:tc>
      </w:tr>
      <w:tr>
        <w:trPr>
          <w:cantSplit/>
        </w:trPr>
        <w:tc>
          <w:tcPr>
            <w:tcW w:type="dxa" w:w="3168"/>
            <w:vAlign w:val="center"/>
            <w:tcMar>
              <w:top w:w="70" w:type="dxa"/>
              <w:start w:w="85" w:type="dxa"/>
              <w:bottom w:w="70" w:type="dxa"/>
              <w:end w:w="85" w:type="dxa"/>
            </w:tcMar>
          </w:tcPr>
          <w:p>
            <w:pPr>
              <w:spacing w:after="0" w:before="0"/>
            </w:pPr>
            <w:r/>
            <w:r>
              <w:rPr>
                <w:rFonts w:ascii="Aptos" w:hAnsi="Aptos"/>
                <w:b w:val="0"/>
                <w:color w:val="26333D"/>
                <w:sz w:val="16"/>
              </w:rPr>
              <w:t>Human Oversight Standard</w:t>
            </w:r>
          </w:p>
        </w:tc>
        <w:tc>
          <w:tcPr>
            <w:tcW w:type="dxa" w:w="6192"/>
            <w:vAlign w:val="center"/>
            <w:tcMar>
              <w:top w:w="70" w:type="dxa"/>
              <w:start w:w="85" w:type="dxa"/>
              <w:bottom w:w="70" w:type="dxa"/>
              <w:end w:w="85" w:type="dxa"/>
            </w:tcMar>
          </w:tcPr>
          <w:p>
            <w:pPr>
              <w:spacing w:after="0" w:before="0"/>
            </w:pPr>
            <w:r/>
            <w:r>
              <w:rPr>
                <w:rFonts w:ascii="Aptos" w:hAnsi="Aptos"/>
                <w:b w:val="0"/>
                <w:color w:val="26333D"/>
                <w:sz w:val="16"/>
              </w:rPr>
              <w:t>Any changed decision authority, override or fallback must remain compliant with Duckworks oversight expectations.</w:t>
            </w:r>
          </w:p>
        </w:tc>
      </w:tr>
      <w:tr>
        <w:trPr>
          <w:cantSplit/>
        </w:trPr>
        <w:tc>
          <w:tcPr>
            <w:tcW w:type="dxa" w:w="3168"/>
            <w:vAlign w:val="center"/>
            <w:tcMar>
              <w:top w:w="70" w:type="dxa"/>
              <w:start w:w="85" w:type="dxa"/>
              <w:bottom w:w="70" w:type="dxa"/>
              <w:end w:w="85" w:type="dxa"/>
            </w:tcMar>
            <w:shd w:fill="F4F6F7"/>
          </w:tcPr>
          <w:p>
            <w:pPr>
              <w:spacing w:after="0" w:before="0"/>
            </w:pPr>
            <w:r/>
            <w:r>
              <w:rPr>
                <w:rFonts w:ascii="Aptos" w:hAnsi="Aptos"/>
                <w:b w:val="0"/>
                <w:color w:val="26333D"/>
                <w:sz w:val="16"/>
              </w:rPr>
              <w:t>Monitoring &amp; Reassessment Standard</w:t>
            </w:r>
          </w:p>
        </w:tc>
        <w:tc>
          <w:tcPr>
            <w:tcW w:type="dxa" w:w="6192"/>
            <w:vAlign w:val="center"/>
            <w:tcMar>
              <w:top w:w="70" w:type="dxa"/>
              <w:start w:w="85" w:type="dxa"/>
              <w:bottom w:w="70" w:type="dxa"/>
              <w:end w:w="85" w:type="dxa"/>
            </w:tcMar>
            <w:shd w:fill="F4F6F7"/>
          </w:tcPr>
          <w:p>
            <w:pPr>
              <w:spacing w:after="0" w:before="0"/>
            </w:pPr>
            <w:r/>
            <w:r>
              <w:rPr>
                <w:rFonts w:ascii="Aptos" w:hAnsi="Aptos"/>
                <w:b w:val="0"/>
                <w:color w:val="26333D"/>
                <w:sz w:val="16"/>
              </w:rPr>
              <w:t>Post-change monitoring thresholds and reassessment triggers are updated.</w:t>
            </w:r>
          </w:p>
        </w:tc>
      </w:tr>
      <w:tr>
        <w:trPr>
          <w:cantSplit/>
        </w:trPr>
        <w:tc>
          <w:tcPr>
            <w:tcW w:type="dxa" w:w="3168"/>
            <w:vAlign w:val="center"/>
            <w:tcMar>
              <w:top w:w="70" w:type="dxa"/>
              <w:start w:w="85" w:type="dxa"/>
              <w:bottom w:w="70" w:type="dxa"/>
              <w:end w:w="85" w:type="dxa"/>
            </w:tcMar>
          </w:tcPr>
          <w:p>
            <w:pPr>
              <w:spacing w:after="0" w:before="0"/>
            </w:pPr>
            <w:r/>
            <w:r>
              <w:rPr>
                <w:rFonts w:ascii="Aptos" w:hAnsi="Aptos"/>
                <w:b w:val="0"/>
                <w:color w:val="26333D"/>
                <w:sz w:val="16"/>
              </w:rPr>
              <w:t>AI Control Library</w:t>
            </w:r>
          </w:p>
        </w:tc>
        <w:tc>
          <w:tcPr>
            <w:tcW w:type="dxa" w:w="6192"/>
            <w:vAlign w:val="center"/>
            <w:tcMar>
              <w:top w:w="70" w:type="dxa"/>
              <w:start w:w="85" w:type="dxa"/>
              <w:bottom w:w="70" w:type="dxa"/>
              <w:end w:w="85" w:type="dxa"/>
            </w:tcMar>
          </w:tcPr>
          <w:p>
            <w:pPr>
              <w:spacing w:after="0" w:before="0"/>
            </w:pPr>
            <w:r/>
            <w:r>
              <w:rPr>
                <w:rFonts w:ascii="Aptos" w:hAnsi="Aptos"/>
                <w:b w:val="0"/>
                <w:color w:val="26333D"/>
                <w:sz w:val="16"/>
              </w:rPr>
              <w:t>Control mappings/evidence are updated where change affects control design or operation.</w:t>
            </w:r>
          </w:p>
        </w:tc>
      </w:tr>
    </w:tbl>
    <w:p>
      <w:pPr>
        <w:spacing w:after="0"/>
      </w:pPr>
    </w:p>
    <w:p>
      <w:pPr>
        <w:pStyle w:val="Heading1"/>
      </w:pPr>
      <w:r>
        <w:t>21. Recommended Implementation Sequence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vAlign w:val="center"/>
            <w:tcMar>
              <w:top w:w="70" w:type="dxa"/>
              <w:start w:w="85" w:type="dxa"/>
              <w:bottom w:w="70" w:type="dxa"/>
              <w:end w:w="85" w:type="dxa"/>
            </w:tcMar>
            <w:shd w:fill="173B57"/>
          </w:tcPr>
          <w:p>
            <w:pPr>
              <w:spacing w:after="0" w:before="0"/>
            </w:pPr>
            <w:r/>
            <w:r>
              <w:rPr>
                <w:rFonts w:ascii="Aptos" w:hAnsi="Aptos"/>
                <w:b/>
                <w:color w:val="FFFFFF"/>
                <w:sz w:val="15"/>
              </w:rPr>
              <w:t>Phase</w:t>
            </w:r>
          </w:p>
        </w:tc>
        <w:tc>
          <w:tcPr>
            <w:tcW w:type="dxa" w:w="6768"/>
            <w:vAlign w:val="center"/>
            <w:tcMar>
              <w:top w:w="70" w:type="dxa"/>
              <w:start w:w="85" w:type="dxa"/>
              <w:bottom w:w="70" w:type="dxa"/>
              <w:end w:w="85" w:type="dxa"/>
            </w:tcMar>
            <w:shd w:fill="173B57"/>
          </w:tcPr>
          <w:p>
            <w:pPr>
              <w:spacing w:after="0" w:before="0"/>
            </w:pPr>
            <w:r/>
            <w:r>
              <w:rPr>
                <w:rFonts w:ascii="Aptos" w:hAnsi="Aptos"/>
                <w:b/>
                <w:color w:val="FFFFFF"/>
                <w:sz w:val="15"/>
              </w:rPr>
              <w:t>Action</w:t>
            </w:r>
          </w:p>
        </w:tc>
        <w:tc>
          <w:tcPr>
            <w:tcW w:type="dxa" w:w="2016"/>
            <w:vAlign w:val="center"/>
            <w:tcMar>
              <w:top w:w="70" w:type="dxa"/>
              <w:start w:w="85" w:type="dxa"/>
              <w:bottom w:w="70" w:type="dxa"/>
              <w:end w:w="85" w:type="dxa"/>
            </w:tcMar>
            <w:shd w:fill="173B57"/>
          </w:tcPr>
          <w:p>
            <w:pPr>
              <w:spacing w:after="0" w:before="0"/>
            </w:pPr>
            <w:r/>
            <w:r>
              <w:rPr>
                <w:rFonts w:ascii="Aptos" w:hAnsi="Aptos"/>
                <w:b/>
                <w:color w:val="FFFFFF"/>
                <w:sz w:val="15"/>
              </w:rPr>
              <w:t>Owner</w:t>
            </w:r>
          </w:p>
        </w:tc>
      </w:tr>
      <w:tr>
        <w:trPr>
          <w:cantSplit/>
        </w:trPr>
        <w:tc>
          <w:tcPr>
            <w:tcW w:type="dxa" w:w="1152"/>
            <w:vAlign w:val="center"/>
            <w:tcMar>
              <w:top w:w="70" w:type="dxa"/>
              <w:start w:w="85" w:type="dxa"/>
              <w:bottom w:w="70" w:type="dxa"/>
              <w:end w:w="85" w:type="dxa"/>
            </w:tcMar>
          </w:tcPr>
          <w:p>
            <w:pPr>
              <w:spacing w:after="0" w:before="0"/>
            </w:pPr>
            <w:r/>
            <w:r>
              <w:rPr>
                <w:rFonts w:ascii="Aptos" w:hAnsi="Aptos"/>
                <w:b w:val="0"/>
                <w:color w:val="26333D"/>
                <w:sz w:val="15"/>
              </w:rPr>
              <w:t>Phase 1</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5"/>
              </w:rPr>
              <w:t>Adopt CM-C0–C3 classification; add change fields to AI inventory and change ticket; train system/technical owners.</w:t>
            </w:r>
          </w:p>
        </w:tc>
        <w:tc>
          <w:tcPr>
            <w:tcW w:type="dxa" w:w="2016"/>
            <w:vAlign w:val="center"/>
            <w:tcMar>
              <w:top w:w="70" w:type="dxa"/>
              <w:start w:w="85" w:type="dxa"/>
              <w:bottom w:w="70" w:type="dxa"/>
              <w:end w:w="85" w:type="dxa"/>
            </w:tcMar>
          </w:tcPr>
          <w:p>
            <w:pPr>
              <w:spacing w:after="0" w:before="0"/>
            </w:pPr>
            <w:r/>
            <w:r>
              <w:rPr>
                <w:rFonts w:ascii="Aptos" w:hAnsi="Aptos"/>
                <w:b w:val="0"/>
                <w:color w:val="26333D"/>
                <w:sz w:val="15"/>
              </w:rPr>
              <w:t>AI Governance + Technology</w:t>
            </w:r>
          </w:p>
        </w:tc>
      </w:tr>
      <w:tr>
        <w:trPr>
          <w:cantSplit/>
        </w:trPr>
        <w:tc>
          <w:tcPr>
            <w:tcW w:type="dxa" w:w="1152"/>
            <w:vAlign w:val="center"/>
            <w:tcMar>
              <w:top w:w="70" w:type="dxa"/>
              <w:start w:w="85" w:type="dxa"/>
              <w:bottom w:w="70" w:type="dxa"/>
              <w:end w:w="85" w:type="dxa"/>
            </w:tcMar>
            <w:shd w:fill="F4F6F7"/>
          </w:tcPr>
          <w:p>
            <w:pPr>
              <w:spacing w:after="0" w:before="0"/>
            </w:pPr>
            <w:r/>
            <w:r>
              <w:rPr>
                <w:rFonts w:ascii="Aptos" w:hAnsi="Aptos"/>
                <w:b w:val="0"/>
                <w:color w:val="26333D"/>
                <w:sz w:val="15"/>
              </w:rPr>
              <w:t>Phase 2</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5"/>
              </w:rPr>
              <w:t>Integrate CM-03 impact screen and CM-04 reassessment checklist into release workflow.</w:t>
            </w:r>
          </w:p>
        </w:tc>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5"/>
              </w:rPr>
              <w:t>AI Governance + Risk</w:t>
            </w:r>
          </w:p>
        </w:tc>
      </w:tr>
      <w:tr>
        <w:trPr>
          <w:cantSplit/>
        </w:trPr>
        <w:tc>
          <w:tcPr>
            <w:tcW w:type="dxa" w:w="1152"/>
            <w:vAlign w:val="center"/>
            <w:tcMar>
              <w:top w:w="70" w:type="dxa"/>
              <w:start w:w="85" w:type="dxa"/>
              <w:bottom w:w="70" w:type="dxa"/>
              <w:end w:w="85" w:type="dxa"/>
            </w:tcMar>
          </w:tcPr>
          <w:p>
            <w:pPr>
              <w:spacing w:after="0" w:before="0"/>
            </w:pPr>
            <w:r/>
            <w:r>
              <w:rPr>
                <w:rFonts w:ascii="Aptos" w:hAnsi="Aptos"/>
                <w:b w:val="0"/>
                <w:color w:val="26333D"/>
                <w:sz w:val="15"/>
              </w:rPr>
              <w:t>Phase 3</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5"/>
              </w:rPr>
              <w:t>Connect security/privacy/legal/vendor/safety review triggers to existing approval routes.</w:t>
            </w:r>
          </w:p>
        </w:tc>
        <w:tc>
          <w:tcPr>
            <w:tcW w:type="dxa" w:w="2016"/>
            <w:vAlign w:val="center"/>
            <w:tcMar>
              <w:top w:w="70" w:type="dxa"/>
              <w:start w:w="85" w:type="dxa"/>
              <w:bottom w:w="70" w:type="dxa"/>
              <w:end w:w="85" w:type="dxa"/>
            </w:tcMar>
          </w:tcPr>
          <w:p>
            <w:pPr>
              <w:spacing w:after="0" w:before="0"/>
            </w:pPr>
            <w:r/>
            <w:r>
              <w:rPr>
                <w:rFonts w:ascii="Aptos" w:hAnsi="Aptos"/>
                <w:b w:val="0"/>
                <w:color w:val="26333D"/>
                <w:sz w:val="15"/>
              </w:rPr>
              <w:t>CISO / DPO / Legal / Procurement / Safety</w:t>
            </w:r>
          </w:p>
        </w:tc>
      </w:tr>
      <w:tr>
        <w:trPr>
          <w:cantSplit/>
        </w:trPr>
        <w:tc>
          <w:tcPr>
            <w:tcW w:type="dxa" w:w="1152"/>
            <w:vAlign w:val="center"/>
            <w:tcMar>
              <w:top w:w="70" w:type="dxa"/>
              <w:start w:w="85" w:type="dxa"/>
              <w:bottom w:w="70" w:type="dxa"/>
              <w:end w:w="85" w:type="dxa"/>
            </w:tcMar>
            <w:shd w:fill="F4F6F7"/>
          </w:tcPr>
          <w:p>
            <w:pPr>
              <w:spacing w:after="0" w:before="0"/>
            </w:pPr>
            <w:r/>
            <w:r>
              <w:rPr>
                <w:rFonts w:ascii="Aptos" w:hAnsi="Aptos"/>
                <w:b w:val="0"/>
                <w:color w:val="26333D"/>
                <w:sz w:val="15"/>
              </w:rPr>
              <w:t>Phase 4</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5"/>
              </w:rPr>
              <w:t>Implement evidence register and change metrics; sample-test CM-C2/C3 records.</w:t>
            </w:r>
          </w:p>
        </w:tc>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5"/>
              </w:rPr>
              <w:t>AI Governance + Internal Controls</w:t>
            </w:r>
          </w:p>
        </w:tc>
      </w:tr>
      <w:tr>
        <w:trPr>
          <w:cantSplit/>
        </w:trPr>
        <w:tc>
          <w:tcPr>
            <w:tcW w:type="dxa" w:w="1152"/>
            <w:vAlign w:val="center"/>
            <w:tcMar>
              <w:top w:w="70" w:type="dxa"/>
              <w:start w:w="85" w:type="dxa"/>
              <w:bottom w:w="70" w:type="dxa"/>
              <w:end w:w="85" w:type="dxa"/>
            </w:tcMar>
          </w:tcPr>
          <w:p>
            <w:pPr>
              <w:spacing w:after="0" w:before="0"/>
            </w:pPr>
            <w:r/>
            <w:r>
              <w:rPr>
                <w:rFonts w:ascii="Aptos" w:hAnsi="Aptos"/>
                <w:b w:val="0"/>
                <w:color w:val="26333D"/>
                <w:sz w:val="15"/>
              </w:rPr>
              <w:t>Phase 5</w:t>
            </w:r>
          </w:p>
        </w:tc>
        <w:tc>
          <w:tcPr>
            <w:tcW w:type="dxa" w:w="6768"/>
            <w:vAlign w:val="center"/>
            <w:tcMar>
              <w:top w:w="70" w:type="dxa"/>
              <w:start w:w="85" w:type="dxa"/>
              <w:bottom w:w="70" w:type="dxa"/>
              <w:end w:w="85" w:type="dxa"/>
            </w:tcMar>
          </w:tcPr>
          <w:p>
            <w:pPr>
              <w:spacing w:after="0" w:before="0"/>
            </w:pPr>
            <w:r/>
            <w:r>
              <w:rPr>
                <w:rFonts w:ascii="Aptos" w:hAnsi="Aptos"/>
                <w:b w:val="0"/>
                <w:color w:val="26333D"/>
                <w:sz w:val="15"/>
              </w:rPr>
              <w:t>Run tabletop exercise for emergency AI change and vendor-forced model migration.</w:t>
            </w:r>
          </w:p>
        </w:tc>
        <w:tc>
          <w:tcPr>
            <w:tcW w:type="dxa" w:w="2016"/>
            <w:vAlign w:val="center"/>
            <w:tcMar>
              <w:top w:w="70" w:type="dxa"/>
              <w:start w:w="85" w:type="dxa"/>
              <w:bottom w:w="70" w:type="dxa"/>
              <w:end w:w="85" w:type="dxa"/>
            </w:tcMar>
          </w:tcPr>
          <w:p>
            <w:pPr>
              <w:spacing w:after="0" w:before="0"/>
            </w:pPr>
            <w:r/>
            <w:r>
              <w:rPr>
                <w:rFonts w:ascii="Aptos" w:hAnsi="Aptos"/>
                <w:b w:val="0"/>
                <w:color w:val="26333D"/>
                <w:sz w:val="15"/>
              </w:rPr>
              <w:t>CISO + Data &amp; AI + Procurement</w:t>
            </w:r>
          </w:p>
        </w:tc>
      </w:tr>
      <w:tr>
        <w:trPr>
          <w:cantSplit/>
        </w:trPr>
        <w:tc>
          <w:tcPr>
            <w:tcW w:type="dxa" w:w="1152"/>
            <w:vAlign w:val="center"/>
            <w:tcMar>
              <w:top w:w="70" w:type="dxa"/>
              <w:start w:w="85" w:type="dxa"/>
              <w:bottom w:w="70" w:type="dxa"/>
              <w:end w:w="85" w:type="dxa"/>
            </w:tcMar>
            <w:shd w:fill="F4F6F7"/>
          </w:tcPr>
          <w:p>
            <w:pPr>
              <w:spacing w:after="0" w:before="0"/>
            </w:pPr>
            <w:r/>
            <w:r>
              <w:rPr>
                <w:rFonts w:ascii="Aptos" w:hAnsi="Aptos"/>
                <w:b w:val="0"/>
                <w:color w:val="26333D"/>
                <w:sz w:val="15"/>
              </w:rPr>
              <w:t>Phase 6</w:t>
            </w:r>
          </w:p>
        </w:tc>
        <w:tc>
          <w:tcPr>
            <w:tcW w:type="dxa" w:w="6768"/>
            <w:vAlign w:val="center"/>
            <w:tcMar>
              <w:top w:w="70" w:type="dxa"/>
              <w:start w:w="85" w:type="dxa"/>
              <w:bottom w:w="70" w:type="dxa"/>
              <w:end w:w="85" w:type="dxa"/>
            </w:tcMar>
            <w:shd w:fill="F4F6F7"/>
          </w:tcPr>
          <w:p>
            <w:pPr>
              <w:spacing w:after="0" w:before="0"/>
            </w:pPr>
            <w:r/>
            <w:r>
              <w:rPr>
                <w:rFonts w:ascii="Aptos" w:hAnsi="Aptos"/>
                <w:b w:val="0"/>
                <w:color w:val="26333D"/>
                <w:sz w:val="15"/>
              </w:rPr>
              <w:t>Internal Audit considers AI change management in its risk-based assurance plan without assuming control ownership.</w:t>
            </w:r>
          </w:p>
        </w:tc>
        <w:tc>
          <w:tcPr>
            <w:tcW w:type="dxa" w:w="2016"/>
            <w:vAlign w:val="center"/>
            <w:tcMar>
              <w:top w:w="70" w:type="dxa"/>
              <w:start w:w="85" w:type="dxa"/>
              <w:bottom w:w="70" w:type="dxa"/>
              <w:end w:w="85" w:type="dxa"/>
            </w:tcMar>
            <w:shd w:fill="F4F6F7"/>
          </w:tcPr>
          <w:p>
            <w:pPr>
              <w:spacing w:after="0" w:before="0"/>
            </w:pPr>
            <w:r/>
            <w:r>
              <w:rPr>
                <w:rFonts w:ascii="Aptos" w:hAnsi="Aptos"/>
                <w:b w:val="0"/>
                <w:color w:val="26333D"/>
                <w:sz w:val="15"/>
              </w:rPr>
              <w:t>Internal Audit</w:t>
            </w:r>
          </w:p>
        </w:tc>
      </w:tr>
    </w:tbl>
    <w:p>
      <w:pPr>
        <w:spacing w:after="0"/>
      </w:pPr>
    </w:p>
    <w:p>
      <w:pPr>
        <w:pStyle w:val="Heading1"/>
      </w:pPr>
      <w:r>
        <w:t>22. Portfolio Disclaimer</w:t>
      </w:r>
    </w:p>
    <w:p>
      <w:pPr>
        <w:spacing w:after="100" w:line="247" w:lineRule="auto"/>
      </w:pPr>
      <w:r>
        <w:t>Duckworks, Project W.I.N.G., all named people, AI systems, change requests, incidents, evidence, approvals and data in this pack are fictional and created solely for educational and professional portfolio purposes.</w:t>
      </w:r>
    </w:p>
    <w:p>
      <w:pPr>
        <w:spacing w:after="100" w:line="247" w:lineRule="auto"/>
      </w:pPr>
      <w:r>
        <w:t>This document demonstrates an internal AI change-management design. It is not legal advice, certification evidence, a conformity assessment, or a statement that any particular EU or national legal requirement applies. Any legal conclusion must be based on verified system facts, jurisdiction, intended purpose, organizational role and current law.</w:t>
      </w:r>
    </w:p>
    <w:p>
      <w:pPr>
        <w:spacing w:after="100" w:line="247" w:lineRule="auto"/>
      </w:pPr>
      <w:r>
        <w:t>References to NIST, ISO/IEC or other governance sources within the wider Duckworks portfolio represent standards/framework guidance unless separately identified as binding law. Internal Duckworks requirements in this pack are organizational practices chosen for control, auditability and proportional governance.</w:t>
      </w:r>
    </w:p>
    <w:sectPr w:rsidR="00FC693F" w:rsidRPr="0006063C" w:rsidSect="00034616">
      <w:headerReference w:type="default" r:id="rId9"/>
      <w:footerReference w:type="default" r:id="rId10"/>
      <w:pgSz w:w="12240" w:h="15840"/>
      <w:pgMar w:top="936" w:right="1008" w:bottom="893" w:left="100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DW-WING-CM-00  |  Version 1.0  |  Fictional portfolio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D6F6D"/>
        <w:sz w:val="16"/>
      </w:rPr>
      <w:t>DUCKWORKS  |  PROJECT W.I.N.G.  |  AI CHANGE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color w:val="2633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B57"/>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F6D"/>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Change Management Process Documentation Pack</dc:title>
  <dc:subject>AI governance change management process and templates</dc:subject>
  <dc:creator>Duckworks (fictional)</dc:creator>
  <cp:keywords>Duckworks, Project W.I.N.G., AI change management, reassessment, model change, vendor change, AI governance</cp:keywords>
  <dc:description>Fictional portfolio project; synthetic data.</dc:description>
  <cp:lastModifiedBy/>
  <cp:revision>1</cp:revision>
  <dcterms:created xsi:type="dcterms:W3CDTF">2013-12-23T23:15:00Z</dcterms:created>
  <dcterms:modified xsi:type="dcterms:W3CDTF">2013-12-23T23:15:00Z</dcterms:modified>
  <cp:category/>
</cp:coreProperties>
</file>