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3C7C7A"/>
          <w:sz w:val="32"/>
        </w:rPr>
        <w:t>DUCKWORKS</w:t>
      </w:r>
    </w:p>
    <w:p>
      <w:pPr>
        <w:pStyle w:val="Title"/>
        <w:jc w:val="center"/>
      </w:pPr>
      <w:r>
        <w:t>AI Risk Classification &amp;</w:t>
        <w:br/>
        <w:t>Assessment Methodology</w:t>
      </w:r>
    </w:p>
    <w:p>
      <w:pPr>
        <w:jc w:val="center"/>
      </w:pPr>
      <w:r>
        <w:rPr>
          <w:b/>
          <w:color w:val="B42318"/>
          <w:sz w:val="26"/>
        </w:rPr>
        <w:t>Draft for Approval - No System Scoring Authorized</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880"/>
            <w:vAlign w:val="center"/>
            <w:shd w:fill="17365D"/>
          </w:tcPr>
          <w:p>
            <w:pPr>
              <w:spacing w:after="0"/>
            </w:pPr>
            <w:r/>
            <w:r>
              <w:rPr>
                <w:rFonts w:ascii="Aptos" w:hAnsi="Aptos"/>
                <w:b/>
                <w:color w:val="FFFFFF"/>
                <w:sz w:val="17"/>
              </w:rPr>
              <w:t>Document Control</w:t>
            </w:r>
          </w:p>
        </w:tc>
        <w:tc>
          <w:tcPr>
            <w:tcW w:type="dxa" w:w="6912"/>
            <w:vAlign w:val="center"/>
            <w:shd w:fill="17365D"/>
          </w:tcPr>
          <w:p>
            <w:pPr>
              <w:spacing w:after="0"/>
            </w:pPr>
            <w:r/>
            <w:r>
              <w:rPr>
                <w:rFonts w:ascii="Aptos" w:hAnsi="Aptos"/>
                <w:b/>
                <w:color w:val="FFFFFF"/>
                <w:sz w:val="17"/>
              </w:rPr>
              <w:t>Value</w:t>
            </w:r>
          </w:p>
        </w:tc>
      </w:tr>
      <w:tr>
        <w:tc>
          <w:tcPr>
            <w:tcW w:type="dxa" w:w="2880"/>
            <w:vAlign w:val="center"/>
          </w:tcPr>
          <w:p>
            <w:pPr>
              <w:spacing w:after="0"/>
            </w:pPr>
            <w:r/>
            <w:r>
              <w:rPr>
                <w:rFonts w:ascii="Aptos" w:hAnsi="Aptos"/>
                <w:b w:val="0"/>
                <w:sz w:val="17"/>
              </w:rPr>
              <w:t>Document ID</w:t>
            </w:r>
          </w:p>
        </w:tc>
        <w:tc>
          <w:tcPr>
            <w:tcW w:type="dxa" w:w="6912"/>
            <w:vAlign w:val="center"/>
          </w:tcPr>
          <w:p>
            <w:pPr>
              <w:spacing w:after="0"/>
            </w:pPr>
            <w:r/>
            <w:r>
              <w:rPr>
                <w:rFonts w:ascii="Aptos" w:hAnsi="Aptos"/>
                <w:b w:val="0"/>
                <w:sz w:val="17"/>
              </w:rPr>
              <w:t>DW-WING-RISK-01</w:t>
            </w:r>
          </w:p>
        </w:tc>
      </w:tr>
      <w:tr>
        <w:tc>
          <w:tcPr>
            <w:tcW w:type="dxa" w:w="2880"/>
            <w:vAlign w:val="center"/>
            <w:shd w:fill="F7F9FB"/>
          </w:tcPr>
          <w:p>
            <w:pPr>
              <w:spacing w:after="0"/>
            </w:pPr>
            <w:r/>
            <w:r>
              <w:rPr>
                <w:rFonts w:ascii="Aptos" w:hAnsi="Aptos"/>
                <w:b w:val="0"/>
                <w:sz w:val="17"/>
              </w:rPr>
              <w:t>Version</w:t>
            </w:r>
          </w:p>
        </w:tc>
        <w:tc>
          <w:tcPr>
            <w:tcW w:type="dxa" w:w="6912"/>
            <w:vAlign w:val="center"/>
            <w:shd w:fill="F7F9FB"/>
          </w:tcPr>
          <w:p>
            <w:pPr>
              <w:spacing w:after="0"/>
            </w:pPr>
            <w:r/>
            <w:r>
              <w:rPr>
                <w:rFonts w:ascii="Aptos" w:hAnsi="Aptos"/>
                <w:b w:val="0"/>
                <w:sz w:val="17"/>
              </w:rPr>
              <w:t>0.9</w:t>
            </w:r>
          </w:p>
        </w:tc>
      </w:tr>
      <w:tr>
        <w:tc>
          <w:tcPr>
            <w:tcW w:type="dxa" w:w="2880"/>
            <w:vAlign w:val="center"/>
          </w:tcPr>
          <w:p>
            <w:pPr>
              <w:spacing w:after="0"/>
            </w:pPr>
            <w:r/>
            <w:r>
              <w:rPr>
                <w:rFonts w:ascii="Aptos" w:hAnsi="Aptos"/>
                <w:b w:val="0"/>
                <w:sz w:val="17"/>
              </w:rPr>
              <w:t>Status</w:t>
            </w:r>
          </w:p>
        </w:tc>
        <w:tc>
          <w:tcPr>
            <w:tcW w:type="dxa" w:w="6912"/>
            <w:vAlign w:val="center"/>
          </w:tcPr>
          <w:p>
            <w:pPr>
              <w:spacing w:after="0"/>
            </w:pPr>
            <w:r/>
            <w:r>
              <w:rPr>
                <w:rFonts w:ascii="Aptos" w:hAnsi="Aptos"/>
                <w:b w:val="0"/>
                <w:sz w:val="17"/>
              </w:rPr>
              <w:t>Draft for Approval</w:t>
            </w:r>
          </w:p>
        </w:tc>
      </w:tr>
      <w:tr>
        <w:tc>
          <w:tcPr>
            <w:tcW w:type="dxa" w:w="2880"/>
            <w:vAlign w:val="center"/>
            <w:shd w:fill="F7F9FB"/>
          </w:tcPr>
          <w:p>
            <w:pPr>
              <w:spacing w:after="0"/>
            </w:pPr>
            <w:r/>
            <w:r>
              <w:rPr>
                <w:rFonts w:ascii="Aptos" w:hAnsi="Aptos"/>
                <w:b w:val="0"/>
                <w:sz w:val="17"/>
              </w:rPr>
              <w:t>Method owner</w:t>
            </w:r>
          </w:p>
        </w:tc>
        <w:tc>
          <w:tcPr>
            <w:tcW w:type="dxa" w:w="6912"/>
            <w:vAlign w:val="center"/>
            <w:shd w:fill="F7F9FB"/>
          </w:tcPr>
          <w:p>
            <w:pPr>
              <w:spacing w:after="0"/>
            </w:pPr>
            <w:r/>
            <w:r>
              <w:rPr>
                <w:rFonts w:ascii="Aptos" w:hAnsi="Aptos"/>
                <w:b w:val="0"/>
                <w:sz w:val="17"/>
              </w:rPr>
              <w:t>Risk &amp; Compliance</w:t>
            </w:r>
          </w:p>
        </w:tc>
      </w:tr>
      <w:tr>
        <w:tc>
          <w:tcPr>
            <w:tcW w:type="dxa" w:w="2880"/>
            <w:vAlign w:val="center"/>
          </w:tcPr>
          <w:p>
            <w:pPr>
              <w:spacing w:after="0"/>
            </w:pPr>
            <w:r/>
            <w:r>
              <w:rPr>
                <w:rFonts w:ascii="Aptos" w:hAnsi="Aptos"/>
                <w:b w:val="0"/>
                <w:sz w:val="17"/>
              </w:rPr>
              <w:t>Proposed approver</w:t>
            </w:r>
          </w:p>
        </w:tc>
        <w:tc>
          <w:tcPr>
            <w:tcW w:type="dxa" w:w="6912"/>
            <w:vAlign w:val="center"/>
          </w:tcPr>
          <w:p>
            <w:pPr>
              <w:spacing w:after="0"/>
            </w:pPr>
            <w:r/>
            <w:r>
              <w:rPr>
                <w:rFonts w:ascii="Aptos" w:hAnsi="Aptos"/>
                <w:b w:val="0"/>
                <w:sz w:val="17"/>
              </w:rPr>
              <w:t>Chief Risk &amp; Compliance Officer / AI Governance Committee</w:t>
            </w:r>
          </w:p>
        </w:tc>
      </w:tr>
      <w:tr>
        <w:tc>
          <w:tcPr>
            <w:tcW w:type="dxa" w:w="2880"/>
            <w:vAlign w:val="center"/>
            <w:shd w:fill="F7F9FB"/>
          </w:tcPr>
          <w:p>
            <w:pPr>
              <w:spacing w:after="0"/>
            </w:pPr>
            <w:r/>
            <w:r>
              <w:rPr>
                <w:rFonts w:ascii="Aptos" w:hAnsi="Aptos"/>
                <w:b w:val="0"/>
                <w:sz w:val="17"/>
              </w:rPr>
              <w:t>Effective date</w:t>
            </w:r>
          </w:p>
        </w:tc>
        <w:tc>
          <w:tcPr>
            <w:tcW w:type="dxa" w:w="6912"/>
            <w:vAlign w:val="center"/>
            <w:shd w:fill="F7F9FB"/>
          </w:tcPr>
          <w:p>
            <w:pPr>
              <w:spacing w:after="0"/>
            </w:pPr>
            <w:r/>
            <w:r>
              <w:rPr>
                <w:rFonts w:ascii="Aptos" w:hAnsi="Aptos"/>
                <w:b w:val="0"/>
                <w:sz w:val="17"/>
              </w:rPr>
              <w:t>Not effective until formal approval</w:t>
            </w:r>
          </w:p>
        </w:tc>
      </w:tr>
      <w:tr>
        <w:tc>
          <w:tcPr>
            <w:tcW w:type="dxa" w:w="2880"/>
            <w:vAlign w:val="center"/>
          </w:tcPr>
          <w:p>
            <w:pPr>
              <w:spacing w:after="0"/>
            </w:pPr>
            <w:r/>
            <w:r>
              <w:rPr>
                <w:rFonts w:ascii="Aptos" w:hAnsi="Aptos"/>
                <w:b w:val="0"/>
                <w:sz w:val="17"/>
              </w:rPr>
              <w:t>Assessment scope</w:t>
            </w:r>
          </w:p>
        </w:tc>
        <w:tc>
          <w:tcPr>
            <w:tcW w:type="dxa" w:w="6912"/>
            <w:vAlign w:val="center"/>
          </w:tcPr>
          <w:p>
            <w:pPr>
              <w:spacing w:after="0"/>
            </w:pPr>
            <w:r/>
            <w:r>
              <w:rPr>
                <w:rFonts w:ascii="Aptos" w:hAnsi="Aptos"/>
                <w:b w:val="0"/>
                <w:sz w:val="17"/>
              </w:rPr>
              <w:t>Seven baseline inventory entries: six managed AI systems plus AI-007 shadow-AI discovery condition</w:t>
            </w:r>
          </w:p>
        </w:tc>
      </w:tr>
      <w:tr>
        <w:tc>
          <w:tcPr>
            <w:tcW w:type="dxa" w:w="2880"/>
            <w:vAlign w:val="center"/>
            <w:shd w:fill="F7F9FB"/>
          </w:tcPr>
          <w:p>
            <w:pPr>
              <w:spacing w:after="0"/>
            </w:pPr>
            <w:r/>
            <w:r>
              <w:rPr>
                <w:rFonts w:ascii="Aptos" w:hAnsi="Aptos"/>
                <w:b w:val="0"/>
                <w:sz w:val="17"/>
              </w:rPr>
              <w:t>Classification</w:t>
            </w:r>
          </w:p>
        </w:tc>
        <w:tc>
          <w:tcPr>
            <w:tcW w:type="dxa" w:w="6912"/>
            <w:vAlign w:val="center"/>
            <w:shd w:fill="F7F9FB"/>
          </w:tcPr>
          <w:p>
            <w:pPr>
              <w:spacing w:after="0"/>
            </w:pPr>
            <w:r/>
            <w:r>
              <w:rPr>
                <w:rFonts w:ascii="Aptos" w:hAnsi="Aptos"/>
                <w:b w:val="0"/>
                <w:sz w:val="17"/>
              </w:rPr>
              <w:t>Portfolio / Synthetic / Non-production</w:t>
            </w:r>
          </w:p>
        </w:tc>
      </w:tr>
    </w:tbl>
    <w:p>
      <w:pPr>
        <w:spacing w:after="20"/>
      </w:pPr>
    </w:p>
    <w:tbl>
      <w:tblPr>
        <w:tblStyle w:val="TableGrid"/>
        <w:tblW w:type="auto" w:w="0"/>
        <w:jc w:val="center"/>
        <w:tblLook w:firstColumn="1" w:firstRow="1" w:lastColumn="0" w:lastRow="0" w:noHBand="0" w:noVBand="1" w:val="04A0"/>
      </w:tblPr>
      <w:tblGrid>
        <w:gridCol w:w="9893"/>
      </w:tblGrid>
      <w:tr>
        <w:trPr>
          <w:tblHeader w:val="true"/>
        </w:trPr>
        <w:tc>
          <w:tcPr>
            <w:tcW w:type="dxa" w:w="9893"/>
            <w:shd w:fill="FDECEC"/>
          </w:tcPr>
          <w:p>
            <w:r/>
            <w:r>
              <w:rPr>
                <w:b/>
                <w:color w:val="17365D"/>
                <w:sz w:val="19"/>
              </w:rPr>
              <w:t xml:space="preserve">Approval gate.  </w:t>
            </w:r>
            <w:r>
              <w:rPr>
                <w:sz w:val="18"/>
              </w:rPr>
              <w:t>The approved inventory explicitly keeps Inherent Risk, Control Effectiveness and Residual Risk as “Not Assessed” until a formal methodology is approved. This draft therefore defines the method only and does not score any Duckworks system.</w:t>
            </w:r>
          </w:p>
        </w:tc>
      </w:tr>
    </w:tbl>
    <w:p>
      <w:pPr>
        <w:spacing w:after="20"/>
      </w:pPr>
    </w:p>
    <w:p>
      <w:r>
        <w:br w:type="page"/>
      </w:r>
    </w:p>
    <w:p>
      <w:pPr>
        <w:pStyle w:val="Heading1"/>
      </w:pPr>
      <w:r>
        <w:t>1. Executive summary</w:t>
      </w:r>
    </w:p>
    <w:p>
      <w:r>
        <w:t>This methodology defines a scenario-based, evidence-aware process for assessing AI risk at Duckworks. It is designed to support proportional governance across the approved baseline inventory without turning uncertain AI risk into a misleadingly precise number.</w:t>
      </w:r>
    </w:p>
    <w:p>
      <w:pPr>
        <w:pStyle w:val="ListBullet"/>
        <w:spacing w:after="40"/>
      </w:pPr>
      <w:r>
        <w:t>Assess concrete cause -&gt; event -&gt; impact scenarios, not generic labels such as “bias risk” or “security risk”.</w:t>
      </w:r>
    </w:p>
    <w:p>
      <w:pPr>
        <w:pStyle w:val="ListBullet"/>
        <w:spacing w:after="40"/>
      </w:pPr>
      <w:r>
        <w:t>Assess inherent risk before crediting Duckworks-specific mitigating controls.</w:t>
      </w:r>
    </w:p>
    <w:p>
      <w:pPr>
        <w:pStyle w:val="ListBullet"/>
        <w:spacing w:after="40"/>
      </w:pPr>
      <w:r>
        <w:t>Evaluate control design, operating effectiveness and evidence confidence separately; planned controls receive no residual-risk credit.</w:t>
      </w:r>
    </w:p>
    <w:p>
      <w:pPr>
        <w:pStyle w:val="ListBullet"/>
        <w:spacing w:after="40"/>
      </w:pPr>
      <w:r>
        <w:t>Reassess impact and likelihood after operating controls to determine current residual risk; do not mathematically “discount” inherent risk by a control percentage.</w:t>
      </w:r>
    </w:p>
    <w:p>
      <w:pPr>
        <w:pStyle w:val="ListBullet"/>
        <w:spacing w:after="40"/>
      </w:pPr>
      <w:r>
        <w:t>Use the highest material scenario to drive the system-level governance rating; do not average severe safety, rights or confidentiality risks away.</w:t>
      </w:r>
    </w:p>
    <w:p>
      <w:pPr>
        <w:pStyle w:val="ListBullet"/>
        <w:spacing w:after="40"/>
      </w:pPr>
      <w:r>
        <w:t>Keep legal/regulatory classification separate from internal enterprise risk. A prohibited or otherwise unlawful use cannot be approved through risk acceptance.</w:t>
      </w:r>
    </w:p>
    <w:tbl>
      <w:tblPr>
        <w:tblStyle w:val="TableGrid"/>
        <w:tblW w:type="auto" w:w="0"/>
        <w:jc w:val="center"/>
        <w:tblLook w:firstColumn="1" w:firstRow="1" w:lastColumn="0" w:lastRow="0" w:noHBand="0" w:noVBand="1" w:val="04A0"/>
      </w:tblPr>
      <w:tblGrid>
        <w:gridCol w:w="9893"/>
      </w:tblGrid>
      <w:tr>
        <w:trPr>
          <w:tblHeader w:val="true"/>
        </w:trPr>
        <w:tc>
          <w:tcPr>
            <w:tcW w:type="dxa" w:w="9893"/>
            <w:shd w:fill="EAF0F4"/>
          </w:tcPr>
          <w:p>
            <w:r/>
            <w:r>
              <w:rPr>
                <w:b/>
                <w:color w:val="17365D"/>
                <w:sz w:val="19"/>
              </w:rPr>
              <w:t xml:space="preserve">Key methodological position.  </w:t>
            </w:r>
            <w:r>
              <w:rPr>
                <w:sz w:val="18"/>
              </w:rPr>
              <w:t>The 1-5 values are ordinal matrix coordinates. They help structure judgment; they are not measurements with equal intervals. The risk band and narrative rationale are authoritative, not the arithmetic product of the numbers.</w:t>
            </w:r>
          </w:p>
        </w:tc>
      </w:tr>
    </w:tbl>
    <w:p>
      <w:pPr>
        <w:spacing w:after="20"/>
      </w:pPr>
    </w:p>
    <w:p>
      <w:pPr>
        <w:pStyle w:val="Heading1"/>
      </w:pPr>
      <w:r>
        <w:t>2. Basis, scope and boundaries</w:t>
      </w:r>
    </w:p>
    <w:p>
      <w:r>
        <w:t>The method is tailored to the approved QuackTrack inventory, which contains seven baseline entries and records their intended purpose, lifecycle, users, affected persons, data, automation/human oversight, third-party involvement, governance status, controls and monitoring fields. Formal risk fields remain “Not Assessed” pending methodology approval.</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3312"/>
            <w:vAlign w:val="center"/>
            <w:shd w:fill="17365D"/>
          </w:tcPr>
          <w:p>
            <w:pPr>
              <w:spacing w:after="0"/>
            </w:pPr>
            <w:r/>
            <w:r>
              <w:rPr>
                <w:rFonts w:ascii="Aptos" w:hAnsi="Aptos"/>
                <w:b/>
                <w:color w:val="FFFFFF"/>
                <w:sz w:val="16"/>
              </w:rPr>
              <w:t>Inventory entry</w:t>
            </w:r>
          </w:p>
        </w:tc>
        <w:tc>
          <w:tcPr>
            <w:tcW w:type="dxa" w:w="1728"/>
            <w:vAlign w:val="center"/>
            <w:shd w:fill="17365D"/>
          </w:tcPr>
          <w:p>
            <w:pPr>
              <w:spacing w:after="0"/>
            </w:pPr>
            <w:r/>
            <w:r>
              <w:rPr>
                <w:rFonts w:ascii="Aptos" w:hAnsi="Aptos"/>
                <w:b/>
                <w:color w:val="FFFFFF"/>
                <w:sz w:val="16"/>
              </w:rPr>
              <w:t>Current lifecycle</w:t>
            </w:r>
          </w:p>
        </w:tc>
        <w:tc>
          <w:tcPr>
            <w:tcW w:type="dxa" w:w="4608"/>
            <w:vAlign w:val="center"/>
            <w:shd w:fill="17365D"/>
          </w:tcPr>
          <w:p>
            <w:pPr>
              <w:spacing w:after="0"/>
            </w:pPr>
            <w:r/>
            <w:r>
              <w:rPr>
                <w:rFonts w:ascii="Aptos" w:hAnsi="Aptos"/>
                <w:b/>
                <w:color w:val="FFFFFF"/>
                <w:sz w:val="16"/>
              </w:rPr>
              <w:t>Assessment note</w:t>
            </w:r>
          </w:p>
        </w:tc>
      </w:tr>
      <w:tr>
        <w:tc>
          <w:tcPr>
            <w:tcW w:type="dxa" w:w="3312"/>
            <w:vAlign w:val="center"/>
          </w:tcPr>
          <w:p>
            <w:pPr>
              <w:spacing w:after="0"/>
            </w:pPr>
            <w:r/>
            <w:r>
              <w:rPr>
                <w:rFonts w:ascii="Aptos" w:hAnsi="Aptos"/>
                <w:b w:val="0"/>
                <w:sz w:val="16"/>
              </w:rPr>
              <w:t>AI-001 DuckDesign AI</w:t>
            </w:r>
          </w:p>
        </w:tc>
        <w:tc>
          <w:tcPr>
            <w:tcW w:type="dxa" w:w="1728"/>
            <w:vAlign w:val="center"/>
          </w:tcPr>
          <w:p>
            <w:pPr>
              <w:spacing w:after="0"/>
            </w:pPr>
            <w:r/>
            <w:r>
              <w:rPr>
                <w:rFonts w:ascii="Aptos" w:hAnsi="Aptos"/>
                <w:b w:val="0"/>
                <w:sz w:val="16"/>
              </w:rPr>
              <w:t>Pilot</w:t>
            </w:r>
          </w:p>
        </w:tc>
        <w:tc>
          <w:tcPr>
            <w:tcW w:type="dxa" w:w="4608"/>
            <w:vAlign w:val="center"/>
          </w:tcPr>
          <w:p>
            <w:pPr>
              <w:spacing w:after="0"/>
            </w:pPr>
            <w:r/>
            <w:r>
              <w:rPr>
                <w:rFonts w:ascii="Aptos" w:hAnsi="Aptos"/>
                <w:b w:val="0"/>
                <w:sz w:val="16"/>
              </w:rPr>
              <w:t>Engineering/product context; no score in this methodology.</w:t>
            </w:r>
          </w:p>
        </w:tc>
      </w:tr>
      <w:tr>
        <w:tc>
          <w:tcPr>
            <w:tcW w:type="dxa" w:w="3312"/>
            <w:vAlign w:val="center"/>
            <w:shd w:fill="F7F9FB"/>
          </w:tcPr>
          <w:p>
            <w:pPr>
              <w:spacing w:after="0"/>
            </w:pPr>
            <w:r/>
            <w:r>
              <w:rPr>
                <w:rFonts w:ascii="Aptos" w:hAnsi="Aptos"/>
                <w:b w:val="0"/>
                <w:sz w:val="16"/>
              </w:rPr>
              <w:t>AI-002 QuackBot</w:t>
            </w:r>
          </w:p>
        </w:tc>
        <w:tc>
          <w:tcPr>
            <w:tcW w:type="dxa" w:w="1728"/>
            <w:vAlign w:val="center"/>
            <w:shd w:fill="F7F9FB"/>
          </w:tcPr>
          <w:p>
            <w:pPr>
              <w:spacing w:after="0"/>
            </w:pPr>
            <w:r/>
            <w:r>
              <w:rPr>
                <w:rFonts w:ascii="Aptos" w:hAnsi="Aptos"/>
                <w:b w:val="0"/>
                <w:sz w:val="16"/>
              </w:rPr>
              <w:t>Development</w:t>
            </w:r>
          </w:p>
        </w:tc>
        <w:tc>
          <w:tcPr>
            <w:tcW w:type="dxa" w:w="4608"/>
            <w:vAlign w:val="center"/>
            <w:shd w:fill="F7F9FB"/>
          </w:tcPr>
          <w:p>
            <w:pPr>
              <w:spacing w:after="0"/>
            </w:pPr>
            <w:r/>
            <w:r>
              <w:rPr>
                <w:rFonts w:ascii="Aptos" w:hAnsi="Aptos"/>
                <w:b w:val="0"/>
                <w:sz w:val="16"/>
              </w:rPr>
              <w:t>Customer-facing GenAI/RAG context; no score.</w:t>
            </w:r>
          </w:p>
        </w:tc>
      </w:tr>
      <w:tr>
        <w:tc>
          <w:tcPr>
            <w:tcW w:type="dxa" w:w="3312"/>
            <w:vAlign w:val="center"/>
          </w:tcPr>
          <w:p>
            <w:pPr>
              <w:spacing w:after="0"/>
            </w:pPr>
            <w:r/>
            <w:r>
              <w:rPr>
                <w:rFonts w:ascii="Aptos" w:hAnsi="Aptos"/>
                <w:b w:val="0"/>
                <w:sz w:val="16"/>
              </w:rPr>
              <w:t>AI-003 FeatherForecast</w:t>
            </w:r>
          </w:p>
        </w:tc>
        <w:tc>
          <w:tcPr>
            <w:tcW w:type="dxa" w:w="1728"/>
            <w:vAlign w:val="center"/>
          </w:tcPr>
          <w:p>
            <w:pPr>
              <w:spacing w:after="0"/>
            </w:pPr>
            <w:r/>
            <w:r>
              <w:rPr>
                <w:rFonts w:ascii="Aptos" w:hAnsi="Aptos"/>
                <w:b w:val="0"/>
                <w:sz w:val="16"/>
              </w:rPr>
              <w:t>Production</w:t>
            </w:r>
          </w:p>
        </w:tc>
        <w:tc>
          <w:tcPr>
            <w:tcW w:type="dxa" w:w="4608"/>
            <w:vAlign w:val="center"/>
          </w:tcPr>
          <w:p>
            <w:pPr>
              <w:spacing w:after="0"/>
            </w:pPr>
            <w:r/>
            <w:r>
              <w:rPr>
                <w:rFonts w:ascii="Aptos" w:hAnsi="Aptos"/>
                <w:b w:val="0"/>
                <w:sz w:val="16"/>
              </w:rPr>
              <w:t>Operational forecasting context; no score.</w:t>
            </w:r>
          </w:p>
        </w:tc>
      </w:tr>
      <w:tr>
        <w:tc>
          <w:tcPr>
            <w:tcW w:type="dxa" w:w="3312"/>
            <w:vAlign w:val="center"/>
            <w:shd w:fill="F7F9FB"/>
          </w:tcPr>
          <w:p>
            <w:pPr>
              <w:spacing w:after="0"/>
            </w:pPr>
            <w:r/>
            <w:r>
              <w:rPr>
                <w:rFonts w:ascii="Aptos" w:hAnsi="Aptos"/>
                <w:b w:val="0"/>
                <w:sz w:val="16"/>
              </w:rPr>
              <w:t>AI-004 WingInspect Vision</w:t>
            </w:r>
          </w:p>
        </w:tc>
        <w:tc>
          <w:tcPr>
            <w:tcW w:type="dxa" w:w="1728"/>
            <w:vAlign w:val="center"/>
            <w:shd w:fill="F7F9FB"/>
          </w:tcPr>
          <w:p>
            <w:pPr>
              <w:spacing w:after="0"/>
            </w:pPr>
            <w:r/>
            <w:r>
              <w:rPr>
                <w:rFonts w:ascii="Aptos" w:hAnsi="Aptos"/>
                <w:b w:val="0"/>
                <w:sz w:val="16"/>
              </w:rPr>
              <w:t>Pilot</w:t>
            </w:r>
          </w:p>
        </w:tc>
        <w:tc>
          <w:tcPr>
            <w:tcW w:type="dxa" w:w="4608"/>
            <w:vAlign w:val="center"/>
            <w:shd w:fill="F7F9FB"/>
          </w:tcPr>
          <w:p>
            <w:pPr>
              <w:spacing w:after="0"/>
            </w:pPr>
            <w:r/>
            <w:r>
              <w:rPr>
                <w:rFonts w:ascii="Aptos" w:hAnsi="Aptos"/>
                <w:b w:val="0"/>
                <w:sz w:val="16"/>
              </w:rPr>
              <w:t>Manufacturing quality context; no score.</w:t>
            </w:r>
          </w:p>
        </w:tc>
      </w:tr>
      <w:tr>
        <w:tc>
          <w:tcPr>
            <w:tcW w:type="dxa" w:w="3312"/>
            <w:vAlign w:val="center"/>
          </w:tcPr>
          <w:p>
            <w:pPr>
              <w:spacing w:after="0"/>
            </w:pPr>
            <w:r/>
            <w:r>
              <w:rPr>
                <w:rFonts w:ascii="Aptos" w:hAnsi="Aptos"/>
                <w:b w:val="0"/>
                <w:sz w:val="16"/>
              </w:rPr>
              <w:t>AI-005 DuckTalent AI</w:t>
            </w:r>
          </w:p>
        </w:tc>
        <w:tc>
          <w:tcPr>
            <w:tcW w:type="dxa" w:w="1728"/>
            <w:vAlign w:val="center"/>
          </w:tcPr>
          <w:p>
            <w:pPr>
              <w:spacing w:after="0"/>
            </w:pPr>
            <w:r/>
            <w:r>
              <w:rPr>
                <w:rFonts w:ascii="Aptos" w:hAnsi="Aptos"/>
                <w:b w:val="0"/>
                <w:sz w:val="16"/>
              </w:rPr>
              <w:t>Concept</w:t>
            </w:r>
          </w:p>
        </w:tc>
        <w:tc>
          <w:tcPr>
            <w:tcW w:type="dxa" w:w="4608"/>
            <w:vAlign w:val="center"/>
          </w:tcPr>
          <w:p>
            <w:pPr>
              <w:spacing w:after="0"/>
            </w:pPr>
            <w:r/>
            <w:r>
              <w:rPr>
                <w:rFonts w:ascii="Aptos" w:hAnsi="Aptos"/>
                <w:b w:val="0"/>
                <w:sz w:val="16"/>
              </w:rPr>
              <w:t>Recruitment/affected-person context; no score.</w:t>
            </w:r>
          </w:p>
        </w:tc>
      </w:tr>
      <w:tr>
        <w:tc>
          <w:tcPr>
            <w:tcW w:type="dxa" w:w="3312"/>
            <w:vAlign w:val="center"/>
            <w:shd w:fill="F7F9FB"/>
          </w:tcPr>
          <w:p>
            <w:pPr>
              <w:spacing w:after="0"/>
            </w:pPr>
            <w:r/>
            <w:r>
              <w:rPr>
                <w:rFonts w:ascii="Aptos" w:hAnsi="Aptos"/>
                <w:b w:val="0"/>
                <w:sz w:val="16"/>
              </w:rPr>
              <w:t>AI-006 PondGPT</w:t>
            </w:r>
          </w:p>
        </w:tc>
        <w:tc>
          <w:tcPr>
            <w:tcW w:type="dxa" w:w="1728"/>
            <w:vAlign w:val="center"/>
            <w:shd w:fill="F7F9FB"/>
          </w:tcPr>
          <w:p>
            <w:pPr>
              <w:spacing w:after="0"/>
            </w:pPr>
            <w:r/>
            <w:r>
              <w:rPr>
                <w:rFonts w:ascii="Aptos" w:hAnsi="Aptos"/>
                <w:b w:val="0"/>
                <w:sz w:val="16"/>
              </w:rPr>
              <w:t>Pilot</w:t>
            </w:r>
          </w:p>
        </w:tc>
        <w:tc>
          <w:tcPr>
            <w:tcW w:type="dxa" w:w="4608"/>
            <w:vAlign w:val="center"/>
            <w:shd w:fill="F7F9FB"/>
          </w:tcPr>
          <w:p>
            <w:pPr>
              <w:spacing w:after="0"/>
            </w:pPr>
            <w:r/>
            <w:r>
              <w:rPr>
                <w:rFonts w:ascii="Aptos" w:hAnsi="Aptos"/>
                <w:b w:val="0"/>
                <w:sz w:val="16"/>
              </w:rPr>
              <w:t>Enterprise GenAI/RAG context; no score.</w:t>
            </w:r>
          </w:p>
        </w:tc>
      </w:tr>
      <w:tr>
        <w:tc>
          <w:tcPr>
            <w:tcW w:type="dxa" w:w="3312"/>
            <w:vAlign w:val="center"/>
          </w:tcPr>
          <w:p>
            <w:pPr>
              <w:spacing w:after="0"/>
            </w:pPr>
            <w:r/>
            <w:r>
              <w:rPr>
                <w:rFonts w:ascii="Aptos" w:hAnsi="Aptos"/>
                <w:b w:val="0"/>
                <w:sz w:val="16"/>
              </w:rPr>
              <w:t>AI-007 Unregistered GenAI Usage</w:t>
            </w:r>
          </w:p>
        </w:tc>
        <w:tc>
          <w:tcPr>
            <w:tcW w:type="dxa" w:w="1728"/>
            <w:vAlign w:val="center"/>
          </w:tcPr>
          <w:p>
            <w:pPr>
              <w:spacing w:after="0"/>
            </w:pPr>
            <w:r/>
            <w:r>
              <w:rPr>
                <w:rFonts w:ascii="Aptos" w:hAnsi="Aptos"/>
                <w:b w:val="0"/>
                <w:sz w:val="16"/>
              </w:rPr>
              <w:t>Discovered</w:t>
            </w:r>
          </w:p>
        </w:tc>
        <w:tc>
          <w:tcPr>
            <w:tcW w:type="dxa" w:w="4608"/>
            <w:vAlign w:val="center"/>
          </w:tcPr>
          <w:p>
            <w:pPr>
              <w:spacing w:after="0"/>
            </w:pPr>
            <w:r/>
            <w:r>
              <w:rPr>
                <w:rFonts w:ascii="Aptos" w:hAnsi="Aptos"/>
                <w:b w:val="0"/>
                <w:sz w:val="16"/>
              </w:rPr>
              <w:t>Organizational discovery condition; material discovered uses must be decomposed into separate records before formal scoring.</w:t>
            </w:r>
          </w:p>
        </w:tc>
      </w:tr>
    </w:tbl>
    <w:p>
      <w:pPr>
        <w:spacing w:after="20"/>
      </w:pPr>
    </w:p>
    <w:p>
      <w:pPr>
        <w:pStyle w:val="Heading2"/>
      </w:pPr>
      <w:r>
        <w:t>2.1 Legal and framework separation</w:t>
      </w:r>
    </w:p>
    <w:p>
      <w:r>
        <w:t>Duckworks internal risk ratings are enterprise governance decisions. They are not legal classifications. Regulatory triage is a separate gate performed using applicable law and specialist review. Voluntary standards and frameworks can inform governance practice but do not independently establish legal compliance or certification.</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592"/>
            <w:vAlign w:val="center"/>
            <w:shd w:fill="17365D"/>
          </w:tcPr>
          <w:p>
            <w:pPr>
              <w:spacing w:after="0"/>
            </w:pPr>
            <w:r/>
            <w:r>
              <w:rPr>
                <w:rFonts w:ascii="Aptos" w:hAnsi="Aptos"/>
                <w:b/>
                <w:color w:val="FFFFFF"/>
                <w:sz w:val="16"/>
              </w:rPr>
              <w:t>Classification</w:t>
            </w:r>
          </w:p>
        </w:tc>
        <w:tc>
          <w:tcPr>
            <w:tcW w:type="dxa" w:w="7200"/>
            <w:vAlign w:val="center"/>
            <w:shd w:fill="17365D"/>
          </w:tcPr>
          <w:p>
            <w:pPr>
              <w:spacing w:after="0"/>
            </w:pPr>
            <w:r/>
            <w:r>
              <w:rPr>
                <w:rFonts w:ascii="Aptos" w:hAnsi="Aptos"/>
                <w:b/>
                <w:color w:val="FFFFFF"/>
                <w:sz w:val="16"/>
              </w:rPr>
              <w:t>How this methodology treats it</w:t>
            </w:r>
          </w:p>
        </w:tc>
      </w:tr>
      <w:tr>
        <w:tc>
          <w:tcPr>
            <w:tcW w:type="dxa" w:w="2592"/>
            <w:vAlign w:val="center"/>
          </w:tcPr>
          <w:p>
            <w:pPr>
              <w:spacing w:after="0"/>
            </w:pPr>
            <w:r/>
            <w:r>
              <w:rPr>
                <w:rFonts w:ascii="Aptos" w:hAnsi="Aptos"/>
                <w:b w:val="0"/>
                <w:sz w:val="16"/>
              </w:rPr>
              <w:t>Mandatory legal requirement</w:t>
            </w:r>
          </w:p>
        </w:tc>
        <w:tc>
          <w:tcPr>
            <w:tcW w:type="dxa" w:w="7200"/>
            <w:vAlign w:val="center"/>
          </w:tcPr>
          <w:p>
            <w:pPr>
              <w:spacing w:after="0"/>
            </w:pPr>
            <w:r/>
            <w:r>
              <w:rPr>
                <w:rFonts w:ascii="Aptos" w:hAnsi="Aptos"/>
                <w:b w:val="0"/>
                <w:sz w:val="16"/>
              </w:rPr>
              <w:t>Separate applicability/triage gate. If a practice is prohibited or otherwise unlawful, it cannot be approved by lowering or accepting an internal risk score.</w:t>
            </w:r>
          </w:p>
        </w:tc>
      </w:tr>
      <w:tr>
        <w:tc>
          <w:tcPr>
            <w:tcW w:type="dxa" w:w="2592"/>
            <w:vAlign w:val="center"/>
            <w:shd w:fill="F7F9FB"/>
          </w:tcPr>
          <w:p>
            <w:pPr>
              <w:spacing w:after="0"/>
            </w:pPr>
            <w:r/>
            <w:r>
              <w:rPr>
                <w:rFonts w:ascii="Aptos" w:hAnsi="Aptos"/>
                <w:b w:val="0"/>
                <w:sz w:val="16"/>
              </w:rPr>
              <w:t>Standards/framework guidance</w:t>
            </w:r>
          </w:p>
        </w:tc>
        <w:tc>
          <w:tcPr>
            <w:tcW w:type="dxa" w:w="7200"/>
            <w:vAlign w:val="center"/>
            <w:shd w:fill="F7F9FB"/>
          </w:tcPr>
          <w:p>
            <w:pPr>
              <w:spacing w:after="0"/>
            </w:pPr>
            <w:r/>
            <w:r>
              <w:rPr>
                <w:rFonts w:ascii="Aptos" w:hAnsi="Aptos"/>
                <w:b w:val="0"/>
                <w:sz w:val="16"/>
              </w:rPr>
              <w:t>Used as design input for governance, risk, control and evidence practices; not treated as law.</w:t>
            </w:r>
          </w:p>
        </w:tc>
      </w:tr>
      <w:tr>
        <w:tc>
          <w:tcPr>
            <w:tcW w:type="dxa" w:w="2592"/>
            <w:vAlign w:val="center"/>
          </w:tcPr>
          <w:p>
            <w:pPr>
              <w:spacing w:after="0"/>
            </w:pPr>
            <w:r/>
            <w:r>
              <w:rPr>
                <w:rFonts w:ascii="Aptos" w:hAnsi="Aptos"/>
                <w:b w:val="0"/>
                <w:sz w:val="16"/>
              </w:rPr>
              <w:t>Duckworks organizational practice</w:t>
            </w:r>
          </w:p>
        </w:tc>
        <w:tc>
          <w:tcPr>
            <w:tcW w:type="dxa" w:w="7200"/>
            <w:vAlign w:val="center"/>
          </w:tcPr>
          <w:p>
            <w:pPr>
              <w:spacing w:after="0"/>
            </w:pPr>
            <w:r/>
            <w:r>
              <w:rPr>
                <w:rFonts w:ascii="Aptos" w:hAnsi="Aptos"/>
                <w:b w:val="0"/>
                <w:sz w:val="16"/>
              </w:rPr>
              <w:t>The scales, matrix, approval authorities, escalation rules and evidence expectations in this document.</w:t>
            </w:r>
          </w:p>
        </w:tc>
      </w:tr>
      <w:tr>
        <w:tc>
          <w:tcPr>
            <w:tcW w:type="dxa" w:w="2592"/>
            <w:vAlign w:val="center"/>
            <w:shd w:fill="F7F9FB"/>
          </w:tcPr>
          <w:p>
            <w:pPr>
              <w:spacing w:after="0"/>
            </w:pPr>
            <w:r/>
            <w:r>
              <w:rPr>
                <w:rFonts w:ascii="Aptos" w:hAnsi="Aptos"/>
                <w:b w:val="0"/>
                <w:sz w:val="16"/>
              </w:rPr>
              <w:t>Project assumption</w:t>
            </w:r>
          </w:p>
        </w:tc>
        <w:tc>
          <w:tcPr>
            <w:tcW w:type="dxa" w:w="7200"/>
            <w:vAlign w:val="center"/>
            <w:shd w:fill="F7F9FB"/>
          </w:tcPr>
          <w:p>
            <w:pPr>
              <w:spacing w:after="0"/>
            </w:pPr>
            <w:r/>
            <w:r>
              <w:rPr>
                <w:rFonts w:ascii="Aptos" w:hAnsi="Aptos"/>
                <w:b w:val="0"/>
                <w:sz w:val="16"/>
              </w:rPr>
              <w:t>Any unverified fact that materially affects purpose, affected persons, safety, data, autonomy, provider or jurisdiction must be documented and may trigger reassessment.</w:t>
            </w:r>
          </w:p>
        </w:tc>
      </w:tr>
    </w:tbl>
    <w:p>
      <w:pPr>
        <w:spacing w:after="20"/>
      </w:pPr>
    </w:p>
    <w:p>
      <w:pPr>
        <w:pStyle w:val="Heading1"/>
      </w:pPr>
      <w:r>
        <w:t>3. Assessment workflow</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584"/>
            <w:vAlign w:val="center"/>
            <w:shd w:fill="17365D"/>
          </w:tcPr>
          <w:p>
            <w:pPr>
              <w:spacing w:after="0"/>
            </w:pPr>
            <w:r/>
            <w:r>
              <w:rPr>
                <w:rFonts w:ascii="Aptos" w:hAnsi="Aptos"/>
                <w:b/>
                <w:color w:val="FFFFFF"/>
                <w:sz w:val="15"/>
              </w:rPr>
              <w:t>Stage</w:t>
            </w:r>
          </w:p>
        </w:tc>
        <w:tc>
          <w:tcPr>
            <w:tcW w:type="dxa" w:w="6048"/>
            <w:vAlign w:val="center"/>
            <w:shd w:fill="17365D"/>
          </w:tcPr>
          <w:p>
            <w:pPr>
              <w:spacing w:after="0"/>
            </w:pPr>
            <w:r/>
            <w:r>
              <w:rPr>
                <w:rFonts w:ascii="Aptos" w:hAnsi="Aptos"/>
                <w:b/>
                <w:color w:val="FFFFFF"/>
                <w:sz w:val="15"/>
              </w:rPr>
              <w:t>Required activity</w:t>
            </w:r>
          </w:p>
        </w:tc>
        <w:tc>
          <w:tcPr>
            <w:tcW w:type="dxa" w:w="2592"/>
            <w:vAlign w:val="center"/>
            <w:shd w:fill="17365D"/>
          </w:tcPr>
          <w:p>
            <w:pPr>
              <w:spacing w:after="0"/>
            </w:pPr>
            <w:r/>
            <w:r>
              <w:rPr>
                <w:rFonts w:ascii="Aptos" w:hAnsi="Aptos"/>
                <w:b/>
                <w:color w:val="FFFFFF"/>
                <w:sz w:val="15"/>
              </w:rPr>
              <w:t>Output / gate</w:t>
            </w:r>
          </w:p>
        </w:tc>
      </w:tr>
      <w:tr>
        <w:tc>
          <w:tcPr>
            <w:tcW w:type="dxa" w:w="1584"/>
            <w:vAlign w:val="center"/>
          </w:tcPr>
          <w:p>
            <w:pPr>
              <w:spacing w:after="0"/>
            </w:pPr>
            <w:r/>
            <w:r>
              <w:rPr>
                <w:rFonts w:ascii="Aptos" w:hAnsi="Aptos"/>
                <w:b w:val="0"/>
                <w:sz w:val="15"/>
              </w:rPr>
              <w:t>1. Inventory &amp; scope</w:t>
            </w:r>
          </w:p>
        </w:tc>
        <w:tc>
          <w:tcPr>
            <w:tcW w:type="dxa" w:w="6048"/>
            <w:vAlign w:val="center"/>
          </w:tcPr>
          <w:p>
            <w:pPr>
              <w:spacing w:after="0"/>
            </w:pPr>
            <w:r/>
            <w:r>
              <w:rPr>
                <w:rFonts w:ascii="Aptos" w:hAnsi="Aptos"/>
                <w:b w:val="0"/>
                <w:sz w:val="15"/>
              </w:rPr>
              <w:t>Confirm intended purpose, owner, lifecycle, users, affected persons, data, provider/model, integrations, geography and decision role.</w:t>
            </w:r>
          </w:p>
        </w:tc>
        <w:tc>
          <w:tcPr>
            <w:tcW w:type="dxa" w:w="2592"/>
            <w:vAlign w:val="center"/>
          </w:tcPr>
          <w:p>
            <w:pPr>
              <w:spacing w:after="0"/>
            </w:pPr>
            <w:r/>
            <w:r>
              <w:rPr>
                <w:rFonts w:ascii="Aptos" w:hAnsi="Aptos"/>
                <w:b w:val="0"/>
                <w:sz w:val="15"/>
              </w:rPr>
              <w:t>Validated assessment context. Incomplete material fields block scoring.</w:t>
            </w:r>
          </w:p>
        </w:tc>
      </w:tr>
      <w:tr>
        <w:tc>
          <w:tcPr>
            <w:tcW w:type="dxa" w:w="1584"/>
            <w:vAlign w:val="center"/>
            <w:shd w:fill="F7F9FB"/>
          </w:tcPr>
          <w:p>
            <w:pPr>
              <w:spacing w:after="0"/>
            </w:pPr>
            <w:r/>
            <w:r>
              <w:rPr>
                <w:rFonts w:ascii="Aptos" w:hAnsi="Aptos"/>
                <w:b w:val="0"/>
                <w:sz w:val="15"/>
              </w:rPr>
              <w:t>2. Regulatory triage</w:t>
            </w:r>
          </w:p>
        </w:tc>
        <w:tc>
          <w:tcPr>
            <w:tcW w:type="dxa" w:w="6048"/>
            <w:vAlign w:val="center"/>
            <w:shd w:fill="F7F9FB"/>
          </w:tcPr>
          <w:p>
            <w:pPr>
              <w:spacing w:after="0"/>
            </w:pPr>
            <w:r/>
            <w:r>
              <w:rPr>
                <w:rFonts w:ascii="Aptos" w:hAnsi="Aptos"/>
                <w:b w:val="0"/>
                <w:sz w:val="15"/>
              </w:rPr>
              <w:t>Screen legal role, prohibited/unlawful use, high-impact classifications, transparency/privacy/product/employment/cyber obligations as applicable.</w:t>
            </w:r>
          </w:p>
        </w:tc>
        <w:tc>
          <w:tcPr>
            <w:tcW w:type="dxa" w:w="2592"/>
            <w:vAlign w:val="center"/>
            <w:shd w:fill="F7F9FB"/>
          </w:tcPr>
          <w:p>
            <w:pPr>
              <w:spacing w:after="0"/>
            </w:pPr>
            <w:r/>
            <w:r>
              <w:rPr>
                <w:rFonts w:ascii="Aptos" w:hAnsi="Aptos"/>
                <w:b w:val="0"/>
                <w:sz w:val="15"/>
              </w:rPr>
              <w:t>Legal classification/flag kept separate from enterprise rating.</w:t>
            </w:r>
          </w:p>
        </w:tc>
      </w:tr>
      <w:tr>
        <w:tc>
          <w:tcPr>
            <w:tcW w:type="dxa" w:w="1584"/>
            <w:vAlign w:val="center"/>
          </w:tcPr>
          <w:p>
            <w:pPr>
              <w:spacing w:after="0"/>
            </w:pPr>
            <w:r/>
            <w:r>
              <w:rPr>
                <w:rFonts w:ascii="Aptos" w:hAnsi="Aptos"/>
                <w:b w:val="0"/>
                <w:sz w:val="15"/>
              </w:rPr>
              <w:t>3. Scenario identification</w:t>
            </w:r>
          </w:p>
        </w:tc>
        <w:tc>
          <w:tcPr>
            <w:tcW w:type="dxa" w:w="6048"/>
            <w:vAlign w:val="center"/>
          </w:tcPr>
          <w:p>
            <w:pPr>
              <w:spacing w:after="0"/>
            </w:pPr>
            <w:r/>
            <w:r>
              <w:rPr>
                <w:rFonts w:ascii="Aptos" w:hAnsi="Aptos"/>
                <w:b w:val="0"/>
                <w:sz w:val="15"/>
              </w:rPr>
              <w:t>Write material cause -&gt; event -&gt; impact scenarios across relevant domains.</w:t>
            </w:r>
          </w:p>
        </w:tc>
        <w:tc>
          <w:tcPr>
            <w:tcW w:type="dxa" w:w="2592"/>
            <w:vAlign w:val="center"/>
          </w:tcPr>
          <w:p>
            <w:pPr>
              <w:spacing w:after="0"/>
            </w:pPr>
            <w:r/>
            <w:r>
              <w:rPr>
                <w:rFonts w:ascii="Aptos" w:hAnsi="Aptos"/>
                <w:b w:val="0"/>
                <w:sz w:val="15"/>
              </w:rPr>
              <w:t>Scenario register.</w:t>
            </w:r>
          </w:p>
        </w:tc>
      </w:tr>
      <w:tr>
        <w:tc>
          <w:tcPr>
            <w:tcW w:type="dxa" w:w="1584"/>
            <w:vAlign w:val="center"/>
            <w:shd w:fill="F7F9FB"/>
          </w:tcPr>
          <w:p>
            <w:pPr>
              <w:spacing w:after="0"/>
            </w:pPr>
            <w:r/>
            <w:r>
              <w:rPr>
                <w:rFonts w:ascii="Aptos" w:hAnsi="Aptos"/>
                <w:b w:val="0"/>
                <w:sz w:val="15"/>
              </w:rPr>
              <w:t>4. Inherent risk</w:t>
            </w:r>
          </w:p>
        </w:tc>
        <w:tc>
          <w:tcPr>
            <w:tcW w:type="dxa" w:w="6048"/>
            <w:vAlign w:val="center"/>
            <w:shd w:fill="F7F9FB"/>
          </w:tcPr>
          <w:p>
            <w:pPr>
              <w:spacing w:after="0"/>
            </w:pPr>
            <w:r/>
            <w:r>
              <w:rPr>
                <w:rFonts w:ascii="Aptos" w:hAnsi="Aptos"/>
                <w:b w:val="0"/>
                <w:sz w:val="15"/>
              </w:rPr>
              <w:t>Assess impact and likelihood without credit for specific Duckworks mitigating controls.</w:t>
            </w:r>
          </w:p>
        </w:tc>
        <w:tc>
          <w:tcPr>
            <w:tcW w:type="dxa" w:w="2592"/>
            <w:vAlign w:val="center"/>
            <w:shd w:fill="F7F9FB"/>
          </w:tcPr>
          <w:p>
            <w:pPr>
              <w:spacing w:after="0"/>
            </w:pPr>
            <w:r/>
            <w:r>
              <w:rPr>
                <w:rFonts w:ascii="Aptos" w:hAnsi="Aptos"/>
                <w:b w:val="0"/>
                <w:sz w:val="15"/>
              </w:rPr>
              <w:t>Inherent matrix coordinate and band.</w:t>
            </w:r>
          </w:p>
        </w:tc>
      </w:tr>
      <w:tr>
        <w:tc>
          <w:tcPr>
            <w:tcW w:type="dxa" w:w="1584"/>
            <w:vAlign w:val="center"/>
          </w:tcPr>
          <w:p>
            <w:pPr>
              <w:spacing w:after="0"/>
            </w:pPr>
            <w:r/>
            <w:r>
              <w:rPr>
                <w:rFonts w:ascii="Aptos" w:hAnsi="Aptos"/>
                <w:b w:val="0"/>
                <w:sz w:val="15"/>
              </w:rPr>
              <w:t>5. Control assessment</w:t>
            </w:r>
          </w:p>
        </w:tc>
        <w:tc>
          <w:tcPr>
            <w:tcW w:type="dxa" w:w="6048"/>
            <w:vAlign w:val="center"/>
          </w:tcPr>
          <w:p>
            <w:pPr>
              <w:spacing w:after="0"/>
            </w:pPr>
            <w:r/>
            <w:r>
              <w:rPr>
                <w:rFonts w:ascii="Aptos" w:hAnsi="Aptos"/>
                <w:b w:val="0"/>
                <w:sz w:val="15"/>
              </w:rPr>
              <w:t>Assess control design, operating effectiveness and evidence confidence.</w:t>
            </w:r>
          </w:p>
        </w:tc>
        <w:tc>
          <w:tcPr>
            <w:tcW w:type="dxa" w:w="2592"/>
            <w:vAlign w:val="center"/>
          </w:tcPr>
          <w:p>
            <w:pPr>
              <w:spacing w:after="0"/>
            </w:pPr>
            <w:r/>
            <w:r>
              <w:rPr>
                <w:rFonts w:ascii="Aptos" w:hAnsi="Aptos"/>
                <w:b w:val="0"/>
                <w:sz w:val="15"/>
              </w:rPr>
              <w:t>Control effectiveness conclusion; planned controls not credited.</w:t>
            </w:r>
          </w:p>
        </w:tc>
      </w:tr>
      <w:tr>
        <w:tc>
          <w:tcPr>
            <w:tcW w:type="dxa" w:w="1584"/>
            <w:vAlign w:val="center"/>
            <w:shd w:fill="F7F9FB"/>
          </w:tcPr>
          <w:p>
            <w:pPr>
              <w:spacing w:after="0"/>
            </w:pPr>
            <w:r/>
            <w:r>
              <w:rPr>
                <w:rFonts w:ascii="Aptos" w:hAnsi="Aptos"/>
                <w:b w:val="0"/>
                <w:sz w:val="15"/>
              </w:rPr>
              <w:t>6. Residual risk</w:t>
            </w:r>
          </w:p>
        </w:tc>
        <w:tc>
          <w:tcPr>
            <w:tcW w:type="dxa" w:w="6048"/>
            <w:vAlign w:val="center"/>
            <w:shd w:fill="F7F9FB"/>
          </w:tcPr>
          <w:p>
            <w:pPr>
              <w:spacing w:after="0"/>
            </w:pPr>
            <w:r/>
            <w:r>
              <w:rPr>
                <w:rFonts w:ascii="Aptos" w:hAnsi="Aptos"/>
                <w:b w:val="0"/>
                <w:sz w:val="15"/>
              </w:rPr>
              <w:t>Reassess impact and likelihood after implemented controls.</w:t>
            </w:r>
          </w:p>
        </w:tc>
        <w:tc>
          <w:tcPr>
            <w:tcW w:type="dxa" w:w="2592"/>
            <w:vAlign w:val="center"/>
            <w:shd w:fill="F7F9FB"/>
          </w:tcPr>
          <w:p>
            <w:pPr>
              <w:spacing w:after="0"/>
            </w:pPr>
            <w:r/>
            <w:r>
              <w:rPr>
                <w:rFonts w:ascii="Aptos" w:hAnsi="Aptos"/>
                <w:b w:val="0"/>
                <w:sz w:val="15"/>
              </w:rPr>
              <w:t>Current residual matrix coordinate and band.</w:t>
            </w:r>
          </w:p>
        </w:tc>
      </w:tr>
      <w:tr>
        <w:tc>
          <w:tcPr>
            <w:tcW w:type="dxa" w:w="1584"/>
            <w:vAlign w:val="center"/>
          </w:tcPr>
          <w:p>
            <w:pPr>
              <w:spacing w:after="0"/>
            </w:pPr>
            <w:r/>
            <w:r>
              <w:rPr>
                <w:rFonts w:ascii="Aptos" w:hAnsi="Aptos"/>
                <w:b w:val="0"/>
                <w:sz w:val="15"/>
              </w:rPr>
              <w:t>7. Treatment / target</w:t>
            </w:r>
          </w:p>
        </w:tc>
        <w:tc>
          <w:tcPr>
            <w:tcW w:type="dxa" w:w="6048"/>
            <w:vAlign w:val="center"/>
          </w:tcPr>
          <w:p>
            <w:pPr>
              <w:spacing w:after="0"/>
            </w:pPr>
            <w:r/>
            <w:r>
              <w:rPr>
                <w:rFonts w:ascii="Aptos" w:hAnsi="Aptos"/>
                <w:b w:val="0"/>
                <w:sz w:val="15"/>
              </w:rPr>
              <w:t>Avoid, reduce, transfer/share selected exposure, accept within authority, suspend or retire.</w:t>
            </w:r>
          </w:p>
        </w:tc>
        <w:tc>
          <w:tcPr>
            <w:tcW w:type="dxa" w:w="2592"/>
            <w:vAlign w:val="center"/>
          </w:tcPr>
          <w:p>
            <w:pPr>
              <w:spacing w:after="0"/>
            </w:pPr>
            <w:r/>
            <w:r>
              <w:rPr>
                <w:rFonts w:ascii="Aptos" w:hAnsi="Aptos"/>
                <w:b w:val="0"/>
                <w:sz w:val="15"/>
              </w:rPr>
              <w:t>Treatment plan and target risk (planning state only).</w:t>
            </w:r>
          </w:p>
        </w:tc>
      </w:tr>
      <w:tr>
        <w:tc>
          <w:tcPr>
            <w:tcW w:type="dxa" w:w="1584"/>
            <w:vAlign w:val="center"/>
            <w:shd w:fill="F7F9FB"/>
          </w:tcPr>
          <w:p>
            <w:pPr>
              <w:spacing w:after="0"/>
            </w:pPr>
            <w:r/>
            <w:r>
              <w:rPr>
                <w:rFonts w:ascii="Aptos" w:hAnsi="Aptos"/>
                <w:b w:val="0"/>
                <w:sz w:val="15"/>
              </w:rPr>
              <w:t>8. Approval / monitoring</w:t>
            </w:r>
          </w:p>
        </w:tc>
        <w:tc>
          <w:tcPr>
            <w:tcW w:type="dxa" w:w="6048"/>
            <w:vAlign w:val="center"/>
            <w:shd w:fill="F7F9FB"/>
          </w:tcPr>
          <w:p>
            <w:pPr>
              <w:spacing w:after="0"/>
            </w:pPr>
            <w:r/>
            <w:r>
              <w:rPr>
                <w:rFonts w:ascii="Aptos" w:hAnsi="Aptos"/>
                <w:b w:val="0"/>
                <w:sz w:val="15"/>
              </w:rPr>
              <w:t>Apply acceptance authority, escalation thresholds, monitoring and reassessment triggers.</w:t>
            </w:r>
          </w:p>
        </w:tc>
        <w:tc>
          <w:tcPr>
            <w:tcW w:type="dxa" w:w="2592"/>
            <w:vAlign w:val="center"/>
            <w:shd w:fill="F7F9FB"/>
          </w:tcPr>
          <w:p>
            <w:pPr>
              <w:spacing w:after="0"/>
            </w:pPr>
            <w:r/>
            <w:r>
              <w:rPr>
                <w:rFonts w:ascii="Aptos" w:hAnsi="Aptos"/>
                <w:b w:val="0"/>
                <w:sz w:val="15"/>
              </w:rPr>
              <w:t>Decision record, evidence pointers and review cadence.</w:t>
            </w:r>
          </w:p>
        </w:tc>
      </w:tr>
    </w:tbl>
    <w:p>
      <w:pPr>
        <w:spacing w:after="20"/>
      </w:pPr>
    </w:p>
    <w:p>
      <w:pPr>
        <w:pStyle w:val="Heading1"/>
      </w:pPr>
      <w:r>
        <w:t>4. Risk scenario domains</w:t>
      </w:r>
    </w:p>
    <w:p>
      <w:r>
        <w:t>Domains are prompts for scenario discovery, not weights to be averaged. A single scenario may span multiple domains.</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3168"/>
            <w:vAlign w:val="center"/>
            <w:shd w:fill="17365D"/>
          </w:tcPr>
          <w:p>
            <w:pPr>
              <w:spacing w:after="0"/>
            </w:pPr>
            <w:r/>
            <w:r>
              <w:rPr>
                <w:rFonts w:ascii="Aptos" w:hAnsi="Aptos"/>
                <w:b/>
                <w:color w:val="FFFFFF"/>
                <w:sz w:val="16"/>
              </w:rPr>
              <w:t>Domain</w:t>
            </w:r>
          </w:p>
        </w:tc>
        <w:tc>
          <w:tcPr>
            <w:tcW w:type="dxa" w:w="6912"/>
            <w:vAlign w:val="center"/>
            <w:shd w:fill="17365D"/>
          </w:tcPr>
          <w:p>
            <w:pPr>
              <w:spacing w:after="0"/>
            </w:pPr>
            <w:r/>
            <w:r>
              <w:rPr>
                <w:rFonts w:ascii="Aptos" w:hAnsi="Aptos"/>
                <w:b/>
                <w:color w:val="FFFFFF"/>
                <w:sz w:val="16"/>
              </w:rPr>
              <w:t>Assessment lens</w:t>
            </w:r>
          </w:p>
        </w:tc>
      </w:tr>
      <w:tr>
        <w:tc>
          <w:tcPr>
            <w:tcW w:type="dxa" w:w="3168"/>
            <w:vAlign w:val="center"/>
          </w:tcPr>
          <w:p>
            <w:pPr>
              <w:spacing w:after="0"/>
            </w:pPr>
            <w:r/>
            <w:r>
              <w:rPr>
                <w:rFonts w:ascii="Aptos" w:hAnsi="Aptos"/>
                <w:b w:val="0"/>
                <w:sz w:val="16"/>
              </w:rPr>
              <w:t>Fundamental rights, fairness &amp; discrimination</w:t>
            </w:r>
          </w:p>
        </w:tc>
        <w:tc>
          <w:tcPr>
            <w:tcW w:type="dxa" w:w="6912"/>
            <w:vAlign w:val="center"/>
          </w:tcPr>
          <w:p>
            <w:pPr>
              <w:spacing w:after="0"/>
            </w:pPr>
            <w:r/>
            <w:r>
              <w:rPr>
                <w:rFonts w:ascii="Aptos" w:hAnsi="Aptos"/>
                <w:b w:val="0"/>
                <w:sz w:val="16"/>
              </w:rPr>
              <w:t>Unequal treatment, exclusion, accessibility, discrimination, contestability and adverse impacts on people.</w:t>
            </w:r>
          </w:p>
        </w:tc>
      </w:tr>
      <w:tr>
        <w:tc>
          <w:tcPr>
            <w:tcW w:type="dxa" w:w="3168"/>
            <w:vAlign w:val="center"/>
            <w:shd w:fill="F7F9FB"/>
          </w:tcPr>
          <w:p>
            <w:pPr>
              <w:spacing w:after="0"/>
            </w:pPr>
            <w:r/>
            <w:r>
              <w:rPr>
                <w:rFonts w:ascii="Aptos" w:hAnsi="Aptos"/>
                <w:b w:val="0"/>
                <w:sz w:val="16"/>
              </w:rPr>
              <w:t>Safety &amp; physical harm</w:t>
            </w:r>
          </w:p>
        </w:tc>
        <w:tc>
          <w:tcPr>
            <w:tcW w:type="dxa" w:w="6912"/>
            <w:vAlign w:val="center"/>
            <w:shd w:fill="F7F9FB"/>
          </w:tcPr>
          <w:p>
            <w:pPr>
              <w:spacing w:after="0"/>
            </w:pPr>
            <w:r/>
            <w:r>
              <w:rPr>
                <w:rFonts w:ascii="Aptos" w:hAnsi="Aptos"/>
                <w:b w:val="0"/>
                <w:sz w:val="16"/>
              </w:rPr>
              <w:t>Injury, unsafe product outcomes, hazardous decisions, quality escapes and loss of safe fallback.</w:t>
            </w:r>
          </w:p>
        </w:tc>
      </w:tr>
      <w:tr>
        <w:tc>
          <w:tcPr>
            <w:tcW w:type="dxa" w:w="3168"/>
            <w:vAlign w:val="center"/>
          </w:tcPr>
          <w:p>
            <w:pPr>
              <w:spacing w:after="0"/>
            </w:pPr>
            <w:r/>
            <w:r>
              <w:rPr>
                <w:rFonts w:ascii="Aptos" w:hAnsi="Aptos"/>
                <w:b w:val="0"/>
                <w:sz w:val="16"/>
              </w:rPr>
              <w:t>Privacy, confidentiality &amp; data governance</w:t>
            </w:r>
          </w:p>
        </w:tc>
        <w:tc>
          <w:tcPr>
            <w:tcW w:type="dxa" w:w="6912"/>
            <w:vAlign w:val="center"/>
          </w:tcPr>
          <w:p>
            <w:pPr>
              <w:spacing w:after="0"/>
            </w:pPr>
            <w:r/>
            <w:r>
              <w:rPr>
                <w:rFonts w:ascii="Aptos" w:hAnsi="Aptos"/>
                <w:b w:val="0"/>
                <w:sz w:val="16"/>
              </w:rPr>
              <w:t>Personal data, confidential/IP data, minimization, provenance, retention, access boundaries and leakage.</w:t>
            </w:r>
          </w:p>
        </w:tc>
      </w:tr>
      <w:tr>
        <w:tc>
          <w:tcPr>
            <w:tcW w:type="dxa" w:w="3168"/>
            <w:vAlign w:val="center"/>
            <w:shd w:fill="F7F9FB"/>
          </w:tcPr>
          <w:p>
            <w:pPr>
              <w:spacing w:after="0"/>
            </w:pPr>
            <w:r/>
            <w:r>
              <w:rPr>
                <w:rFonts w:ascii="Aptos" w:hAnsi="Aptos"/>
                <w:b w:val="0"/>
                <w:sz w:val="16"/>
              </w:rPr>
              <w:t>Security, abuse &amp; adversarial manipulation</w:t>
            </w:r>
          </w:p>
        </w:tc>
        <w:tc>
          <w:tcPr>
            <w:tcW w:type="dxa" w:w="6912"/>
            <w:vAlign w:val="center"/>
            <w:shd w:fill="F7F9FB"/>
          </w:tcPr>
          <w:p>
            <w:pPr>
              <w:spacing w:after="0"/>
            </w:pPr>
            <w:r/>
            <w:r>
              <w:rPr>
                <w:rFonts w:ascii="Aptos" w:hAnsi="Aptos"/>
                <w:b w:val="0"/>
                <w:sz w:val="16"/>
              </w:rPr>
              <w:t>Prompt injection, poisoning, model abuse, exfiltration, insecure tools/integrations, excessive permissions and supply-chain threats.</w:t>
            </w:r>
          </w:p>
        </w:tc>
      </w:tr>
      <w:tr>
        <w:tc>
          <w:tcPr>
            <w:tcW w:type="dxa" w:w="3168"/>
            <w:vAlign w:val="center"/>
          </w:tcPr>
          <w:p>
            <w:pPr>
              <w:spacing w:after="0"/>
            </w:pPr>
            <w:r/>
            <w:r>
              <w:rPr>
                <w:rFonts w:ascii="Aptos" w:hAnsi="Aptos"/>
                <w:b w:val="0"/>
                <w:sz w:val="16"/>
              </w:rPr>
              <w:t>Reliability, robustness &amp; performance</w:t>
            </w:r>
          </w:p>
        </w:tc>
        <w:tc>
          <w:tcPr>
            <w:tcW w:type="dxa" w:w="6912"/>
            <w:vAlign w:val="center"/>
          </w:tcPr>
          <w:p>
            <w:pPr>
              <w:spacing w:after="0"/>
            </w:pPr>
            <w:r/>
            <w:r>
              <w:rPr>
                <w:rFonts w:ascii="Aptos" w:hAnsi="Aptos"/>
                <w:b w:val="0"/>
                <w:sz w:val="16"/>
              </w:rPr>
              <w:t>Hallucination, accuracy, false positives/negatives, drift, distribution shift, brittleness and unstable behavior.</w:t>
            </w:r>
          </w:p>
        </w:tc>
      </w:tr>
      <w:tr>
        <w:tc>
          <w:tcPr>
            <w:tcW w:type="dxa" w:w="3168"/>
            <w:vAlign w:val="center"/>
            <w:shd w:fill="F7F9FB"/>
          </w:tcPr>
          <w:p>
            <w:pPr>
              <w:spacing w:after="0"/>
            </w:pPr>
            <w:r/>
            <w:r>
              <w:rPr>
                <w:rFonts w:ascii="Aptos" w:hAnsi="Aptos"/>
                <w:b w:val="0"/>
                <w:sz w:val="16"/>
              </w:rPr>
              <w:t>Transparency &amp; explainability</w:t>
            </w:r>
          </w:p>
        </w:tc>
        <w:tc>
          <w:tcPr>
            <w:tcW w:type="dxa" w:w="6912"/>
            <w:vAlign w:val="center"/>
            <w:shd w:fill="F7F9FB"/>
          </w:tcPr>
          <w:p>
            <w:pPr>
              <w:spacing w:after="0"/>
            </w:pPr>
            <w:r/>
            <w:r>
              <w:rPr>
                <w:rFonts w:ascii="Aptos" w:hAnsi="Aptos"/>
                <w:b w:val="0"/>
                <w:sz w:val="16"/>
              </w:rPr>
              <w:t>Disclosure, traceability, understandable rationale/limitations and ability to challenge outputs.</w:t>
            </w:r>
          </w:p>
        </w:tc>
      </w:tr>
      <w:tr>
        <w:tc>
          <w:tcPr>
            <w:tcW w:type="dxa" w:w="3168"/>
            <w:vAlign w:val="center"/>
          </w:tcPr>
          <w:p>
            <w:pPr>
              <w:spacing w:after="0"/>
            </w:pPr>
            <w:r/>
            <w:r>
              <w:rPr>
                <w:rFonts w:ascii="Aptos" w:hAnsi="Aptos"/>
                <w:b w:val="0"/>
                <w:sz w:val="16"/>
              </w:rPr>
              <w:t>Human oversight &amp; automation bias</w:t>
            </w:r>
          </w:p>
        </w:tc>
        <w:tc>
          <w:tcPr>
            <w:tcW w:type="dxa" w:w="6912"/>
            <w:vAlign w:val="center"/>
          </w:tcPr>
          <w:p>
            <w:pPr>
              <w:spacing w:after="0"/>
            </w:pPr>
            <w:r/>
            <w:r>
              <w:rPr>
                <w:rFonts w:ascii="Aptos" w:hAnsi="Aptos"/>
                <w:b w:val="0"/>
                <w:sz w:val="16"/>
              </w:rPr>
              <w:t>Over-reliance, ineffective review, unclear authority, inadequate competence and inappropriate autonomy.</w:t>
            </w:r>
          </w:p>
        </w:tc>
      </w:tr>
      <w:tr>
        <w:tc>
          <w:tcPr>
            <w:tcW w:type="dxa" w:w="3168"/>
            <w:vAlign w:val="center"/>
            <w:shd w:fill="F7F9FB"/>
          </w:tcPr>
          <w:p>
            <w:pPr>
              <w:spacing w:after="0"/>
            </w:pPr>
            <w:r/>
            <w:r>
              <w:rPr>
                <w:rFonts w:ascii="Aptos" w:hAnsi="Aptos"/>
                <w:b w:val="0"/>
                <w:sz w:val="16"/>
              </w:rPr>
              <w:t>Third-party &amp; supply chain</w:t>
            </w:r>
          </w:p>
        </w:tc>
        <w:tc>
          <w:tcPr>
            <w:tcW w:type="dxa" w:w="6912"/>
            <w:vAlign w:val="center"/>
            <w:shd w:fill="F7F9FB"/>
          </w:tcPr>
          <w:p>
            <w:pPr>
              <w:spacing w:after="0"/>
            </w:pPr>
            <w:r/>
            <w:r>
              <w:rPr>
                <w:rFonts w:ascii="Aptos" w:hAnsi="Aptos"/>
                <w:b w:val="0"/>
                <w:sz w:val="16"/>
              </w:rPr>
              <w:t>Provider dependency, contractual terms, subprocessors, model/service changes, resilience and exit.</w:t>
            </w:r>
          </w:p>
        </w:tc>
      </w:tr>
      <w:tr>
        <w:tc>
          <w:tcPr>
            <w:tcW w:type="dxa" w:w="3168"/>
            <w:vAlign w:val="center"/>
          </w:tcPr>
          <w:p>
            <w:pPr>
              <w:spacing w:after="0"/>
            </w:pPr>
            <w:r/>
            <w:r>
              <w:rPr>
                <w:rFonts w:ascii="Aptos" w:hAnsi="Aptos"/>
                <w:b w:val="0"/>
                <w:sz w:val="16"/>
              </w:rPr>
              <w:t>Operational, financial &amp; reputational</w:t>
            </w:r>
          </w:p>
        </w:tc>
        <w:tc>
          <w:tcPr>
            <w:tcW w:type="dxa" w:w="6912"/>
            <w:vAlign w:val="center"/>
          </w:tcPr>
          <w:p>
            <w:pPr>
              <w:spacing w:after="0"/>
            </w:pPr>
            <w:r/>
            <w:r>
              <w:rPr>
                <w:rFonts w:ascii="Aptos" w:hAnsi="Aptos"/>
                <w:b w:val="0"/>
                <w:sz w:val="16"/>
              </w:rPr>
              <w:t>Disruption, bad planning, cost, service quality, complaints, stakeholder trust and recovery burden.</w:t>
            </w:r>
          </w:p>
        </w:tc>
      </w:tr>
      <w:tr>
        <w:tc>
          <w:tcPr>
            <w:tcW w:type="dxa" w:w="3168"/>
            <w:vAlign w:val="center"/>
            <w:shd w:fill="F7F9FB"/>
          </w:tcPr>
          <w:p>
            <w:pPr>
              <w:spacing w:after="0"/>
            </w:pPr>
            <w:r/>
            <w:r>
              <w:rPr>
                <w:rFonts w:ascii="Aptos" w:hAnsi="Aptos"/>
                <w:b w:val="0"/>
                <w:sz w:val="16"/>
              </w:rPr>
              <w:t>Legal, regulatory &amp; compliance</w:t>
            </w:r>
          </w:p>
        </w:tc>
        <w:tc>
          <w:tcPr>
            <w:tcW w:type="dxa" w:w="6912"/>
            <w:vAlign w:val="center"/>
            <w:shd w:fill="F7F9FB"/>
          </w:tcPr>
          <w:p>
            <w:pPr>
              <w:spacing w:after="0"/>
            </w:pPr>
            <w:r/>
            <w:r>
              <w:rPr>
                <w:rFonts w:ascii="Aptos" w:hAnsi="Aptos"/>
                <w:b w:val="0"/>
                <w:sz w:val="16"/>
              </w:rPr>
              <w:t>Potential breach of applicable duties, required approvals, recordkeeping and governance conditions. Legal stop-gates remain separate.</w:t>
            </w:r>
          </w:p>
        </w:tc>
      </w:tr>
    </w:tbl>
    <w:p>
      <w:pPr>
        <w:spacing w:after="20"/>
      </w:pPr>
    </w:p>
    <w:p>
      <w:pPr>
        <w:pStyle w:val="Heading1"/>
      </w:pPr>
      <w:r>
        <w:t>5. Impact scale</w:t>
      </w:r>
    </w:p>
    <w:p>
      <w:r>
        <w:t>Impact is the highest credible consequence for the scenario across relevant impact dimensions. Do not average dimensions. Evaluate credible scope, affected population, reversibility, duration and severity. Where uncertainty could materially change the rating, record the uncertainty and seek evidence rather than selecting a midpoint for convenience.</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584"/>
            <w:vAlign w:val="center"/>
            <w:shd w:fill="17365D"/>
          </w:tcPr>
          <w:p>
            <w:pPr>
              <w:spacing w:after="0"/>
            </w:pPr>
            <w:r/>
            <w:r>
              <w:rPr>
                <w:rFonts w:ascii="Aptos" w:hAnsi="Aptos"/>
                <w:b/>
                <w:color w:val="FFFFFF"/>
                <w:sz w:val="16"/>
              </w:rPr>
              <w:t>Level</w:t>
            </w:r>
          </w:p>
        </w:tc>
        <w:tc>
          <w:tcPr>
            <w:tcW w:type="dxa" w:w="4608"/>
            <w:vAlign w:val="center"/>
            <w:shd w:fill="17365D"/>
          </w:tcPr>
          <w:p>
            <w:pPr>
              <w:spacing w:after="0"/>
            </w:pPr>
            <w:r/>
            <w:r>
              <w:rPr>
                <w:rFonts w:ascii="Aptos" w:hAnsi="Aptos"/>
                <w:b/>
                <w:color w:val="FFFFFF"/>
                <w:sz w:val="16"/>
              </w:rPr>
              <w:t>Anchor</w:t>
            </w:r>
          </w:p>
        </w:tc>
        <w:tc>
          <w:tcPr>
            <w:tcW w:type="dxa" w:w="4752"/>
            <w:vAlign w:val="center"/>
            <w:shd w:fill="17365D"/>
          </w:tcPr>
          <w:p>
            <w:pPr>
              <w:spacing w:after="0"/>
            </w:pPr>
            <w:r/>
            <w:r>
              <w:rPr>
                <w:rFonts w:ascii="Aptos" w:hAnsi="Aptos"/>
                <w:b/>
                <w:color w:val="FFFFFF"/>
                <w:sz w:val="16"/>
              </w:rPr>
              <w:t>Typical decision cues</w:t>
            </w:r>
          </w:p>
        </w:tc>
      </w:tr>
      <w:tr>
        <w:tc>
          <w:tcPr>
            <w:tcW w:type="dxa" w:w="1584"/>
            <w:vAlign w:val="center"/>
          </w:tcPr>
          <w:p>
            <w:pPr>
              <w:spacing w:after="0"/>
            </w:pPr>
            <w:r/>
            <w:r>
              <w:rPr>
                <w:rFonts w:ascii="Aptos" w:hAnsi="Aptos"/>
                <w:b w:val="0"/>
                <w:sz w:val="16"/>
              </w:rPr>
              <w:t>1 - Negligible</w:t>
            </w:r>
          </w:p>
        </w:tc>
        <w:tc>
          <w:tcPr>
            <w:tcW w:type="dxa" w:w="4608"/>
            <w:vAlign w:val="center"/>
          </w:tcPr>
          <w:p>
            <w:pPr>
              <w:spacing w:after="0"/>
            </w:pPr>
            <w:r/>
            <w:r>
              <w:rPr>
                <w:rFonts w:ascii="Aptos" w:hAnsi="Aptos"/>
                <w:b w:val="0"/>
                <w:sz w:val="16"/>
              </w:rPr>
              <w:t>Minimal, readily reversible effect; no material rights, safety, privacy, security or business impact.</w:t>
            </w:r>
          </w:p>
        </w:tc>
        <w:tc>
          <w:tcPr>
            <w:tcW w:type="dxa" w:w="4752"/>
            <w:vAlign w:val="center"/>
          </w:tcPr>
          <w:p>
            <w:pPr>
              <w:spacing w:after="0"/>
            </w:pPr>
            <w:r/>
            <w:r>
              <w:rPr>
                <w:rFonts w:ascii="Aptos" w:hAnsi="Aptos"/>
                <w:b w:val="0"/>
                <w:sz w:val="16"/>
              </w:rPr>
              <w:t>Minor rework or inconvenience; no sensitive data; no consequential decision.</w:t>
            </w:r>
          </w:p>
        </w:tc>
      </w:tr>
      <w:tr>
        <w:tc>
          <w:tcPr>
            <w:tcW w:type="dxa" w:w="1584"/>
            <w:vAlign w:val="center"/>
            <w:shd w:fill="F7F9FB"/>
          </w:tcPr>
          <w:p>
            <w:pPr>
              <w:spacing w:after="0"/>
            </w:pPr>
            <w:r/>
            <w:r>
              <w:rPr>
                <w:rFonts w:ascii="Aptos" w:hAnsi="Aptos"/>
                <w:b w:val="0"/>
                <w:sz w:val="16"/>
              </w:rPr>
              <w:t>2 - Minor</w:t>
            </w:r>
          </w:p>
        </w:tc>
        <w:tc>
          <w:tcPr>
            <w:tcW w:type="dxa" w:w="4608"/>
            <w:vAlign w:val="center"/>
            <w:shd w:fill="F7F9FB"/>
          </w:tcPr>
          <w:p>
            <w:pPr>
              <w:spacing w:after="0"/>
            </w:pPr>
            <w:r/>
            <w:r>
              <w:rPr>
                <w:rFonts w:ascii="Aptos" w:hAnsi="Aptos"/>
                <w:b w:val="0"/>
                <w:sz w:val="16"/>
              </w:rPr>
              <w:t>Limited/localized effect; straightforward remediation; low sensitivity and small affected scope.</w:t>
            </w:r>
          </w:p>
        </w:tc>
        <w:tc>
          <w:tcPr>
            <w:tcW w:type="dxa" w:w="4752"/>
            <w:vAlign w:val="center"/>
            <w:shd w:fill="F7F9FB"/>
          </w:tcPr>
          <w:p>
            <w:pPr>
              <w:spacing w:after="0"/>
            </w:pPr>
            <w:r/>
            <w:r>
              <w:rPr>
                <w:rFonts w:ascii="Aptos" w:hAnsi="Aptos"/>
                <w:b w:val="0"/>
                <w:sz w:val="16"/>
              </w:rPr>
              <w:t>Small process delay; isolated low-impact output error; contained internal issue.</w:t>
            </w:r>
          </w:p>
        </w:tc>
      </w:tr>
      <w:tr>
        <w:tc>
          <w:tcPr>
            <w:tcW w:type="dxa" w:w="1584"/>
            <w:vAlign w:val="center"/>
          </w:tcPr>
          <w:p>
            <w:pPr>
              <w:spacing w:after="0"/>
            </w:pPr>
            <w:r/>
            <w:r>
              <w:rPr>
                <w:rFonts w:ascii="Aptos" w:hAnsi="Aptos"/>
                <w:b w:val="0"/>
                <w:sz w:val="16"/>
              </w:rPr>
              <w:t>3 - Moderate</w:t>
            </w:r>
          </w:p>
        </w:tc>
        <w:tc>
          <w:tcPr>
            <w:tcW w:type="dxa" w:w="4608"/>
            <w:vAlign w:val="center"/>
          </w:tcPr>
          <w:p>
            <w:pPr>
              <w:spacing w:after="0"/>
            </w:pPr>
            <w:r/>
            <w:r>
              <w:rPr>
                <w:rFonts w:ascii="Aptos" w:hAnsi="Aptos"/>
                <w:b w:val="0"/>
                <w:sz w:val="16"/>
              </w:rPr>
              <w:t>Meaningful impact on individuals or operations; recoverable with management action.</w:t>
            </w:r>
          </w:p>
        </w:tc>
        <w:tc>
          <w:tcPr>
            <w:tcW w:type="dxa" w:w="4752"/>
            <w:vAlign w:val="center"/>
          </w:tcPr>
          <w:p>
            <w:pPr>
              <w:spacing w:after="0"/>
            </w:pPr>
            <w:r/>
            <w:r>
              <w:rPr>
                <w:rFonts w:ascii="Aptos" w:hAnsi="Aptos"/>
                <w:b w:val="0"/>
                <w:sz w:val="16"/>
              </w:rPr>
              <w:t>Material planning error; limited confidentiality incident; repeated customer inconvenience; localized unfair outcome.</w:t>
            </w:r>
          </w:p>
        </w:tc>
      </w:tr>
      <w:tr>
        <w:tc>
          <w:tcPr>
            <w:tcW w:type="dxa" w:w="1584"/>
            <w:vAlign w:val="center"/>
            <w:shd w:fill="F7F9FB"/>
          </w:tcPr>
          <w:p>
            <w:pPr>
              <w:spacing w:after="0"/>
            </w:pPr>
            <w:r/>
            <w:r>
              <w:rPr>
                <w:rFonts w:ascii="Aptos" w:hAnsi="Aptos"/>
                <w:b w:val="0"/>
                <w:sz w:val="16"/>
              </w:rPr>
              <w:t>4 - Major</w:t>
            </w:r>
          </w:p>
        </w:tc>
        <w:tc>
          <w:tcPr>
            <w:tcW w:type="dxa" w:w="4608"/>
            <w:vAlign w:val="center"/>
            <w:shd w:fill="F7F9FB"/>
          </w:tcPr>
          <w:p>
            <w:pPr>
              <w:spacing w:after="0"/>
            </w:pPr>
            <w:r/>
            <w:r>
              <w:rPr>
                <w:rFonts w:ascii="Aptos" w:hAnsi="Aptos"/>
                <w:b w:val="0"/>
                <w:sz w:val="16"/>
              </w:rPr>
              <w:t>Significant rights, privacy, security, product-quality, financial, operational or reputational impact requiring substantial remediation.</w:t>
            </w:r>
          </w:p>
        </w:tc>
        <w:tc>
          <w:tcPr>
            <w:tcW w:type="dxa" w:w="4752"/>
            <w:vAlign w:val="center"/>
            <w:shd w:fill="F7F9FB"/>
          </w:tcPr>
          <w:p>
            <w:pPr>
              <w:spacing w:after="0"/>
            </w:pPr>
            <w:r/>
            <w:r>
              <w:rPr>
                <w:rFonts w:ascii="Aptos" w:hAnsi="Aptos"/>
                <w:b w:val="0"/>
                <w:sz w:val="16"/>
              </w:rPr>
              <w:t>Sensitive-data exposure; serious process discrimination; material defect escape; repeated harmful advice; major outage or supplier disruption.</w:t>
            </w:r>
          </w:p>
        </w:tc>
      </w:tr>
      <w:tr>
        <w:tc>
          <w:tcPr>
            <w:tcW w:type="dxa" w:w="1584"/>
            <w:vAlign w:val="center"/>
          </w:tcPr>
          <w:p>
            <w:pPr>
              <w:spacing w:after="0"/>
            </w:pPr>
            <w:r/>
            <w:r>
              <w:rPr>
                <w:rFonts w:ascii="Aptos" w:hAnsi="Aptos"/>
                <w:b w:val="0"/>
                <w:sz w:val="16"/>
              </w:rPr>
              <w:t>5 - Severe</w:t>
            </w:r>
          </w:p>
        </w:tc>
        <w:tc>
          <w:tcPr>
            <w:tcW w:type="dxa" w:w="4608"/>
            <w:vAlign w:val="center"/>
          </w:tcPr>
          <w:p>
            <w:pPr>
              <w:spacing w:after="0"/>
            </w:pPr>
            <w:r/>
            <w:r>
              <w:rPr>
                <w:rFonts w:ascii="Aptos" w:hAnsi="Aptos"/>
                <w:b w:val="0"/>
                <w:sz w:val="16"/>
              </w:rPr>
              <w:t>Potential serious physical harm, systemic fundamental-rights harm, major restricted-data/IP breach, or broad/long-lasting/irreversible impact.</w:t>
            </w:r>
          </w:p>
        </w:tc>
        <w:tc>
          <w:tcPr>
            <w:tcW w:type="dxa" w:w="4752"/>
            <w:vAlign w:val="center"/>
          </w:tcPr>
          <w:p>
            <w:pPr>
              <w:spacing w:after="0"/>
            </w:pPr>
            <w:r/>
            <w:r>
              <w:rPr>
                <w:rFonts w:ascii="Aptos" w:hAnsi="Aptos"/>
                <w:b w:val="0"/>
                <w:sz w:val="16"/>
              </w:rPr>
              <w:t>Unsafe product outcome; systemic employment discrimination; major confidential design leakage; widespread loss of control over consequential decisions.</w:t>
            </w:r>
          </w:p>
        </w:tc>
      </w:tr>
    </w:tbl>
    <w:p>
      <w:pPr>
        <w:spacing w:after="20"/>
      </w:pPr>
    </w:p>
    <w:tbl>
      <w:tblPr>
        <w:tblStyle w:val="TableGrid"/>
        <w:tblW w:type="auto" w:w="0"/>
        <w:jc w:val="center"/>
        <w:tblLook w:firstColumn="1" w:firstRow="1" w:lastColumn="0" w:lastRow="0" w:noHBand="0" w:noVBand="1" w:val="04A0"/>
      </w:tblPr>
      <w:tblGrid>
        <w:gridCol w:w="9893"/>
      </w:tblGrid>
      <w:tr>
        <w:trPr>
          <w:tblHeader w:val="true"/>
        </w:trPr>
        <w:tc>
          <w:tcPr>
            <w:tcW w:type="dxa" w:w="9893"/>
            <w:shd w:fill="EAF0F4"/>
          </w:tcPr>
          <w:p>
            <w:r/>
            <w:r>
              <w:rPr>
                <w:b/>
                <w:color w:val="17365D"/>
                <w:sz w:val="19"/>
              </w:rPr>
              <w:t xml:space="preserve">Impact override.  </w:t>
            </w:r>
            <w:r>
              <w:rPr>
                <w:sz w:val="18"/>
              </w:rPr>
              <w:t>Any residual scenario rated Impact 5 receives mandatory AI Governance Committee escalation regardless of the matrix band. Potential unlawfulness, serious safety exposure or systemic rights harm also triggers specialist escalation outside the matrix.</w:t>
            </w:r>
          </w:p>
        </w:tc>
      </w:tr>
    </w:tbl>
    <w:p>
      <w:pPr>
        <w:spacing w:after="20"/>
      </w:pPr>
    </w:p>
    <w:p>
      <w:pPr>
        <w:pStyle w:val="Heading1"/>
      </w:pPr>
      <w:r>
        <w:t>6. Likelihood scale</w:t>
      </w:r>
    </w:p>
    <w:p>
      <w:r>
        <w:t>Likelihood is an ordinal judgment for the defined assessment horizon. The assessor records the horizon and basis. Consider exposure frequency, user behavior, attackability, historical events/near misses, model failure evidence, data quality, change velocity, third-party uncertainty and dependence on human review. Inherent likelihood removes credit for Duckworks-specific mitigations but retains the system’s intended purpose and fundamental architecture.</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728"/>
            <w:vAlign w:val="center"/>
            <w:shd w:fill="17365D"/>
          </w:tcPr>
          <w:p>
            <w:pPr>
              <w:spacing w:after="0"/>
            </w:pPr>
            <w:r/>
            <w:r>
              <w:rPr>
                <w:rFonts w:ascii="Aptos" w:hAnsi="Aptos"/>
                <w:b/>
                <w:color w:val="FFFFFF"/>
                <w:sz w:val="16"/>
              </w:rPr>
              <w:t>Level</w:t>
            </w:r>
          </w:p>
        </w:tc>
        <w:tc>
          <w:tcPr>
            <w:tcW w:type="dxa" w:w="4608"/>
            <w:vAlign w:val="center"/>
            <w:shd w:fill="17365D"/>
          </w:tcPr>
          <w:p>
            <w:pPr>
              <w:spacing w:after="0"/>
            </w:pPr>
            <w:r/>
            <w:r>
              <w:rPr>
                <w:rFonts w:ascii="Aptos" w:hAnsi="Aptos"/>
                <w:b/>
                <w:color w:val="FFFFFF"/>
                <w:sz w:val="16"/>
              </w:rPr>
              <w:t>Anchor</w:t>
            </w:r>
          </w:p>
        </w:tc>
        <w:tc>
          <w:tcPr>
            <w:tcW w:type="dxa" w:w="4608"/>
            <w:vAlign w:val="center"/>
            <w:shd w:fill="17365D"/>
          </w:tcPr>
          <w:p>
            <w:pPr>
              <w:spacing w:after="0"/>
            </w:pPr>
            <w:r/>
            <w:r>
              <w:rPr>
                <w:rFonts w:ascii="Aptos" w:hAnsi="Aptos"/>
                <w:b/>
                <w:color w:val="FFFFFF"/>
                <w:sz w:val="16"/>
              </w:rPr>
              <w:t>Evidence cues</w:t>
            </w:r>
          </w:p>
        </w:tc>
      </w:tr>
      <w:tr>
        <w:tc>
          <w:tcPr>
            <w:tcW w:type="dxa" w:w="1728"/>
            <w:vAlign w:val="center"/>
          </w:tcPr>
          <w:p>
            <w:pPr>
              <w:spacing w:after="0"/>
            </w:pPr>
            <w:r/>
            <w:r>
              <w:rPr>
                <w:rFonts w:ascii="Aptos" w:hAnsi="Aptos"/>
                <w:b w:val="0"/>
                <w:sz w:val="16"/>
              </w:rPr>
              <w:t>1 - Rare</w:t>
            </w:r>
          </w:p>
        </w:tc>
        <w:tc>
          <w:tcPr>
            <w:tcW w:type="dxa" w:w="4608"/>
            <w:vAlign w:val="center"/>
          </w:tcPr>
          <w:p>
            <w:pPr>
              <w:spacing w:after="0"/>
            </w:pPr>
            <w:r/>
            <w:r>
              <w:rPr>
                <w:rFonts w:ascii="Aptos" w:hAnsi="Aptos"/>
                <w:b w:val="0"/>
                <w:sz w:val="16"/>
              </w:rPr>
              <w:t>Requires an exceptional combination of conditions; occurrence is credible but not expected in the assessment horizon.</w:t>
            </w:r>
          </w:p>
        </w:tc>
        <w:tc>
          <w:tcPr>
            <w:tcW w:type="dxa" w:w="4608"/>
            <w:vAlign w:val="center"/>
          </w:tcPr>
          <w:p>
            <w:pPr>
              <w:spacing w:after="0"/>
            </w:pPr>
            <w:r/>
            <w:r>
              <w:rPr>
                <w:rFonts w:ascii="Aptos" w:hAnsi="Aptos"/>
                <w:b w:val="0"/>
                <w:sz w:val="16"/>
              </w:rPr>
              <w:t>Very limited exposure or intrinsic barriers; no meaningful recurrence evidence.</w:t>
            </w:r>
          </w:p>
        </w:tc>
      </w:tr>
      <w:tr>
        <w:tc>
          <w:tcPr>
            <w:tcW w:type="dxa" w:w="1728"/>
            <w:vAlign w:val="center"/>
            <w:shd w:fill="F7F9FB"/>
          </w:tcPr>
          <w:p>
            <w:pPr>
              <w:spacing w:after="0"/>
            </w:pPr>
            <w:r/>
            <w:r>
              <w:rPr>
                <w:rFonts w:ascii="Aptos" w:hAnsi="Aptos"/>
                <w:b w:val="0"/>
                <w:sz w:val="16"/>
              </w:rPr>
              <w:t>2 - Unlikely</w:t>
            </w:r>
          </w:p>
        </w:tc>
        <w:tc>
          <w:tcPr>
            <w:tcW w:type="dxa" w:w="4608"/>
            <w:vAlign w:val="center"/>
            <w:shd w:fill="F7F9FB"/>
          </w:tcPr>
          <w:p>
            <w:pPr>
              <w:spacing w:after="0"/>
            </w:pPr>
            <w:r/>
            <w:r>
              <w:rPr>
                <w:rFonts w:ascii="Aptos" w:hAnsi="Aptos"/>
                <w:b w:val="0"/>
                <w:sz w:val="16"/>
              </w:rPr>
              <w:t>Credible but uncommon in normal or reasonably foreseeable use.</w:t>
            </w:r>
          </w:p>
        </w:tc>
        <w:tc>
          <w:tcPr>
            <w:tcW w:type="dxa" w:w="4608"/>
            <w:vAlign w:val="center"/>
            <w:shd w:fill="F7F9FB"/>
          </w:tcPr>
          <w:p>
            <w:pPr>
              <w:spacing w:after="0"/>
            </w:pPr>
            <w:r/>
            <w:r>
              <w:rPr>
                <w:rFonts w:ascii="Aptos" w:hAnsi="Aptos"/>
                <w:b w:val="0"/>
                <w:sz w:val="16"/>
              </w:rPr>
              <w:t>Limited exposure; difficult-to-trigger failure; weak history of occurrence.</w:t>
            </w:r>
          </w:p>
        </w:tc>
      </w:tr>
      <w:tr>
        <w:tc>
          <w:tcPr>
            <w:tcW w:type="dxa" w:w="1728"/>
            <w:vAlign w:val="center"/>
          </w:tcPr>
          <w:p>
            <w:pPr>
              <w:spacing w:after="0"/>
            </w:pPr>
            <w:r/>
            <w:r>
              <w:rPr>
                <w:rFonts w:ascii="Aptos" w:hAnsi="Aptos"/>
                <w:b w:val="0"/>
                <w:sz w:val="16"/>
              </w:rPr>
              <w:t>3 - Possible</w:t>
            </w:r>
          </w:p>
        </w:tc>
        <w:tc>
          <w:tcPr>
            <w:tcW w:type="dxa" w:w="4608"/>
            <w:vAlign w:val="center"/>
          </w:tcPr>
          <w:p>
            <w:pPr>
              <w:spacing w:after="0"/>
            </w:pPr>
            <w:r/>
            <w:r>
              <w:rPr>
                <w:rFonts w:ascii="Aptos" w:hAnsi="Aptos"/>
                <w:b w:val="0"/>
                <w:sz w:val="16"/>
              </w:rPr>
              <w:t>Foreseeable under ordinary or reasonably foreseeable use.</w:t>
            </w:r>
          </w:p>
        </w:tc>
        <w:tc>
          <w:tcPr>
            <w:tcW w:type="dxa" w:w="4608"/>
            <w:vAlign w:val="center"/>
          </w:tcPr>
          <w:p>
            <w:pPr>
              <w:spacing w:after="0"/>
            </w:pPr>
            <w:r/>
            <w:r>
              <w:rPr>
                <w:rFonts w:ascii="Aptos" w:hAnsi="Aptos"/>
                <w:b w:val="0"/>
                <w:sz w:val="16"/>
              </w:rPr>
              <w:t>Known failure mode can occur under realistic conditions; mixed evidence.</w:t>
            </w:r>
          </w:p>
        </w:tc>
      </w:tr>
      <w:tr>
        <w:tc>
          <w:tcPr>
            <w:tcW w:type="dxa" w:w="1728"/>
            <w:vAlign w:val="center"/>
            <w:shd w:fill="F7F9FB"/>
          </w:tcPr>
          <w:p>
            <w:pPr>
              <w:spacing w:after="0"/>
            </w:pPr>
            <w:r/>
            <w:r>
              <w:rPr>
                <w:rFonts w:ascii="Aptos" w:hAnsi="Aptos"/>
                <w:b w:val="0"/>
                <w:sz w:val="16"/>
              </w:rPr>
              <w:t>4 - Likely</w:t>
            </w:r>
          </w:p>
        </w:tc>
        <w:tc>
          <w:tcPr>
            <w:tcW w:type="dxa" w:w="4608"/>
            <w:vAlign w:val="center"/>
            <w:shd w:fill="F7F9FB"/>
          </w:tcPr>
          <w:p>
            <w:pPr>
              <w:spacing w:after="0"/>
            </w:pPr>
            <w:r/>
            <w:r>
              <w:rPr>
                <w:rFonts w:ascii="Aptos" w:hAnsi="Aptos"/>
                <w:b w:val="0"/>
                <w:sz w:val="16"/>
              </w:rPr>
              <w:t>Expected to occur repeatedly without effective controls.</w:t>
            </w:r>
          </w:p>
        </w:tc>
        <w:tc>
          <w:tcPr>
            <w:tcW w:type="dxa" w:w="4608"/>
            <w:vAlign w:val="center"/>
            <w:shd w:fill="F7F9FB"/>
          </w:tcPr>
          <w:p>
            <w:pPr>
              <w:spacing w:after="0"/>
            </w:pPr>
            <w:r/>
            <w:r>
              <w:rPr>
                <w:rFonts w:ascii="Aptos" w:hAnsi="Aptos"/>
                <w:b w:val="0"/>
                <w:sz w:val="16"/>
              </w:rPr>
              <w:t>Frequent exposure, attractive attack path, unstable behavior or recurring error pattern.</w:t>
            </w:r>
          </w:p>
        </w:tc>
      </w:tr>
      <w:tr>
        <w:tc>
          <w:tcPr>
            <w:tcW w:type="dxa" w:w="1728"/>
            <w:vAlign w:val="center"/>
          </w:tcPr>
          <w:p>
            <w:pPr>
              <w:spacing w:after="0"/>
            </w:pPr>
            <w:r/>
            <w:r>
              <w:rPr>
                <w:rFonts w:ascii="Aptos" w:hAnsi="Aptos"/>
                <w:b w:val="0"/>
                <w:sz w:val="16"/>
              </w:rPr>
              <w:t>5 - Almost Certain</w:t>
            </w:r>
          </w:p>
        </w:tc>
        <w:tc>
          <w:tcPr>
            <w:tcW w:type="dxa" w:w="4608"/>
            <w:vAlign w:val="center"/>
          </w:tcPr>
          <w:p>
            <w:pPr>
              <w:spacing w:after="0"/>
            </w:pPr>
            <w:r/>
            <w:r>
              <w:rPr>
                <w:rFonts w:ascii="Aptos" w:hAnsi="Aptos"/>
                <w:b w:val="0"/>
                <w:sz w:val="16"/>
              </w:rPr>
              <w:t>Persistent, observed, or structurally expected absent redesign or effective control.</w:t>
            </w:r>
          </w:p>
        </w:tc>
        <w:tc>
          <w:tcPr>
            <w:tcW w:type="dxa" w:w="4608"/>
            <w:vAlign w:val="center"/>
          </w:tcPr>
          <w:p>
            <w:pPr>
              <w:spacing w:after="0"/>
            </w:pPr>
            <w:r/>
            <w:r>
              <w:rPr>
                <w:rFonts w:ascii="Aptos" w:hAnsi="Aptos"/>
                <w:b w:val="0"/>
                <w:sz w:val="16"/>
              </w:rPr>
              <w:t>Condition already occurring, inherent recurring exposure, or failure mechanism is routinely encountered.</w:t>
            </w:r>
          </w:p>
        </w:tc>
      </w:tr>
    </w:tbl>
    <w:p>
      <w:pPr>
        <w:spacing w:after="20"/>
      </w:pPr>
    </w:p>
    <w:p>
      <w:pPr>
        <w:sectPr>
          <w:headerReference w:type="default" r:id="rId9"/>
          <w:footerReference w:type="default" r:id="rId10"/>
          <w:pgSz w:w="11909" w:h="16834"/>
          <w:pgMar w:top="936" w:right="1008" w:bottom="936" w:left="1008" w:header="720" w:footer="720" w:gutter="0"/>
          <w:cols w:space="720"/>
          <w:docGrid w:linePitch="360"/>
        </w:sectPr>
      </w:pPr>
    </w:p>
    <w:p>
      <w:pPr>
        <w:pStyle w:val="Heading1"/>
      </w:pPr>
      <w:r>
        <w:t>7. 5x5 risk matrix and rating logic</w:t>
      </w:r>
    </w:p>
    <w:p>
      <w:r>
        <w:t>Use the impact and likelihood values as matrix coordinates. The matrix band is the governance rating. An optional product (I x L) may be stored only as a sorting aid; it is not the authoritative risk measure and must not be used to override the band, impact override or legal gate.</w:t>
      </w:r>
    </w:p>
    <w:tbl>
      <w:tblPr>
        <w:tblStyle w:val="TableGrid"/>
        <w:tblW w:type="auto" w:w="0"/>
        <w:jc w:val="center"/>
        <w:tblLook w:firstColumn="1" w:firstRow="1" w:lastColumn="0" w:lastRow="0" w:noHBand="0" w:noVBand="1" w:val="04A0"/>
      </w:tblPr>
      <w:tblGrid>
        <w:gridCol w:w="2542"/>
        <w:gridCol w:w="2542"/>
        <w:gridCol w:w="2542"/>
        <w:gridCol w:w="2542"/>
        <w:gridCol w:w="2542"/>
        <w:gridCol w:w="2542"/>
      </w:tblGrid>
      <w:tr>
        <w:trPr>
          <w:tblHeader w:val="true"/>
        </w:trPr>
        <w:tc>
          <w:tcPr>
            <w:tcW w:type="dxa" w:w="2304"/>
            <w:vAlign w:val="center"/>
            <w:shd w:fill="17365D"/>
          </w:tcPr>
          <w:p>
            <w:pPr>
              <w:spacing w:after="0"/>
            </w:pPr>
            <w:r/>
            <w:r>
              <w:rPr>
                <w:rFonts w:ascii="Aptos" w:hAnsi="Aptos"/>
                <w:b/>
                <w:color w:val="FFFFFF"/>
                <w:sz w:val="18"/>
              </w:rPr>
              <w:t>Impact \ Likelihood</w:t>
            </w:r>
          </w:p>
        </w:tc>
        <w:tc>
          <w:tcPr>
            <w:tcW w:type="dxa" w:w="2160"/>
            <w:vAlign w:val="center"/>
            <w:shd w:fill="17365D"/>
          </w:tcPr>
          <w:p>
            <w:pPr>
              <w:spacing w:after="0"/>
            </w:pPr>
            <w:r/>
            <w:r>
              <w:rPr>
                <w:rFonts w:ascii="Aptos" w:hAnsi="Aptos"/>
                <w:b/>
                <w:color w:val="FFFFFF"/>
                <w:sz w:val="18"/>
              </w:rPr>
              <w:t>1 Rare</w:t>
            </w:r>
          </w:p>
        </w:tc>
        <w:tc>
          <w:tcPr>
            <w:tcW w:type="dxa" w:w="2160"/>
            <w:vAlign w:val="center"/>
            <w:shd w:fill="17365D"/>
          </w:tcPr>
          <w:p>
            <w:pPr>
              <w:spacing w:after="0"/>
            </w:pPr>
            <w:r/>
            <w:r>
              <w:rPr>
                <w:rFonts w:ascii="Aptos" w:hAnsi="Aptos"/>
                <w:b/>
                <w:color w:val="FFFFFF"/>
                <w:sz w:val="18"/>
              </w:rPr>
              <w:t>2 Unlikely</w:t>
            </w:r>
          </w:p>
        </w:tc>
        <w:tc>
          <w:tcPr>
            <w:tcW w:type="dxa" w:w="2160"/>
            <w:vAlign w:val="center"/>
            <w:shd w:fill="17365D"/>
          </w:tcPr>
          <w:p>
            <w:pPr>
              <w:spacing w:after="0"/>
            </w:pPr>
            <w:r/>
            <w:r>
              <w:rPr>
                <w:rFonts w:ascii="Aptos" w:hAnsi="Aptos"/>
                <w:b/>
                <w:color w:val="FFFFFF"/>
                <w:sz w:val="18"/>
              </w:rPr>
              <w:t>3 Possible</w:t>
            </w:r>
          </w:p>
        </w:tc>
        <w:tc>
          <w:tcPr>
            <w:tcW w:type="dxa" w:w="2160"/>
            <w:vAlign w:val="center"/>
            <w:shd w:fill="17365D"/>
          </w:tcPr>
          <w:p>
            <w:pPr>
              <w:spacing w:after="0"/>
            </w:pPr>
            <w:r/>
            <w:r>
              <w:rPr>
                <w:rFonts w:ascii="Aptos" w:hAnsi="Aptos"/>
                <w:b/>
                <w:color w:val="FFFFFF"/>
                <w:sz w:val="18"/>
              </w:rPr>
              <w:t>4 Likely</w:t>
            </w:r>
          </w:p>
        </w:tc>
        <w:tc>
          <w:tcPr>
            <w:tcW w:type="dxa" w:w="2448"/>
            <w:vAlign w:val="center"/>
            <w:shd w:fill="17365D"/>
          </w:tcPr>
          <w:p>
            <w:pPr>
              <w:spacing w:after="0"/>
            </w:pPr>
            <w:r/>
            <w:r>
              <w:rPr>
                <w:rFonts w:ascii="Aptos" w:hAnsi="Aptos"/>
                <w:b/>
                <w:color w:val="FFFFFF"/>
                <w:sz w:val="18"/>
              </w:rPr>
              <w:t>5 Almost Certain</w:t>
            </w:r>
          </w:p>
        </w:tc>
      </w:tr>
      <w:tr>
        <w:tc>
          <w:tcPr>
            <w:tcW w:type="dxa" w:w="2304"/>
            <w:vAlign w:val="center"/>
          </w:tcPr>
          <w:p>
            <w:pPr>
              <w:spacing w:after="0"/>
            </w:pPr>
            <w:r/>
            <w:r>
              <w:rPr>
                <w:rFonts w:ascii="Aptos" w:hAnsi="Aptos"/>
                <w:b w:val="0"/>
                <w:sz w:val="18"/>
              </w:rPr>
              <w:t>1 Negligible</w:t>
            </w:r>
          </w:p>
        </w:tc>
        <w:tc>
          <w:tcPr>
            <w:tcW w:type="dxa" w:w="2160"/>
            <w:vAlign w:val="center"/>
            <w:shd w:fill="E2F0D9"/>
          </w:tcPr>
          <w:p>
            <w:pPr>
              <w:spacing w:after="0"/>
            </w:pPr>
            <w:r>
              <w:rPr>
                <w:b/>
              </w:rPr>
            </w:r>
            <w:r>
              <w:rPr>
                <w:rFonts w:ascii="Aptos" w:hAnsi="Aptos"/>
                <w:b/>
                <w:sz w:val="18"/>
              </w:rPr>
              <w:t>Low</w:t>
            </w:r>
          </w:p>
        </w:tc>
        <w:tc>
          <w:tcPr>
            <w:tcW w:type="dxa" w:w="2160"/>
            <w:vAlign w:val="center"/>
            <w:shd w:fill="E2F0D9"/>
          </w:tcPr>
          <w:p>
            <w:pPr>
              <w:spacing w:after="0"/>
            </w:pPr>
            <w:r>
              <w:rPr>
                <w:b/>
              </w:rPr>
            </w:r>
            <w:r>
              <w:rPr>
                <w:rFonts w:ascii="Aptos" w:hAnsi="Aptos"/>
                <w:b/>
                <w:sz w:val="18"/>
              </w:rPr>
              <w:t>Low</w:t>
            </w:r>
          </w:p>
        </w:tc>
        <w:tc>
          <w:tcPr>
            <w:tcW w:type="dxa" w:w="2160"/>
            <w:vAlign w:val="center"/>
            <w:shd w:fill="E2F0D9"/>
          </w:tcPr>
          <w:p>
            <w:pPr>
              <w:spacing w:after="0"/>
            </w:pPr>
            <w:r>
              <w:rPr>
                <w:b/>
              </w:rPr>
            </w:r>
            <w:r>
              <w:rPr>
                <w:rFonts w:ascii="Aptos" w:hAnsi="Aptos"/>
                <w:b/>
                <w:sz w:val="18"/>
              </w:rPr>
              <w:t>Low</w:t>
            </w:r>
          </w:p>
        </w:tc>
        <w:tc>
          <w:tcPr>
            <w:tcW w:type="dxa" w:w="2160"/>
            <w:vAlign w:val="center"/>
            <w:shd w:fill="E2F0D9"/>
          </w:tcPr>
          <w:p>
            <w:pPr>
              <w:spacing w:after="0"/>
            </w:pPr>
            <w:r>
              <w:rPr>
                <w:b/>
              </w:rPr>
            </w:r>
            <w:r>
              <w:rPr>
                <w:rFonts w:ascii="Aptos" w:hAnsi="Aptos"/>
                <w:b/>
                <w:sz w:val="18"/>
              </w:rPr>
              <w:t>Low</w:t>
            </w:r>
          </w:p>
        </w:tc>
        <w:tc>
          <w:tcPr>
            <w:tcW w:type="dxa" w:w="2448"/>
            <w:vAlign w:val="center"/>
            <w:shd w:fill="FFF2CC"/>
          </w:tcPr>
          <w:p>
            <w:pPr>
              <w:spacing w:after="0"/>
            </w:pPr>
            <w:r>
              <w:rPr>
                <w:b/>
              </w:rPr>
            </w:r>
            <w:r>
              <w:rPr>
                <w:rFonts w:ascii="Aptos" w:hAnsi="Aptos"/>
                <w:b/>
                <w:sz w:val="18"/>
              </w:rPr>
              <w:t>Moderate</w:t>
            </w:r>
          </w:p>
        </w:tc>
      </w:tr>
      <w:tr>
        <w:tc>
          <w:tcPr>
            <w:tcW w:type="dxa" w:w="2304"/>
            <w:vAlign w:val="center"/>
            <w:shd w:fill="F7F9FB"/>
          </w:tcPr>
          <w:p>
            <w:pPr>
              <w:spacing w:after="0"/>
            </w:pPr>
            <w:r/>
            <w:r>
              <w:rPr>
                <w:rFonts w:ascii="Aptos" w:hAnsi="Aptos"/>
                <w:b w:val="0"/>
                <w:sz w:val="18"/>
              </w:rPr>
              <w:t>2 Minor</w:t>
            </w:r>
          </w:p>
        </w:tc>
        <w:tc>
          <w:tcPr>
            <w:tcW w:type="dxa" w:w="2160"/>
            <w:vAlign w:val="center"/>
            <w:shd w:fill="F7F9FB"/>
            <w:shd w:fill="E2F0D9"/>
          </w:tcPr>
          <w:p>
            <w:pPr>
              <w:spacing w:after="0"/>
            </w:pPr>
            <w:r>
              <w:rPr>
                <w:b/>
              </w:rPr>
            </w:r>
            <w:r>
              <w:rPr>
                <w:rFonts w:ascii="Aptos" w:hAnsi="Aptos"/>
                <w:b/>
                <w:sz w:val="18"/>
              </w:rPr>
              <w:t>Low</w:t>
            </w:r>
          </w:p>
        </w:tc>
        <w:tc>
          <w:tcPr>
            <w:tcW w:type="dxa" w:w="2160"/>
            <w:vAlign w:val="center"/>
            <w:shd w:fill="F7F9FB"/>
            <w:shd w:fill="E2F0D9"/>
          </w:tcPr>
          <w:p>
            <w:pPr>
              <w:spacing w:after="0"/>
            </w:pPr>
            <w:r>
              <w:rPr>
                <w:b/>
              </w:rPr>
            </w:r>
            <w:r>
              <w:rPr>
                <w:rFonts w:ascii="Aptos" w:hAnsi="Aptos"/>
                <w:b/>
                <w:sz w:val="18"/>
              </w:rPr>
              <w:t>Low</w:t>
            </w:r>
          </w:p>
        </w:tc>
        <w:tc>
          <w:tcPr>
            <w:tcW w:type="dxa" w:w="2160"/>
            <w:vAlign w:val="center"/>
            <w:shd w:fill="F7F9FB"/>
            <w:shd w:fill="FFF2CC"/>
          </w:tcPr>
          <w:p>
            <w:pPr>
              <w:spacing w:after="0"/>
            </w:pPr>
            <w:r>
              <w:rPr>
                <w:b/>
              </w:rPr>
            </w:r>
            <w:r>
              <w:rPr>
                <w:rFonts w:ascii="Aptos" w:hAnsi="Aptos"/>
                <w:b/>
                <w:sz w:val="18"/>
              </w:rPr>
              <w:t>Moderate</w:t>
            </w:r>
          </w:p>
        </w:tc>
        <w:tc>
          <w:tcPr>
            <w:tcW w:type="dxa" w:w="2160"/>
            <w:vAlign w:val="center"/>
            <w:shd w:fill="F7F9FB"/>
            <w:shd w:fill="FFF2CC"/>
          </w:tcPr>
          <w:p>
            <w:pPr>
              <w:spacing w:after="0"/>
            </w:pPr>
            <w:r>
              <w:rPr>
                <w:b/>
              </w:rPr>
            </w:r>
            <w:r>
              <w:rPr>
                <w:rFonts w:ascii="Aptos" w:hAnsi="Aptos"/>
                <w:b/>
                <w:sz w:val="18"/>
              </w:rPr>
              <w:t>Moderate</w:t>
            </w:r>
          </w:p>
        </w:tc>
        <w:tc>
          <w:tcPr>
            <w:tcW w:type="dxa" w:w="2448"/>
            <w:vAlign w:val="center"/>
            <w:shd w:fill="F7F9FB"/>
            <w:shd w:fill="FCE4D6"/>
          </w:tcPr>
          <w:p>
            <w:pPr>
              <w:spacing w:after="0"/>
            </w:pPr>
            <w:r>
              <w:rPr>
                <w:b/>
              </w:rPr>
            </w:r>
            <w:r>
              <w:rPr>
                <w:rFonts w:ascii="Aptos" w:hAnsi="Aptos"/>
                <w:b/>
                <w:sz w:val="18"/>
              </w:rPr>
              <w:t>High</w:t>
            </w:r>
          </w:p>
        </w:tc>
      </w:tr>
      <w:tr>
        <w:tc>
          <w:tcPr>
            <w:tcW w:type="dxa" w:w="2304"/>
            <w:vAlign w:val="center"/>
          </w:tcPr>
          <w:p>
            <w:pPr>
              <w:spacing w:after="0"/>
            </w:pPr>
            <w:r/>
            <w:r>
              <w:rPr>
                <w:rFonts w:ascii="Aptos" w:hAnsi="Aptos"/>
                <w:b w:val="0"/>
                <w:sz w:val="18"/>
              </w:rPr>
              <w:t>3 Moderate</w:t>
            </w:r>
          </w:p>
        </w:tc>
        <w:tc>
          <w:tcPr>
            <w:tcW w:type="dxa" w:w="2160"/>
            <w:vAlign w:val="center"/>
            <w:shd w:fill="E2F0D9"/>
          </w:tcPr>
          <w:p>
            <w:pPr>
              <w:spacing w:after="0"/>
            </w:pPr>
            <w:r>
              <w:rPr>
                <w:b/>
              </w:rPr>
            </w:r>
            <w:r>
              <w:rPr>
                <w:rFonts w:ascii="Aptos" w:hAnsi="Aptos"/>
                <w:b/>
                <w:sz w:val="18"/>
              </w:rPr>
              <w:t>Low</w:t>
            </w:r>
          </w:p>
        </w:tc>
        <w:tc>
          <w:tcPr>
            <w:tcW w:type="dxa" w:w="2160"/>
            <w:vAlign w:val="center"/>
            <w:shd w:fill="FFF2CC"/>
          </w:tcPr>
          <w:p>
            <w:pPr>
              <w:spacing w:after="0"/>
            </w:pPr>
            <w:r>
              <w:rPr>
                <w:b/>
              </w:rPr>
            </w:r>
            <w:r>
              <w:rPr>
                <w:rFonts w:ascii="Aptos" w:hAnsi="Aptos"/>
                <w:b/>
                <w:sz w:val="18"/>
              </w:rPr>
              <w:t>Moderate</w:t>
            </w:r>
          </w:p>
        </w:tc>
        <w:tc>
          <w:tcPr>
            <w:tcW w:type="dxa" w:w="2160"/>
            <w:vAlign w:val="center"/>
            <w:shd w:fill="FFF2CC"/>
          </w:tcPr>
          <w:p>
            <w:pPr>
              <w:spacing w:after="0"/>
            </w:pPr>
            <w:r>
              <w:rPr>
                <w:b/>
              </w:rPr>
            </w:r>
            <w:r>
              <w:rPr>
                <w:rFonts w:ascii="Aptos" w:hAnsi="Aptos"/>
                <w:b/>
                <w:sz w:val="18"/>
              </w:rPr>
              <w:t>Moderate</w:t>
            </w:r>
          </w:p>
        </w:tc>
        <w:tc>
          <w:tcPr>
            <w:tcW w:type="dxa" w:w="2160"/>
            <w:vAlign w:val="center"/>
            <w:shd w:fill="FCE4D6"/>
          </w:tcPr>
          <w:p>
            <w:pPr>
              <w:spacing w:after="0"/>
            </w:pPr>
            <w:r>
              <w:rPr>
                <w:b/>
              </w:rPr>
            </w:r>
            <w:r>
              <w:rPr>
                <w:rFonts w:ascii="Aptos" w:hAnsi="Aptos"/>
                <w:b/>
                <w:sz w:val="18"/>
              </w:rPr>
              <w:t>High</w:t>
            </w:r>
          </w:p>
        </w:tc>
        <w:tc>
          <w:tcPr>
            <w:tcW w:type="dxa" w:w="2448"/>
            <w:vAlign w:val="center"/>
            <w:shd w:fill="FCE4D6"/>
          </w:tcPr>
          <w:p>
            <w:pPr>
              <w:spacing w:after="0"/>
            </w:pPr>
            <w:r>
              <w:rPr>
                <w:b/>
              </w:rPr>
            </w:r>
            <w:r>
              <w:rPr>
                <w:rFonts w:ascii="Aptos" w:hAnsi="Aptos"/>
                <w:b/>
                <w:sz w:val="18"/>
              </w:rPr>
              <w:t>High</w:t>
            </w:r>
          </w:p>
        </w:tc>
      </w:tr>
      <w:tr>
        <w:tc>
          <w:tcPr>
            <w:tcW w:type="dxa" w:w="2304"/>
            <w:vAlign w:val="center"/>
            <w:shd w:fill="F7F9FB"/>
          </w:tcPr>
          <w:p>
            <w:pPr>
              <w:spacing w:after="0"/>
            </w:pPr>
            <w:r/>
            <w:r>
              <w:rPr>
                <w:rFonts w:ascii="Aptos" w:hAnsi="Aptos"/>
                <w:b w:val="0"/>
                <w:sz w:val="18"/>
              </w:rPr>
              <w:t>4 Major</w:t>
            </w:r>
          </w:p>
        </w:tc>
        <w:tc>
          <w:tcPr>
            <w:tcW w:type="dxa" w:w="2160"/>
            <w:vAlign w:val="center"/>
            <w:shd w:fill="F7F9FB"/>
            <w:shd w:fill="FFF2CC"/>
          </w:tcPr>
          <w:p>
            <w:pPr>
              <w:spacing w:after="0"/>
            </w:pPr>
            <w:r>
              <w:rPr>
                <w:b/>
              </w:rPr>
            </w:r>
            <w:r>
              <w:rPr>
                <w:rFonts w:ascii="Aptos" w:hAnsi="Aptos"/>
                <w:b/>
                <w:sz w:val="18"/>
              </w:rPr>
              <w:t>Moderate</w:t>
            </w:r>
          </w:p>
        </w:tc>
        <w:tc>
          <w:tcPr>
            <w:tcW w:type="dxa" w:w="2160"/>
            <w:vAlign w:val="center"/>
            <w:shd w:fill="F7F9FB"/>
            <w:shd w:fill="FFF2CC"/>
          </w:tcPr>
          <w:p>
            <w:pPr>
              <w:spacing w:after="0"/>
            </w:pPr>
            <w:r>
              <w:rPr>
                <w:b/>
              </w:rPr>
            </w:r>
            <w:r>
              <w:rPr>
                <w:rFonts w:ascii="Aptos" w:hAnsi="Aptos"/>
                <w:b/>
                <w:sz w:val="18"/>
              </w:rPr>
              <w:t>Moderate</w:t>
            </w:r>
          </w:p>
        </w:tc>
        <w:tc>
          <w:tcPr>
            <w:tcW w:type="dxa" w:w="2160"/>
            <w:vAlign w:val="center"/>
            <w:shd w:fill="F7F9FB"/>
            <w:shd w:fill="FCE4D6"/>
          </w:tcPr>
          <w:p>
            <w:pPr>
              <w:spacing w:after="0"/>
            </w:pPr>
            <w:r>
              <w:rPr>
                <w:b/>
              </w:rPr>
            </w:r>
            <w:r>
              <w:rPr>
                <w:rFonts w:ascii="Aptos" w:hAnsi="Aptos"/>
                <w:b/>
                <w:sz w:val="18"/>
              </w:rPr>
              <w:t>High</w:t>
            </w:r>
          </w:p>
        </w:tc>
        <w:tc>
          <w:tcPr>
            <w:tcW w:type="dxa" w:w="2160"/>
            <w:vAlign w:val="center"/>
            <w:shd w:fill="F7F9FB"/>
            <w:shd w:fill="FCE4D6"/>
          </w:tcPr>
          <w:p>
            <w:pPr>
              <w:spacing w:after="0"/>
            </w:pPr>
            <w:r>
              <w:rPr>
                <w:b/>
              </w:rPr>
            </w:r>
            <w:r>
              <w:rPr>
                <w:rFonts w:ascii="Aptos" w:hAnsi="Aptos"/>
                <w:b/>
                <w:sz w:val="18"/>
              </w:rPr>
              <w:t>High</w:t>
            </w:r>
          </w:p>
        </w:tc>
        <w:tc>
          <w:tcPr>
            <w:tcW w:type="dxa" w:w="2448"/>
            <w:vAlign w:val="center"/>
            <w:shd w:fill="F7F9FB"/>
            <w:shd w:fill="F4CCCC"/>
          </w:tcPr>
          <w:p>
            <w:pPr>
              <w:spacing w:after="0"/>
            </w:pPr>
            <w:r>
              <w:rPr>
                <w:b/>
              </w:rPr>
            </w:r>
            <w:r>
              <w:rPr>
                <w:rFonts w:ascii="Aptos" w:hAnsi="Aptos"/>
                <w:b/>
                <w:sz w:val="18"/>
              </w:rPr>
              <w:t>Critical</w:t>
            </w:r>
          </w:p>
        </w:tc>
      </w:tr>
      <w:tr>
        <w:tc>
          <w:tcPr>
            <w:tcW w:type="dxa" w:w="2304"/>
            <w:vAlign w:val="center"/>
          </w:tcPr>
          <w:p>
            <w:pPr>
              <w:spacing w:after="0"/>
            </w:pPr>
            <w:r/>
            <w:r>
              <w:rPr>
                <w:rFonts w:ascii="Aptos" w:hAnsi="Aptos"/>
                <w:b w:val="0"/>
                <w:sz w:val="18"/>
              </w:rPr>
              <w:t>5 Severe</w:t>
            </w:r>
          </w:p>
        </w:tc>
        <w:tc>
          <w:tcPr>
            <w:tcW w:type="dxa" w:w="2160"/>
            <w:vAlign w:val="center"/>
            <w:shd w:fill="FFF2CC"/>
          </w:tcPr>
          <w:p>
            <w:pPr>
              <w:spacing w:after="0"/>
            </w:pPr>
            <w:r>
              <w:rPr>
                <w:b/>
              </w:rPr>
            </w:r>
            <w:r>
              <w:rPr>
                <w:rFonts w:ascii="Aptos" w:hAnsi="Aptos"/>
                <w:b/>
                <w:sz w:val="18"/>
              </w:rPr>
              <w:t>Moderate</w:t>
            </w:r>
          </w:p>
        </w:tc>
        <w:tc>
          <w:tcPr>
            <w:tcW w:type="dxa" w:w="2160"/>
            <w:vAlign w:val="center"/>
            <w:shd w:fill="FCE4D6"/>
          </w:tcPr>
          <w:p>
            <w:pPr>
              <w:spacing w:after="0"/>
            </w:pPr>
            <w:r>
              <w:rPr>
                <w:b/>
              </w:rPr>
            </w:r>
            <w:r>
              <w:rPr>
                <w:rFonts w:ascii="Aptos" w:hAnsi="Aptos"/>
                <w:b/>
                <w:sz w:val="18"/>
              </w:rPr>
              <w:t>High</w:t>
            </w:r>
          </w:p>
        </w:tc>
        <w:tc>
          <w:tcPr>
            <w:tcW w:type="dxa" w:w="2160"/>
            <w:vAlign w:val="center"/>
            <w:shd w:fill="FCE4D6"/>
          </w:tcPr>
          <w:p>
            <w:pPr>
              <w:spacing w:after="0"/>
            </w:pPr>
            <w:r>
              <w:rPr>
                <w:b/>
              </w:rPr>
            </w:r>
            <w:r>
              <w:rPr>
                <w:rFonts w:ascii="Aptos" w:hAnsi="Aptos"/>
                <w:b/>
                <w:sz w:val="18"/>
              </w:rPr>
              <w:t>High</w:t>
            </w:r>
          </w:p>
        </w:tc>
        <w:tc>
          <w:tcPr>
            <w:tcW w:type="dxa" w:w="2160"/>
            <w:vAlign w:val="center"/>
            <w:shd w:fill="F4CCCC"/>
          </w:tcPr>
          <w:p>
            <w:pPr>
              <w:spacing w:after="0"/>
            </w:pPr>
            <w:r>
              <w:rPr>
                <w:b/>
              </w:rPr>
            </w:r>
            <w:r>
              <w:rPr>
                <w:rFonts w:ascii="Aptos" w:hAnsi="Aptos"/>
                <w:b/>
                <w:sz w:val="18"/>
              </w:rPr>
              <w:t>Critical</w:t>
            </w:r>
          </w:p>
        </w:tc>
        <w:tc>
          <w:tcPr>
            <w:tcW w:type="dxa" w:w="2448"/>
            <w:vAlign w:val="center"/>
            <w:shd w:fill="F4CCCC"/>
          </w:tcPr>
          <w:p>
            <w:pPr>
              <w:spacing w:after="0"/>
            </w:pPr>
            <w:r>
              <w:rPr>
                <w:b/>
              </w:rPr>
            </w:r>
            <w:r>
              <w:rPr>
                <w:rFonts w:ascii="Aptos" w:hAnsi="Aptos"/>
                <w:b/>
                <w:sz w:val="18"/>
              </w:rPr>
              <w:t>Critical</w:t>
            </w:r>
          </w:p>
        </w:tc>
      </w:tr>
    </w:tbl>
    <w:p>
      <w:pPr>
        <w:spacing w:after="20"/>
      </w:pP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016"/>
            <w:vAlign w:val="center"/>
            <w:shd w:fill="17365D"/>
          </w:tcPr>
          <w:p>
            <w:pPr>
              <w:spacing w:after="0"/>
            </w:pPr>
            <w:r/>
            <w:r>
              <w:rPr>
                <w:rFonts w:ascii="Aptos" w:hAnsi="Aptos"/>
                <w:b/>
                <w:color w:val="FFFFFF"/>
                <w:sz w:val="17"/>
              </w:rPr>
              <w:t>Rating</w:t>
            </w:r>
          </w:p>
        </w:tc>
        <w:tc>
          <w:tcPr>
            <w:tcW w:type="dxa" w:w="12672"/>
            <w:vAlign w:val="center"/>
            <w:shd w:fill="17365D"/>
          </w:tcPr>
          <w:p>
            <w:pPr>
              <w:spacing w:after="0"/>
            </w:pPr>
            <w:r/>
            <w:r>
              <w:rPr>
                <w:rFonts w:ascii="Aptos" w:hAnsi="Aptos"/>
                <w:b/>
                <w:color w:val="FFFFFF"/>
                <w:sz w:val="17"/>
              </w:rPr>
              <w:t>Governance meaning</w:t>
            </w:r>
          </w:p>
        </w:tc>
      </w:tr>
      <w:tr>
        <w:tc>
          <w:tcPr>
            <w:tcW w:type="dxa" w:w="2016"/>
            <w:vAlign w:val="center"/>
          </w:tcPr>
          <w:p>
            <w:pPr>
              <w:spacing w:after="0"/>
            </w:pPr>
            <w:r/>
            <w:r>
              <w:rPr>
                <w:rFonts w:ascii="Aptos" w:hAnsi="Aptos"/>
                <w:b w:val="0"/>
                <w:sz w:val="17"/>
              </w:rPr>
              <w:t>Low</w:t>
            </w:r>
          </w:p>
        </w:tc>
        <w:tc>
          <w:tcPr>
            <w:tcW w:type="dxa" w:w="12672"/>
            <w:vAlign w:val="center"/>
          </w:tcPr>
          <w:p>
            <w:pPr>
              <w:spacing w:after="0"/>
            </w:pPr>
            <w:r/>
            <w:r>
              <w:rPr>
                <w:rFonts w:ascii="Aptos" w:hAnsi="Aptos"/>
                <w:b w:val="0"/>
                <w:sz w:val="17"/>
              </w:rPr>
              <w:t>Within routine delegated risk appetite if no legal/specialist stop condition exists.</w:t>
            </w:r>
          </w:p>
        </w:tc>
      </w:tr>
      <w:tr>
        <w:tc>
          <w:tcPr>
            <w:tcW w:type="dxa" w:w="2016"/>
            <w:vAlign w:val="center"/>
            <w:shd w:fill="F7F9FB"/>
          </w:tcPr>
          <w:p>
            <w:pPr>
              <w:spacing w:after="0"/>
            </w:pPr>
            <w:r/>
            <w:r>
              <w:rPr>
                <w:rFonts w:ascii="Aptos" w:hAnsi="Aptos"/>
                <w:b w:val="0"/>
                <w:sz w:val="17"/>
              </w:rPr>
              <w:t>Moderate</w:t>
            </w:r>
          </w:p>
        </w:tc>
        <w:tc>
          <w:tcPr>
            <w:tcW w:type="dxa" w:w="12672"/>
            <w:vAlign w:val="center"/>
            <w:shd w:fill="F7F9FB"/>
          </w:tcPr>
          <w:p>
            <w:pPr>
              <w:spacing w:after="0"/>
            </w:pPr>
            <w:r/>
            <w:r>
              <w:rPr>
                <w:rFonts w:ascii="Aptos" w:hAnsi="Aptos"/>
                <w:b w:val="0"/>
                <w:sz w:val="17"/>
              </w:rPr>
              <w:t>Requires documented controls, monitoring and second-line visibility; owner acceptance within delegated authority only.</w:t>
            </w:r>
          </w:p>
        </w:tc>
      </w:tr>
      <w:tr>
        <w:tc>
          <w:tcPr>
            <w:tcW w:type="dxa" w:w="2016"/>
            <w:vAlign w:val="center"/>
          </w:tcPr>
          <w:p>
            <w:pPr>
              <w:spacing w:after="0"/>
            </w:pPr>
            <w:r/>
            <w:r>
              <w:rPr>
                <w:rFonts w:ascii="Aptos" w:hAnsi="Aptos"/>
                <w:b w:val="0"/>
                <w:sz w:val="17"/>
              </w:rPr>
              <w:t>High</w:t>
            </w:r>
          </w:p>
        </w:tc>
        <w:tc>
          <w:tcPr>
            <w:tcW w:type="dxa" w:w="12672"/>
            <w:vAlign w:val="center"/>
          </w:tcPr>
          <w:p>
            <w:pPr>
              <w:spacing w:after="0"/>
            </w:pPr>
            <w:r/>
            <w:r>
              <w:rPr>
                <w:rFonts w:ascii="Aptos" w:hAnsi="Aptos"/>
                <w:b w:val="0"/>
                <w:sz w:val="17"/>
              </w:rPr>
              <w:t>Outside system-owner self-acceptance. AI Governance Committee approval/treatment and enhanced evidence required before material production use.</w:t>
            </w:r>
          </w:p>
        </w:tc>
      </w:tr>
      <w:tr>
        <w:tc>
          <w:tcPr>
            <w:tcW w:type="dxa" w:w="2016"/>
            <w:vAlign w:val="center"/>
            <w:shd w:fill="F7F9FB"/>
          </w:tcPr>
          <w:p>
            <w:pPr>
              <w:spacing w:after="0"/>
            </w:pPr>
            <w:r/>
            <w:r>
              <w:rPr>
                <w:rFonts w:ascii="Aptos" w:hAnsi="Aptos"/>
                <w:b w:val="0"/>
                <w:sz w:val="17"/>
              </w:rPr>
              <w:t>Critical</w:t>
            </w:r>
          </w:p>
        </w:tc>
        <w:tc>
          <w:tcPr>
            <w:tcW w:type="dxa" w:w="12672"/>
            <w:vAlign w:val="center"/>
            <w:shd w:fill="F7F9FB"/>
          </w:tcPr>
          <w:p>
            <w:pPr>
              <w:spacing w:after="0"/>
            </w:pPr>
            <w:r/>
            <w:r>
              <w:rPr>
                <w:rFonts w:ascii="Aptos" w:hAnsi="Aptos"/>
                <w:b w:val="0"/>
                <w:sz w:val="17"/>
              </w:rPr>
              <w:t>Outside normal risk appetite. New production deployment is blocked pending reduction or exceptional executive acceptance; immediate escalation required.</w:t>
            </w:r>
          </w:p>
        </w:tc>
      </w:tr>
    </w:tbl>
    <w:p>
      <w:pPr>
        <w:spacing w:after="20"/>
      </w:pPr>
    </w:p>
    <w:p>
      <w:pPr>
        <w:sectPr>
          <w:pgSz w:w="16834" w:h="11909" w:orient="landscape"/>
          <w:pgMar w:top="792" w:right="792" w:bottom="792" w:left="792" w:header="720" w:footer="720" w:gutter="0"/>
          <w:cols w:space="720"/>
          <w:docGrid w:linePitch="360"/>
        </w:sectPr>
      </w:pPr>
    </w:p>
    <w:p>
      <w:pPr>
        <w:pStyle w:val="Heading1"/>
      </w:pPr>
      <w:r>
        <w:t>8. Inherent risk</w:t>
      </w:r>
    </w:p>
    <w:p>
      <w:r>
        <w:t>Inherent risk is the risk of a defined scenario before crediting specific Duckworks mitigating controls. It is not a fiction in which the system has no architecture, users or intended purpose. The assessor keeps the actual deployment context but removes reliance on controls such as human review, DLP, security filters, testing, approval gates, contractual safeguards or monitoring when determining the inherent rating.</w:t>
      </w:r>
    </w:p>
    <w:p>
      <w:pPr>
        <w:pStyle w:val="ListNumber"/>
        <w:spacing w:after="40"/>
      </w:pPr>
      <w:r>
        <w:t>Confirm the scenario and credible impact chain.</w:t>
      </w:r>
    </w:p>
    <w:p>
      <w:pPr>
        <w:pStyle w:val="ListNumber"/>
        <w:spacing w:after="40"/>
      </w:pPr>
      <w:r>
        <w:t>Rate inherent impact using the highest credible consequence.</w:t>
      </w:r>
    </w:p>
    <w:p>
      <w:pPr>
        <w:pStyle w:val="ListNumber"/>
        <w:spacing w:after="40"/>
      </w:pPr>
      <w:r>
        <w:t>Rate inherent likelihood for the stated horizon without Duckworks-specific mitigation credit.</w:t>
      </w:r>
    </w:p>
    <w:p>
      <w:pPr>
        <w:pStyle w:val="ListNumber"/>
        <w:spacing w:after="40"/>
      </w:pPr>
      <w:r>
        <w:t>Map the I/L coordinate to the risk band.</w:t>
      </w:r>
    </w:p>
    <w:p>
      <w:pPr>
        <w:pStyle w:val="ListNumber"/>
        <w:spacing w:after="40"/>
      </w:pPr>
      <w:r>
        <w:t>Record rationale, assumptions, evidence and confidence; do not substitute the number for the explanation.</w:t>
      </w:r>
    </w:p>
    <w:tbl>
      <w:tblPr>
        <w:tblStyle w:val="TableGrid"/>
        <w:tblW w:type="auto" w:w="0"/>
        <w:jc w:val="center"/>
        <w:tblLook w:firstColumn="1" w:firstRow="1" w:lastColumn="0" w:lastRow="0" w:noHBand="0" w:noVBand="1" w:val="04A0"/>
      </w:tblPr>
      <w:tblGrid>
        <w:gridCol w:w="9893"/>
      </w:tblGrid>
      <w:tr>
        <w:trPr>
          <w:tblHeader w:val="true"/>
        </w:trPr>
        <w:tc>
          <w:tcPr>
            <w:tcW w:type="dxa" w:w="9893"/>
            <w:shd w:fill="EAF0F4"/>
          </w:tcPr>
          <w:p>
            <w:r/>
            <w:r>
              <w:rPr>
                <w:b/>
                <w:color w:val="17365D"/>
                <w:sz w:val="19"/>
              </w:rPr>
              <w:t xml:space="preserve">System-level roll-up.  </w:t>
            </w:r>
            <w:r>
              <w:rPr>
                <w:sz w:val="18"/>
              </w:rPr>
              <w:t>The system-level inherent rating is the highest material scenario band, subject to expert judgment and escalation overrides. Averages, medians and weighted means must not be used to dilute a severe scenario.</w:t>
            </w:r>
          </w:p>
        </w:tc>
      </w:tr>
    </w:tbl>
    <w:p>
      <w:pPr>
        <w:spacing w:after="20"/>
      </w:pPr>
    </w:p>
    <w:p>
      <w:pPr>
        <w:pStyle w:val="Heading1"/>
      </w:pPr>
      <w:r>
        <w:t>9. Control effectiveness</w:t>
      </w:r>
    </w:p>
    <w:p>
      <w:r>
        <w:t>Control effectiveness is not a percentage discount. Duckworks evaluates whether key controls are appropriately designed, implemented, operating, and evidenced. For a control set, the overall conclusion is constrained by material control gaps and critical dependencies.</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2448"/>
            <w:vAlign w:val="center"/>
            <w:shd w:fill="17365D"/>
          </w:tcPr>
          <w:p>
            <w:pPr>
              <w:spacing w:after="0"/>
            </w:pPr>
            <w:r/>
            <w:r>
              <w:rPr>
                <w:rFonts w:ascii="Aptos" w:hAnsi="Aptos"/>
                <w:b/>
                <w:color w:val="FFFFFF"/>
                <w:sz w:val="16"/>
              </w:rPr>
              <w:t>Rating</w:t>
            </w:r>
          </w:p>
        </w:tc>
        <w:tc>
          <w:tcPr>
            <w:tcW w:type="dxa" w:w="4896"/>
            <w:vAlign w:val="center"/>
            <w:shd w:fill="17365D"/>
          </w:tcPr>
          <w:p>
            <w:pPr>
              <w:spacing w:after="0"/>
            </w:pPr>
            <w:r/>
            <w:r>
              <w:rPr>
                <w:rFonts w:ascii="Aptos" w:hAnsi="Aptos"/>
                <w:b/>
                <w:color w:val="FFFFFF"/>
                <w:sz w:val="16"/>
              </w:rPr>
              <w:t>Meaning</w:t>
            </w:r>
          </w:p>
        </w:tc>
        <w:tc>
          <w:tcPr>
            <w:tcW w:type="dxa" w:w="3312"/>
            <w:vAlign w:val="center"/>
            <w:shd w:fill="17365D"/>
          </w:tcPr>
          <w:p>
            <w:pPr>
              <w:spacing w:after="0"/>
            </w:pPr>
            <w:r/>
            <w:r>
              <w:rPr>
                <w:rFonts w:ascii="Aptos" w:hAnsi="Aptos"/>
                <w:b/>
                <w:color w:val="FFFFFF"/>
                <w:sz w:val="16"/>
              </w:rPr>
              <w:t>Minimum evidence expectation</w:t>
            </w:r>
          </w:p>
        </w:tc>
      </w:tr>
      <w:tr>
        <w:tc>
          <w:tcPr>
            <w:tcW w:type="dxa" w:w="2448"/>
            <w:vAlign w:val="center"/>
          </w:tcPr>
          <w:p>
            <w:pPr>
              <w:spacing w:after="0"/>
            </w:pPr>
            <w:r/>
            <w:r>
              <w:rPr>
                <w:rFonts w:ascii="Aptos" w:hAnsi="Aptos"/>
                <w:b w:val="0"/>
                <w:sz w:val="16"/>
              </w:rPr>
              <w:t>Not Implemented / Ineffective</w:t>
            </w:r>
          </w:p>
        </w:tc>
        <w:tc>
          <w:tcPr>
            <w:tcW w:type="dxa" w:w="4896"/>
            <w:vAlign w:val="center"/>
          </w:tcPr>
          <w:p>
            <w:pPr>
              <w:spacing w:after="0"/>
            </w:pPr>
            <w:r/>
            <w:r>
              <w:rPr>
                <w:rFonts w:ascii="Aptos" w:hAnsi="Aptos"/>
                <w:b w:val="0"/>
                <w:sz w:val="16"/>
              </w:rPr>
              <w:t>No meaningful operating control, or control fails its objective.</w:t>
            </w:r>
          </w:p>
        </w:tc>
        <w:tc>
          <w:tcPr>
            <w:tcW w:type="dxa" w:w="3312"/>
            <w:vAlign w:val="center"/>
          </w:tcPr>
          <w:p>
            <w:pPr>
              <w:spacing w:after="0"/>
            </w:pPr>
            <w:r/>
            <w:r>
              <w:rPr>
                <w:rFonts w:ascii="Aptos" w:hAnsi="Aptos"/>
                <w:b w:val="0"/>
                <w:sz w:val="16"/>
              </w:rPr>
              <w:t>No reliable evidence or evidence demonstrates failure.</w:t>
            </w:r>
          </w:p>
        </w:tc>
      </w:tr>
      <w:tr>
        <w:tc>
          <w:tcPr>
            <w:tcW w:type="dxa" w:w="2448"/>
            <w:vAlign w:val="center"/>
            <w:shd w:fill="F7F9FB"/>
          </w:tcPr>
          <w:p>
            <w:pPr>
              <w:spacing w:after="0"/>
            </w:pPr>
            <w:r/>
            <w:r>
              <w:rPr>
                <w:rFonts w:ascii="Aptos" w:hAnsi="Aptos"/>
                <w:b w:val="0"/>
                <w:sz w:val="16"/>
              </w:rPr>
              <w:t>Weak</w:t>
            </w:r>
          </w:p>
        </w:tc>
        <w:tc>
          <w:tcPr>
            <w:tcW w:type="dxa" w:w="4896"/>
            <w:vAlign w:val="center"/>
            <w:shd w:fill="F7F9FB"/>
          </w:tcPr>
          <w:p>
            <w:pPr>
              <w:spacing w:after="0"/>
            </w:pPr>
            <w:r/>
            <w:r>
              <w:rPr>
                <w:rFonts w:ascii="Aptos" w:hAnsi="Aptos"/>
                <w:b w:val="0"/>
                <w:sz w:val="16"/>
              </w:rPr>
              <w:t>Ad hoc, incomplete or inconsistently applied; material gaps remain.</w:t>
            </w:r>
          </w:p>
        </w:tc>
        <w:tc>
          <w:tcPr>
            <w:tcW w:type="dxa" w:w="3312"/>
            <w:vAlign w:val="center"/>
            <w:shd w:fill="F7F9FB"/>
          </w:tcPr>
          <w:p>
            <w:pPr>
              <w:spacing w:after="0"/>
            </w:pPr>
            <w:r/>
            <w:r>
              <w:rPr>
                <w:rFonts w:ascii="Aptos" w:hAnsi="Aptos"/>
                <w:b w:val="0"/>
                <w:sz w:val="16"/>
              </w:rPr>
              <w:t>Limited evidence; key coverage gaps or exceptions unresolved.</w:t>
            </w:r>
          </w:p>
        </w:tc>
      </w:tr>
      <w:tr>
        <w:tc>
          <w:tcPr>
            <w:tcW w:type="dxa" w:w="2448"/>
            <w:vAlign w:val="center"/>
          </w:tcPr>
          <w:p>
            <w:pPr>
              <w:spacing w:after="0"/>
            </w:pPr>
            <w:r/>
            <w:r>
              <w:rPr>
                <w:rFonts w:ascii="Aptos" w:hAnsi="Aptos"/>
                <w:b w:val="0"/>
                <w:sz w:val="16"/>
              </w:rPr>
              <w:t>Partially Effective</w:t>
            </w:r>
          </w:p>
        </w:tc>
        <w:tc>
          <w:tcPr>
            <w:tcW w:type="dxa" w:w="4896"/>
            <w:vAlign w:val="center"/>
          </w:tcPr>
          <w:p>
            <w:pPr>
              <w:spacing w:after="0"/>
            </w:pPr>
            <w:r/>
            <w:r>
              <w:rPr>
                <w:rFonts w:ascii="Aptos" w:hAnsi="Aptos"/>
                <w:b w:val="0"/>
                <w:sz w:val="16"/>
              </w:rPr>
              <w:t>Control operates but coverage, consistency, testing or dependency management is incomplete.</w:t>
            </w:r>
          </w:p>
        </w:tc>
        <w:tc>
          <w:tcPr>
            <w:tcW w:type="dxa" w:w="3312"/>
            <w:vAlign w:val="center"/>
          </w:tcPr>
          <w:p>
            <w:pPr>
              <w:spacing w:after="0"/>
            </w:pPr>
            <w:r/>
            <w:r>
              <w:rPr>
                <w:rFonts w:ascii="Aptos" w:hAnsi="Aptos"/>
                <w:b w:val="0"/>
                <w:sz w:val="16"/>
              </w:rPr>
              <w:t>Some current evidence; gaps tracked with owners/dates.</w:t>
            </w:r>
          </w:p>
        </w:tc>
      </w:tr>
      <w:tr>
        <w:tc>
          <w:tcPr>
            <w:tcW w:type="dxa" w:w="2448"/>
            <w:vAlign w:val="center"/>
            <w:shd w:fill="F7F9FB"/>
          </w:tcPr>
          <w:p>
            <w:pPr>
              <w:spacing w:after="0"/>
            </w:pPr>
            <w:r/>
            <w:r>
              <w:rPr>
                <w:rFonts w:ascii="Aptos" w:hAnsi="Aptos"/>
                <w:b w:val="0"/>
                <w:sz w:val="16"/>
              </w:rPr>
              <w:t>Effective</w:t>
            </w:r>
          </w:p>
        </w:tc>
        <w:tc>
          <w:tcPr>
            <w:tcW w:type="dxa" w:w="4896"/>
            <w:vAlign w:val="center"/>
            <w:shd w:fill="F7F9FB"/>
          </w:tcPr>
          <w:p>
            <w:pPr>
              <w:spacing w:after="0"/>
            </w:pPr>
            <w:r/>
            <w:r>
              <w:rPr>
                <w:rFonts w:ascii="Aptos" w:hAnsi="Aptos"/>
                <w:b w:val="0"/>
                <w:sz w:val="16"/>
              </w:rPr>
              <w:t>Implemented, appropriately designed and operating with supporting evidence.</w:t>
            </w:r>
          </w:p>
        </w:tc>
        <w:tc>
          <w:tcPr>
            <w:tcW w:type="dxa" w:w="3312"/>
            <w:vAlign w:val="center"/>
            <w:shd w:fill="F7F9FB"/>
          </w:tcPr>
          <w:p>
            <w:pPr>
              <w:spacing w:after="0"/>
            </w:pPr>
            <w:r/>
            <w:r>
              <w:rPr>
                <w:rFonts w:ascii="Aptos" w:hAnsi="Aptos"/>
                <w:b w:val="0"/>
                <w:sz w:val="16"/>
              </w:rPr>
              <w:t>Repeatable current evidence linked to the control objective.</w:t>
            </w:r>
          </w:p>
        </w:tc>
      </w:tr>
      <w:tr>
        <w:tc>
          <w:tcPr>
            <w:tcW w:type="dxa" w:w="2448"/>
            <w:vAlign w:val="center"/>
          </w:tcPr>
          <w:p>
            <w:pPr>
              <w:spacing w:after="0"/>
            </w:pPr>
            <w:r/>
            <w:r>
              <w:rPr>
                <w:rFonts w:ascii="Aptos" w:hAnsi="Aptos"/>
                <w:b w:val="0"/>
                <w:sz w:val="16"/>
              </w:rPr>
              <w:t>Strong / Verified</w:t>
            </w:r>
          </w:p>
        </w:tc>
        <w:tc>
          <w:tcPr>
            <w:tcW w:type="dxa" w:w="4896"/>
            <w:vAlign w:val="center"/>
          </w:tcPr>
          <w:p>
            <w:pPr>
              <w:spacing w:after="0"/>
            </w:pPr>
            <w:r/>
            <w:r>
              <w:rPr>
                <w:rFonts w:ascii="Aptos" w:hAnsi="Aptos"/>
                <w:b w:val="0"/>
                <w:sz w:val="16"/>
              </w:rPr>
              <w:t>Effective control with mature monitoring and independent or second-line verification.</w:t>
            </w:r>
          </w:p>
        </w:tc>
        <w:tc>
          <w:tcPr>
            <w:tcW w:type="dxa" w:w="3312"/>
            <w:vAlign w:val="center"/>
          </w:tcPr>
          <w:p>
            <w:pPr>
              <w:spacing w:after="0"/>
            </w:pPr>
            <w:r/>
            <w:r>
              <w:rPr>
                <w:rFonts w:ascii="Aptos" w:hAnsi="Aptos"/>
                <w:b w:val="0"/>
                <w:sz w:val="16"/>
              </w:rPr>
              <w:t>High-quality current evidence; testing/assurance supports sustained operation.</w:t>
            </w:r>
          </w:p>
        </w:tc>
      </w:tr>
    </w:tbl>
    <w:p>
      <w:pPr>
        <w:spacing w:after="20"/>
      </w:pPr>
    </w:p>
    <w:p>
      <w:pPr>
        <w:pStyle w:val="Heading2"/>
      </w:pPr>
      <w:r>
        <w:t>9.1 Control assessment dimensions</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448"/>
            <w:vAlign w:val="center"/>
            <w:shd w:fill="17365D"/>
          </w:tcPr>
          <w:p>
            <w:pPr>
              <w:spacing w:after="0"/>
            </w:pPr>
            <w:r/>
            <w:r>
              <w:rPr>
                <w:rFonts w:ascii="Aptos" w:hAnsi="Aptos"/>
                <w:b/>
                <w:color w:val="FFFFFF"/>
                <w:sz w:val="16"/>
              </w:rPr>
              <w:t>Dimension</w:t>
            </w:r>
          </w:p>
        </w:tc>
        <w:tc>
          <w:tcPr>
            <w:tcW w:type="dxa" w:w="8352"/>
            <w:vAlign w:val="center"/>
            <w:shd w:fill="17365D"/>
          </w:tcPr>
          <w:p>
            <w:pPr>
              <w:spacing w:after="0"/>
            </w:pPr>
            <w:r/>
            <w:r>
              <w:rPr>
                <w:rFonts w:ascii="Aptos" w:hAnsi="Aptos"/>
                <w:b/>
                <w:color w:val="FFFFFF"/>
                <w:sz w:val="16"/>
              </w:rPr>
              <w:t>Question</w:t>
            </w:r>
          </w:p>
        </w:tc>
      </w:tr>
      <w:tr>
        <w:tc>
          <w:tcPr>
            <w:tcW w:type="dxa" w:w="2448"/>
            <w:vAlign w:val="center"/>
          </w:tcPr>
          <w:p>
            <w:pPr>
              <w:spacing w:after="0"/>
            </w:pPr>
            <w:r/>
            <w:r>
              <w:rPr>
                <w:rFonts w:ascii="Aptos" w:hAnsi="Aptos"/>
                <w:b w:val="0"/>
                <w:sz w:val="16"/>
              </w:rPr>
              <w:t>Design adequacy</w:t>
            </w:r>
          </w:p>
        </w:tc>
        <w:tc>
          <w:tcPr>
            <w:tcW w:type="dxa" w:w="8352"/>
            <w:vAlign w:val="center"/>
          </w:tcPr>
          <w:p>
            <w:pPr>
              <w:spacing w:after="0"/>
            </w:pPr>
            <w:r/>
            <w:r>
              <w:rPr>
                <w:rFonts w:ascii="Aptos" w:hAnsi="Aptos"/>
                <w:b w:val="0"/>
                <w:sz w:val="16"/>
              </w:rPr>
              <w:t>If the control operates as designed, would it materially address the scenario cause, event, consequence or detection/recovery need?</w:t>
            </w:r>
          </w:p>
        </w:tc>
      </w:tr>
      <w:tr>
        <w:tc>
          <w:tcPr>
            <w:tcW w:type="dxa" w:w="2448"/>
            <w:vAlign w:val="center"/>
            <w:shd w:fill="F7F9FB"/>
          </w:tcPr>
          <w:p>
            <w:pPr>
              <w:spacing w:after="0"/>
            </w:pPr>
            <w:r/>
            <w:r>
              <w:rPr>
                <w:rFonts w:ascii="Aptos" w:hAnsi="Aptos"/>
                <w:b w:val="0"/>
                <w:sz w:val="16"/>
              </w:rPr>
              <w:t>Implementation</w:t>
            </w:r>
          </w:p>
        </w:tc>
        <w:tc>
          <w:tcPr>
            <w:tcW w:type="dxa" w:w="8352"/>
            <w:vAlign w:val="center"/>
            <w:shd w:fill="F7F9FB"/>
          </w:tcPr>
          <w:p>
            <w:pPr>
              <w:spacing w:after="0"/>
            </w:pPr>
            <w:r/>
            <w:r>
              <w:rPr>
                <w:rFonts w:ascii="Aptos" w:hAnsi="Aptos"/>
                <w:b w:val="0"/>
                <w:sz w:val="16"/>
              </w:rPr>
              <w:t>Is the control actually deployed in the relevant environment, population, workflow and model/version?</w:t>
            </w:r>
          </w:p>
        </w:tc>
      </w:tr>
      <w:tr>
        <w:tc>
          <w:tcPr>
            <w:tcW w:type="dxa" w:w="2448"/>
            <w:vAlign w:val="center"/>
          </w:tcPr>
          <w:p>
            <w:pPr>
              <w:spacing w:after="0"/>
            </w:pPr>
            <w:r/>
            <w:r>
              <w:rPr>
                <w:rFonts w:ascii="Aptos" w:hAnsi="Aptos"/>
                <w:b w:val="0"/>
                <w:sz w:val="16"/>
              </w:rPr>
              <w:t>Operating effectiveness</w:t>
            </w:r>
          </w:p>
        </w:tc>
        <w:tc>
          <w:tcPr>
            <w:tcW w:type="dxa" w:w="8352"/>
            <w:vAlign w:val="center"/>
          </w:tcPr>
          <w:p>
            <w:pPr>
              <w:spacing w:after="0"/>
            </w:pPr>
            <w:r/>
            <w:r>
              <w:rPr>
                <w:rFonts w:ascii="Aptos" w:hAnsi="Aptos"/>
                <w:b w:val="0"/>
                <w:sz w:val="16"/>
              </w:rPr>
              <w:t>Does evidence show the control performs consistently over the required period or triggering events?</w:t>
            </w:r>
          </w:p>
        </w:tc>
      </w:tr>
      <w:tr>
        <w:tc>
          <w:tcPr>
            <w:tcW w:type="dxa" w:w="2448"/>
            <w:vAlign w:val="center"/>
            <w:shd w:fill="F7F9FB"/>
          </w:tcPr>
          <w:p>
            <w:pPr>
              <w:spacing w:after="0"/>
            </w:pPr>
            <w:r/>
            <w:r>
              <w:rPr>
                <w:rFonts w:ascii="Aptos" w:hAnsi="Aptos"/>
                <w:b w:val="0"/>
                <w:sz w:val="16"/>
              </w:rPr>
              <w:t>Coverage &amp; dependency</w:t>
            </w:r>
          </w:p>
        </w:tc>
        <w:tc>
          <w:tcPr>
            <w:tcW w:type="dxa" w:w="8352"/>
            <w:vAlign w:val="center"/>
            <w:shd w:fill="F7F9FB"/>
          </w:tcPr>
          <w:p>
            <w:pPr>
              <w:spacing w:after="0"/>
            </w:pPr>
            <w:r/>
            <w:r>
              <w:rPr>
                <w:rFonts w:ascii="Aptos" w:hAnsi="Aptos"/>
                <w:b w:val="0"/>
                <w:sz w:val="16"/>
              </w:rPr>
              <w:t>Does the control cover the relevant users, data, integrations, vendors and failure modes? Are upstream dependencies reliable?</w:t>
            </w:r>
          </w:p>
        </w:tc>
      </w:tr>
      <w:tr>
        <w:tc>
          <w:tcPr>
            <w:tcW w:type="dxa" w:w="2448"/>
            <w:vAlign w:val="center"/>
          </w:tcPr>
          <w:p>
            <w:pPr>
              <w:spacing w:after="0"/>
            </w:pPr>
            <w:r/>
            <w:r>
              <w:rPr>
                <w:rFonts w:ascii="Aptos" w:hAnsi="Aptos"/>
                <w:b w:val="0"/>
                <w:sz w:val="16"/>
              </w:rPr>
              <w:t>Evidence confidence</w:t>
            </w:r>
          </w:p>
        </w:tc>
        <w:tc>
          <w:tcPr>
            <w:tcW w:type="dxa" w:w="8352"/>
            <w:vAlign w:val="center"/>
          </w:tcPr>
          <w:p>
            <w:pPr>
              <w:spacing w:after="0"/>
            </w:pPr>
            <w:r/>
            <w:r>
              <w:rPr>
                <w:rFonts w:ascii="Aptos" w:hAnsi="Aptos"/>
                <w:b w:val="0"/>
                <w:sz w:val="16"/>
              </w:rPr>
              <w:t>How trustworthy, current, complete and independently challengeable is the evidence? Record Low / Medium / High separately from effectiveness.</w:t>
            </w:r>
          </w:p>
        </w:tc>
      </w:tr>
    </w:tbl>
    <w:p>
      <w:pPr>
        <w:spacing w:after="20"/>
      </w:pPr>
    </w:p>
    <w:tbl>
      <w:tblPr>
        <w:tblStyle w:val="TableGrid"/>
        <w:tblW w:type="auto" w:w="0"/>
        <w:jc w:val="center"/>
        <w:tblLook w:firstColumn="1" w:firstRow="1" w:lastColumn="0" w:lastRow="0" w:noHBand="0" w:noVBand="1" w:val="04A0"/>
      </w:tblPr>
      <w:tblGrid>
        <w:gridCol w:w="9893"/>
      </w:tblGrid>
      <w:tr>
        <w:trPr>
          <w:tblHeader w:val="true"/>
        </w:trPr>
        <w:tc>
          <w:tcPr>
            <w:tcW w:type="dxa" w:w="9893"/>
            <w:shd w:fill="EAF0F4"/>
          </w:tcPr>
          <w:p>
            <w:r/>
            <w:r>
              <w:rPr>
                <w:b/>
                <w:color w:val="17365D"/>
                <w:sz w:val="19"/>
              </w:rPr>
              <w:t xml:space="preserve">Control credit rule.  </w:t>
            </w:r>
            <w:r>
              <w:rPr>
                <w:sz w:val="18"/>
              </w:rPr>
              <w:t>Planned, proposed or undocumented controls receive no current residual-risk credit. Low evidence confidence does not automatically increase the numerical rating; it blocks confident acceptance and triggers additional review where the conclusion depends on that control.</w:t>
            </w:r>
          </w:p>
        </w:tc>
      </w:tr>
    </w:tbl>
    <w:p>
      <w:pPr>
        <w:spacing w:after="20"/>
      </w:pPr>
    </w:p>
    <w:p>
      <w:pPr>
        <w:pStyle w:val="Heading1"/>
      </w:pPr>
      <w:r>
        <w:t>10. Residual risk</w:t>
      </w:r>
    </w:p>
    <w:p>
      <w:r>
        <w:t>Current residual risk is reassessed after considering only implemented and operating controls. It is not calculated as inherent risk x (1 - control effectiveness). The assessor repeats the impact and likelihood judgment for the scenario in its controlled state.</w:t>
      </w:r>
    </w:p>
    <w:p>
      <w:pPr>
        <w:pStyle w:val="ListBullet"/>
        <w:spacing w:after="40"/>
      </w:pPr>
      <w:r>
        <w:t>Likelihood will often decrease when preventive, detective or human-review controls reduce the chance that the event occurs or propagates.</w:t>
      </w:r>
    </w:p>
    <w:p>
      <w:pPr>
        <w:pStyle w:val="ListBullet"/>
        <w:spacing w:after="40"/>
      </w:pPr>
      <w:r>
        <w:t>Impact should decrease only when controls genuinely limit the consequence, affected scope, duration or reversibility. A preventive control alone does not make the consequence less severe if it fails.</w:t>
      </w:r>
    </w:p>
    <w:p>
      <w:pPr>
        <w:pStyle w:val="ListBullet"/>
        <w:spacing w:after="40"/>
      </w:pPr>
      <w:r>
        <w:t>A new control can introduce dependencies or secondary risks; these should be captured as separate scenarios where material.</w:t>
      </w:r>
    </w:p>
    <w:p>
      <w:pPr>
        <w:pStyle w:val="ListBullet"/>
        <w:spacing w:after="40"/>
      </w:pPr>
      <w:r>
        <w:t>Target residual risk is a future planning state after treatment and must never be presented as current residual risk.</w:t>
      </w:r>
    </w:p>
    <w:p>
      <w:pPr>
        <w:pStyle w:val="ListBullet"/>
        <w:spacing w:after="40"/>
      </w:pPr>
      <w:r>
        <w:t>If the residual conclusion relies on unverified key controls, the risk may be recorded provisionally but must not be accepted for material production use until evidence is sufficient.</w:t>
      </w:r>
    </w:p>
    <w:p>
      <w:pPr>
        <w:pStyle w:val="Heading1"/>
      </w:pPr>
      <w:r>
        <w:t>11. Risk acceptance criteria</w:t>
      </w:r>
    </w:p>
    <w:p>
      <w:r>
        <w:t>Risk acceptance is a documented governance decision, not the absence of action. Acceptance authority applies only after legal/regulatory stop-gates and mandatory specialist reviews are satisfied.</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872"/>
            <w:vAlign w:val="center"/>
            <w:shd w:fill="17365D"/>
          </w:tcPr>
          <w:p>
            <w:pPr>
              <w:spacing w:after="0"/>
            </w:pPr>
            <w:r/>
            <w:r>
              <w:rPr>
                <w:rFonts w:ascii="Aptos" w:hAnsi="Aptos"/>
                <w:b/>
                <w:color w:val="FFFFFF"/>
                <w:sz w:val="15"/>
              </w:rPr>
              <w:t>Residual band</w:t>
            </w:r>
          </w:p>
        </w:tc>
        <w:tc>
          <w:tcPr>
            <w:tcW w:type="dxa" w:w="6768"/>
            <w:vAlign w:val="center"/>
            <w:shd w:fill="17365D"/>
          </w:tcPr>
          <w:p>
            <w:pPr>
              <w:spacing w:after="0"/>
            </w:pPr>
            <w:r/>
            <w:r>
              <w:rPr>
                <w:rFonts w:ascii="Aptos" w:hAnsi="Aptos"/>
                <w:b/>
                <w:color w:val="FFFFFF"/>
                <w:sz w:val="15"/>
              </w:rPr>
              <w:t>Acceptance criteria</w:t>
            </w:r>
          </w:p>
        </w:tc>
        <w:tc>
          <w:tcPr>
            <w:tcW w:type="dxa" w:w="2592"/>
            <w:vAlign w:val="center"/>
            <w:shd w:fill="17365D"/>
          </w:tcPr>
          <w:p>
            <w:pPr>
              <w:spacing w:after="0"/>
            </w:pPr>
            <w:r/>
            <w:r>
              <w:rPr>
                <w:rFonts w:ascii="Aptos" w:hAnsi="Aptos"/>
                <w:b/>
                <w:color w:val="FFFFFF"/>
                <w:sz w:val="15"/>
              </w:rPr>
              <w:t>Minimum authority</w:t>
            </w:r>
          </w:p>
        </w:tc>
      </w:tr>
      <w:tr>
        <w:tc>
          <w:tcPr>
            <w:tcW w:type="dxa" w:w="1872"/>
            <w:vAlign w:val="center"/>
          </w:tcPr>
          <w:p>
            <w:pPr>
              <w:spacing w:after="0"/>
            </w:pPr>
            <w:r/>
            <w:r>
              <w:rPr>
                <w:rFonts w:ascii="Aptos" w:hAnsi="Aptos"/>
                <w:b w:val="0"/>
                <w:sz w:val="15"/>
              </w:rPr>
              <w:t>Low</w:t>
            </w:r>
          </w:p>
        </w:tc>
        <w:tc>
          <w:tcPr>
            <w:tcW w:type="dxa" w:w="6768"/>
            <w:vAlign w:val="center"/>
          </w:tcPr>
          <w:p>
            <w:pPr>
              <w:spacing w:after="0"/>
            </w:pPr>
            <w:r/>
            <w:r>
              <w:rPr>
                <w:rFonts w:ascii="Aptos" w:hAnsi="Aptos"/>
                <w:b w:val="0"/>
                <w:sz w:val="15"/>
              </w:rPr>
              <w:t>No material stop condition; controls appropriate to context; owner accepts and monitoring is defined.</w:t>
            </w:r>
          </w:p>
        </w:tc>
        <w:tc>
          <w:tcPr>
            <w:tcW w:type="dxa" w:w="2592"/>
            <w:vAlign w:val="center"/>
          </w:tcPr>
          <w:p>
            <w:pPr>
              <w:spacing w:after="0"/>
            </w:pPr>
            <w:r/>
            <w:r>
              <w:rPr>
                <w:rFonts w:ascii="Aptos" w:hAnsi="Aptos"/>
                <w:b w:val="0"/>
                <w:sz w:val="15"/>
              </w:rPr>
              <w:t>Business/System Owner within delegated authority.</w:t>
            </w:r>
          </w:p>
        </w:tc>
      </w:tr>
      <w:tr>
        <w:tc>
          <w:tcPr>
            <w:tcW w:type="dxa" w:w="1872"/>
            <w:vAlign w:val="center"/>
            <w:shd w:fill="F7F9FB"/>
          </w:tcPr>
          <w:p>
            <w:pPr>
              <w:spacing w:after="0"/>
            </w:pPr>
            <w:r/>
            <w:r>
              <w:rPr>
                <w:rFonts w:ascii="Aptos" w:hAnsi="Aptos"/>
                <w:b w:val="0"/>
                <w:sz w:val="15"/>
              </w:rPr>
              <w:t>Moderate</w:t>
            </w:r>
          </w:p>
        </w:tc>
        <w:tc>
          <w:tcPr>
            <w:tcW w:type="dxa" w:w="6768"/>
            <w:vAlign w:val="center"/>
            <w:shd w:fill="F7F9FB"/>
          </w:tcPr>
          <w:p>
            <w:pPr>
              <w:spacing w:after="0"/>
            </w:pPr>
            <w:r/>
            <w:r>
              <w:rPr>
                <w:rFonts w:ascii="Aptos" w:hAnsi="Aptos"/>
                <w:b w:val="0"/>
                <w:sz w:val="15"/>
              </w:rPr>
              <w:t>Controls and monitoring documented; material assumptions visible; no unresolved specialist blocker. Any untreated gap has owner/date.</w:t>
            </w:r>
          </w:p>
        </w:tc>
        <w:tc>
          <w:tcPr>
            <w:tcW w:type="dxa" w:w="2592"/>
            <w:vAlign w:val="center"/>
            <w:shd w:fill="F7F9FB"/>
          </w:tcPr>
          <w:p>
            <w:pPr>
              <w:spacing w:after="0"/>
            </w:pPr>
            <w:r/>
            <w:r>
              <w:rPr>
                <w:rFonts w:ascii="Aptos" w:hAnsi="Aptos"/>
                <w:b w:val="0"/>
                <w:sz w:val="15"/>
              </w:rPr>
              <w:t>Business/System Owner + AI Governance/Risk second-line concurrence.</w:t>
            </w:r>
          </w:p>
        </w:tc>
      </w:tr>
      <w:tr>
        <w:tc>
          <w:tcPr>
            <w:tcW w:type="dxa" w:w="1872"/>
            <w:vAlign w:val="center"/>
          </w:tcPr>
          <w:p>
            <w:pPr>
              <w:spacing w:after="0"/>
            </w:pPr>
            <w:r/>
            <w:r>
              <w:rPr>
                <w:rFonts w:ascii="Aptos" w:hAnsi="Aptos"/>
                <w:b w:val="0"/>
                <w:sz w:val="15"/>
              </w:rPr>
              <w:t>High</w:t>
            </w:r>
          </w:p>
        </w:tc>
        <w:tc>
          <w:tcPr>
            <w:tcW w:type="dxa" w:w="6768"/>
            <w:vAlign w:val="center"/>
          </w:tcPr>
          <w:p>
            <w:pPr>
              <w:spacing w:after="0"/>
            </w:pPr>
            <w:r/>
            <w:r>
              <w:rPr>
                <w:rFonts w:ascii="Aptos" w:hAnsi="Aptos"/>
                <w:b w:val="0"/>
                <w:sz w:val="15"/>
              </w:rPr>
              <w:t>Business justification documented; treatment plan, key control evidence, monitoring/KRIs, time-bound review and exit/suspension criteria defined. System owner cannot self-accept.</w:t>
            </w:r>
          </w:p>
        </w:tc>
        <w:tc>
          <w:tcPr>
            <w:tcW w:type="dxa" w:w="2592"/>
            <w:vAlign w:val="center"/>
          </w:tcPr>
          <w:p>
            <w:pPr>
              <w:spacing w:after="0"/>
            </w:pPr>
            <w:r/>
            <w:r>
              <w:rPr>
                <w:rFonts w:ascii="Aptos" w:hAnsi="Aptos"/>
                <w:b w:val="0"/>
                <w:sz w:val="15"/>
              </w:rPr>
              <w:t>AI Governance Committee; relevant Legal/Security/Privacy/HR/Product Safety challenge as applicable.</w:t>
            </w:r>
          </w:p>
        </w:tc>
      </w:tr>
      <w:tr>
        <w:tc>
          <w:tcPr>
            <w:tcW w:type="dxa" w:w="1872"/>
            <w:vAlign w:val="center"/>
            <w:shd w:fill="F7F9FB"/>
          </w:tcPr>
          <w:p>
            <w:pPr>
              <w:spacing w:after="0"/>
            </w:pPr>
            <w:r/>
            <w:r>
              <w:rPr>
                <w:rFonts w:ascii="Aptos" w:hAnsi="Aptos"/>
                <w:b w:val="0"/>
                <w:sz w:val="15"/>
              </w:rPr>
              <w:t>Critical</w:t>
            </w:r>
          </w:p>
        </w:tc>
        <w:tc>
          <w:tcPr>
            <w:tcW w:type="dxa" w:w="6768"/>
            <w:vAlign w:val="center"/>
            <w:shd w:fill="F7F9FB"/>
          </w:tcPr>
          <w:p>
            <w:pPr>
              <w:spacing w:after="0"/>
            </w:pPr>
            <w:r/>
            <w:r>
              <w:rPr>
                <w:rFonts w:ascii="Aptos" w:hAnsi="Aptos"/>
                <w:b w:val="0"/>
                <w:sz w:val="15"/>
              </w:rPr>
              <w:t>Not acceptable for normal new production deployment. Must normally be avoided, reduced, suspended or contained. Any exceptional continued-use/acceptance decision must be explicit, time-limited and supported by documented challenge and compensating measures.</w:t>
            </w:r>
          </w:p>
        </w:tc>
        <w:tc>
          <w:tcPr>
            <w:tcW w:type="dxa" w:w="2592"/>
            <w:vAlign w:val="center"/>
            <w:shd w:fill="F7F9FB"/>
          </w:tcPr>
          <w:p>
            <w:pPr>
              <w:spacing w:after="0"/>
            </w:pPr>
            <w:r/>
            <w:r>
              <w:rPr>
                <w:rFonts w:ascii="Aptos" w:hAnsi="Aptos"/>
                <w:b w:val="0"/>
                <w:sz w:val="15"/>
              </w:rPr>
              <w:t>Executive Sponsor + CRCO with Board Audit &amp; Risk Committee oversight; AI Governance Committee cannot accept alone.</w:t>
            </w:r>
          </w:p>
        </w:tc>
      </w:tr>
    </w:tbl>
    <w:p>
      <w:pPr>
        <w:spacing w:after="20"/>
      </w:pPr>
    </w:p>
    <w:p>
      <w:pPr>
        <w:pStyle w:val="Heading2"/>
      </w:pPr>
      <w:r>
        <w:t>11.1 Non-acceptance conditions</w:t>
      </w:r>
    </w:p>
    <w:p>
      <w:pPr>
        <w:pStyle w:val="ListBullet"/>
        <w:spacing w:after="40"/>
      </w:pPr>
      <w:r>
        <w:t>A practice determined to be prohibited or otherwise unlawful under applicable law.</w:t>
      </w:r>
    </w:p>
    <w:p>
      <w:pPr>
        <w:pStyle w:val="ListBullet"/>
        <w:spacing w:after="40"/>
      </w:pPr>
      <w:r>
        <w:t>A material AI use case with no accountable owner or no sufficiently defined intended purpose/decision boundary.</w:t>
      </w:r>
    </w:p>
    <w:p>
      <w:pPr>
        <w:pStyle w:val="ListBullet"/>
        <w:spacing w:after="40"/>
      </w:pPr>
      <w:r>
        <w:t>A production decision where required human authority has been removed, bypassed or cannot be demonstrated.</w:t>
      </w:r>
    </w:p>
    <w:p>
      <w:pPr>
        <w:pStyle w:val="ListBullet"/>
        <w:spacing w:after="40"/>
      </w:pPr>
      <w:r>
        <w:t>A risk conclusion that depends on a key control that is only planned, not implemented.</w:t>
      </w:r>
    </w:p>
    <w:p>
      <w:pPr>
        <w:pStyle w:val="ListBullet"/>
        <w:spacing w:after="40"/>
      </w:pPr>
      <w:r>
        <w:t>A critical assumption that invalidates the assessment and has not been resolved or explicitly escalated.</w:t>
      </w:r>
    </w:p>
    <w:p>
      <w:pPr>
        <w:pStyle w:val="Heading1"/>
      </w:pPr>
      <w:r>
        <w:t>12. Escalation thresholds</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3456"/>
            <w:vAlign w:val="center"/>
            <w:shd w:fill="17365D"/>
          </w:tcPr>
          <w:p>
            <w:pPr>
              <w:spacing w:after="0"/>
            </w:pPr>
            <w:r/>
            <w:r>
              <w:rPr>
                <w:rFonts w:ascii="Aptos" w:hAnsi="Aptos"/>
                <w:b/>
                <w:color w:val="FFFFFF"/>
                <w:sz w:val="16"/>
              </w:rPr>
              <w:t>Trigger</w:t>
            </w:r>
          </w:p>
        </w:tc>
        <w:tc>
          <w:tcPr>
            <w:tcW w:type="dxa" w:w="7488"/>
            <w:vAlign w:val="center"/>
            <w:shd w:fill="17365D"/>
          </w:tcPr>
          <w:p>
            <w:pPr>
              <w:spacing w:after="0"/>
            </w:pPr>
            <w:r/>
            <w:r>
              <w:rPr>
                <w:rFonts w:ascii="Aptos" w:hAnsi="Aptos"/>
                <w:b/>
                <w:color w:val="FFFFFF"/>
                <w:sz w:val="16"/>
              </w:rPr>
              <w:t>Required escalation</w:t>
            </w:r>
          </w:p>
        </w:tc>
      </w:tr>
      <w:tr>
        <w:tc>
          <w:tcPr>
            <w:tcW w:type="dxa" w:w="3456"/>
            <w:vAlign w:val="center"/>
          </w:tcPr>
          <w:p>
            <w:pPr>
              <w:spacing w:after="0"/>
            </w:pPr>
            <w:r/>
            <w:r>
              <w:rPr>
                <w:rFonts w:ascii="Aptos" w:hAnsi="Aptos"/>
                <w:b w:val="0"/>
                <w:sz w:val="16"/>
              </w:rPr>
              <w:t>Critical current residual risk</w:t>
            </w:r>
          </w:p>
        </w:tc>
        <w:tc>
          <w:tcPr>
            <w:tcW w:type="dxa" w:w="7488"/>
            <w:vAlign w:val="center"/>
          </w:tcPr>
          <w:p>
            <w:pPr>
              <w:spacing w:after="0"/>
            </w:pPr>
            <w:r/>
            <w:r>
              <w:rPr>
                <w:rFonts w:ascii="Aptos" w:hAnsi="Aptos"/>
                <w:b w:val="0"/>
                <w:sz w:val="16"/>
              </w:rPr>
              <w:t>Immediate AI Governance Committee and executive escalation; block new production deployment pending decision.</w:t>
            </w:r>
          </w:p>
        </w:tc>
      </w:tr>
      <w:tr>
        <w:tc>
          <w:tcPr>
            <w:tcW w:type="dxa" w:w="3456"/>
            <w:vAlign w:val="center"/>
            <w:shd w:fill="F7F9FB"/>
          </w:tcPr>
          <w:p>
            <w:pPr>
              <w:spacing w:after="0"/>
            </w:pPr>
            <w:r/>
            <w:r>
              <w:rPr>
                <w:rFonts w:ascii="Aptos" w:hAnsi="Aptos"/>
                <w:b w:val="0"/>
                <w:sz w:val="16"/>
              </w:rPr>
              <w:t>High current residual risk for production/continued material use</w:t>
            </w:r>
          </w:p>
        </w:tc>
        <w:tc>
          <w:tcPr>
            <w:tcW w:type="dxa" w:w="7488"/>
            <w:vAlign w:val="center"/>
            <w:shd w:fill="F7F9FB"/>
          </w:tcPr>
          <w:p>
            <w:pPr>
              <w:spacing w:after="0"/>
            </w:pPr>
            <w:r/>
            <w:r>
              <w:rPr>
                <w:rFonts w:ascii="Aptos" w:hAnsi="Aptos"/>
                <w:b w:val="0"/>
                <w:sz w:val="16"/>
              </w:rPr>
              <w:t>AI Governance Committee approval, treatment plan and enhanced evidence.</w:t>
            </w:r>
          </w:p>
        </w:tc>
      </w:tr>
      <w:tr>
        <w:tc>
          <w:tcPr>
            <w:tcW w:type="dxa" w:w="3456"/>
            <w:vAlign w:val="center"/>
          </w:tcPr>
          <w:p>
            <w:pPr>
              <w:spacing w:after="0"/>
            </w:pPr>
            <w:r/>
            <w:r>
              <w:rPr>
                <w:rFonts w:ascii="Aptos" w:hAnsi="Aptos"/>
                <w:b w:val="0"/>
                <w:sz w:val="16"/>
              </w:rPr>
              <w:t>Residual Impact 5 scenario, regardless of matrix band</w:t>
            </w:r>
          </w:p>
        </w:tc>
        <w:tc>
          <w:tcPr>
            <w:tcW w:type="dxa" w:w="7488"/>
            <w:vAlign w:val="center"/>
          </w:tcPr>
          <w:p>
            <w:pPr>
              <w:spacing w:after="0"/>
            </w:pPr>
            <w:r/>
            <w:r>
              <w:rPr>
                <w:rFonts w:ascii="Aptos" w:hAnsi="Aptos"/>
                <w:b w:val="0"/>
                <w:sz w:val="16"/>
              </w:rPr>
              <w:t>Mandatory committee review and relevant specialist challenge.</w:t>
            </w:r>
          </w:p>
        </w:tc>
      </w:tr>
      <w:tr>
        <w:tc>
          <w:tcPr>
            <w:tcW w:type="dxa" w:w="3456"/>
            <w:vAlign w:val="center"/>
            <w:shd w:fill="F7F9FB"/>
          </w:tcPr>
          <w:p>
            <w:pPr>
              <w:spacing w:after="0"/>
            </w:pPr>
            <w:r/>
            <w:r>
              <w:rPr>
                <w:rFonts w:ascii="Aptos" w:hAnsi="Aptos"/>
                <w:b w:val="0"/>
                <w:sz w:val="16"/>
              </w:rPr>
              <w:t>Potential prohibited/unlawful practice or material legal-classification uncertainty</w:t>
            </w:r>
          </w:p>
        </w:tc>
        <w:tc>
          <w:tcPr>
            <w:tcW w:type="dxa" w:w="7488"/>
            <w:vAlign w:val="center"/>
            <w:shd w:fill="F7F9FB"/>
          </w:tcPr>
          <w:p>
            <w:pPr>
              <w:spacing w:after="0"/>
            </w:pPr>
            <w:r/>
            <w:r>
              <w:rPr>
                <w:rFonts w:ascii="Aptos" w:hAnsi="Aptos"/>
                <w:b w:val="0"/>
                <w:sz w:val="16"/>
              </w:rPr>
              <w:t>General Counsel / Legal and Risk review before approval; legal gate overrides internal score.</w:t>
            </w:r>
          </w:p>
        </w:tc>
      </w:tr>
      <w:tr>
        <w:tc>
          <w:tcPr>
            <w:tcW w:type="dxa" w:w="3456"/>
            <w:vAlign w:val="center"/>
          </w:tcPr>
          <w:p>
            <w:pPr>
              <w:spacing w:after="0"/>
            </w:pPr>
            <w:r/>
            <w:r>
              <w:rPr>
                <w:rFonts w:ascii="Aptos" w:hAnsi="Aptos"/>
                <w:b w:val="0"/>
                <w:sz w:val="16"/>
              </w:rPr>
              <w:t>Material impact on employment, safety, fundamental rights or vulnerable/affected individuals</w:t>
            </w:r>
          </w:p>
        </w:tc>
        <w:tc>
          <w:tcPr>
            <w:tcW w:type="dxa" w:w="7488"/>
            <w:vAlign w:val="center"/>
          </w:tcPr>
          <w:p>
            <w:pPr>
              <w:spacing w:after="0"/>
            </w:pPr>
            <w:r/>
            <w:r>
              <w:rPr>
                <w:rFonts w:ascii="Aptos" w:hAnsi="Aptos"/>
                <w:b w:val="0"/>
                <w:sz w:val="16"/>
              </w:rPr>
              <w:t>Relevant domain specialist review (e.g., HR, Privacy, Product Safety) and committee visibility.</w:t>
            </w:r>
          </w:p>
        </w:tc>
      </w:tr>
      <w:tr>
        <w:tc>
          <w:tcPr>
            <w:tcW w:type="dxa" w:w="3456"/>
            <w:vAlign w:val="center"/>
            <w:shd w:fill="F7F9FB"/>
          </w:tcPr>
          <w:p>
            <w:pPr>
              <w:spacing w:after="0"/>
            </w:pPr>
            <w:r/>
            <w:r>
              <w:rPr>
                <w:rFonts w:ascii="Aptos" w:hAnsi="Aptos"/>
                <w:b w:val="0"/>
                <w:sz w:val="16"/>
              </w:rPr>
              <w:t>Loss of human oversight, serious incident, discriminatory outcome, confidential-data leakage or control failure</w:t>
            </w:r>
          </w:p>
        </w:tc>
        <w:tc>
          <w:tcPr>
            <w:tcW w:type="dxa" w:w="7488"/>
            <w:vAlign w:val="center"/>
            <w:shd w:fill="F7F9FB"/>
          </w:tcPr>
          <w:p>
            <w:pPr>
              <w:spacing w:after="0"/>
            </w:pPr>
            <w:r/>
            <w:r>
              <w:rPr>
                <w:rFonts w:ascii="Aptos" w:hAnsi="Aptos"/>
                <w:b w:val="0"/>
                <w:sz w:val="16"/>
              </w:rPr>
              <w:t>Event-driven reassessment and suspension/containment decision as appropriate.</w:t>
            </w:r>
          </w:p>
        </w:tc>
      </w:tr>
      <w:tr>
        <w:tc>
          <w:tcPr>
            <w:tcW w:type="dxa" w:w="3456"/>
            <w:vAlign w:val="center"/>
          </w:tcPr>
          <w:p>
            <w:pPr>
              <w:spacing w:after="0"/>
            </w:pPr>
            <w:r/>
            <w:r>
              <w:rPr>
                <w:rFonts w:ascii="Aptos" w:hAnsi="Aptos"/>
                <w:b w:val="0"/>
                <w:sz w:val="16"/>
              </w:rPr>
              <w:t>Unregistered production AI or AI-007 discovered material use</w:t>
            </w:r>
          </w:p>
        </w:tc>
        <w:tc>
          <w:tcPr>
            <w:tcW w:type="dxa" w:w="7488"/>
            <w:vAlign w:val="center"/>
          </w:tcPr>
          <w:p>
            <w:pPr>
              <w:spacing w:after="0"/>
            </w:pPr>
            <w:r/>
            <w:r>
              <w:rPr>
                <w:rFonts w:ascii="Aptos" w:hAnsi="Aptos"/>
                <w:b w:val="0"/>
                <w:sz w:val="16"/>
              </w:rPr>
              <w:t>Containment/discovery workflow; create separate inventory record before formal assessment and approval.</w:t>
            </w:r>
          </w:p>
        </w:tc>
      </w:tr>
      <w:tr>
        <w:tc>
          <w:tcPr>
            <w:tcW w:type="dxa" w:w="3456"/>
            <w:vAlign w:val="center"/>
            <w:shd w:fill="F7F9FB"/>
          </w:tcPr>
          <w:p>
            <w:pPr>
              <w:spacing w:after="0"/>
            </w:pPr>
            <w:r/>
            <w:r>
              <w:rPr>
                <w:rFonts w:ascii="Aptos" w:hAnsi="Aptos"/>
                <w:b w:val="0"/>
                <w:sz w:val="16"/>
              </w:rPr>
              <w:t>Material change in purpose, model/provider, data, affected population, integration, autonomy, geography or control design</w:t>
            </w:r>
          </w:p>
        </w:tc>
        <w:tc>
          <w:tcPr>
            <w:tcW w:type="dxa" w:w="7488"/>
            <w:vAlign w:val="center"/>
            <w:shd w:fill="F7F9FB"/>
          </w:tcPr>
          <w:p>
            <w:pPr>
              <w:spacing w:after="0"/>
            </w:pPr>
            <w:r/>
            <w:r>
              <w:rPr>
                <w:rFonts w:ascii="Aptos" w:hAnsi="Aptos"/>
                <w:b w:val="0"/>
                <w:sz w:val="16"/>
              </w:rPr>
              <w:t>Reassessment before continued reliance where the change could alter risk or legal status.</w:t>
            </w:r>
          </w:p>
        </w:tc>
      </w:tr>
      <w:tr>
        <w:tc>
          <w:tcPr>
            <w:tcW w:type="dxa" w:w="3456"/>
            <w:vAlign w:val="center"/>
          </w:tcPr>
          <w:p>
            <w:pPr>
              <w:spacing w:after="0"/>
            </w:pPr>
            <w:r/>
            <w:r>
              <w:rPr>
                <w:rFonts w:ascii="Aptos" w:hAnsi="Aptos"/>
                <w:b w:val="0"/>
                <w:sz w:val="16"/>
              </w:rPr>
              <w:t>Low evidence confidence for a key control supporting acceptance of a High/Critical inherent scenario</w:t>
            </w:r>
          </w:p>
        </w:tc>
        <w:tc>
          <w:tcPr>
            <w:tcW w:type="dxa" w:w="7488"/>
            <w:vAlign w:val="center"/>
          </w:tcPr>
          <w:p>
            <w:pPr>
              <w:spacing w:after="0"/>
            </w:pPr>
            <w:r/>
            <w:r>
              <w:rPr>
                <w:rFonts w:ascii="Aptos" w:hAnsi="Aptos"/>
                <w:b w:val="0"/>
                <w:sz w:val="16"/>
              </w:rPr>
              <w:t>Second-line challenge; acceptance deferred until evidence is adequate or risk is explicitly escalated.</w:t>
            </w:r>
          </w:p>
        </w:tc>
      </w:tr>
    </w:tbl>
    <w:p>
      <w:pPr>
        <w:spacing w:after="20"/>
      </w:pPr>
    </w:p>
    <w:p>
      <w:pPr>
        <w:pStyle w:val="Heading1"/>
      </w:pPr>
      <w:r>
        <w:t>13. Where numerical scoring creates false precision</w:t>
      </w:r>
    </w:p>
    <w:p>
      <w:r>
        <w:t>Numerical risk methods are useful for consistency, but AI risk often involves sparse evidence, novel failure modes, non-financial harms and rapidly changing systems. The following uses of numbers would overstate certainty and are prohibited or constrained in this methodology.</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3024"/>
            <w:vAlign w:val="center"/>
            <w:shd w:fill="17365D"/>
          </w:tcPr>
          <w:p>
            <w:pPr>
              <w:spacing w:after="0"/>
            </w:pPr>
            <w:r/>
            <w:r>
              <w:rPr>
                <w:rFonts w:ascii="Aptos" w:hAnsi="Aptos"/>
                <w:b/>
                <w:color w:val="FFFFFF"/>
                <w:sz w:val="15"/>
              </w:rPr>
              <w:t>False-precision risk</w:t>
            </w:r>
          </w:p>
        </w:tc>
        <w:tc>
          <w:tcPr>
            <w:tcW w:type="dxa" w:w="4320"/>
            <w:vAlign w:val="center"/>
            <w:shd w:fill="17365D"/>
          </w:tcPr>
          <w:p>
            <w:pPr>
              <w:spacing w:after="0"/>
            </w:pPr>
            <w:r/>
            <w:r>
              <w:rPr>
                <w:rFonts w:ascii="Aptos" w:hAnsi="Aptos"/>
                <w:b/>
                <w:color w:val="FFFFFF"/>
                <w:sz w:val="15"/>
              </w:rPr>
              <w:t>Why it is misleading</w:t>
            </w:r>
          </w:p>
        </w:tc>
        <w:tc>
          <w:tcPr>
            <w:tcW w:type="dxa" w:w="3600"/>
            <w:vAlign w:val="center"/>
            <w:shd w:fill="17365D"/>
          </w:tcPr>
          <w:p>
            <w:pPr>
              <w:spacing w:after="0"/>
            </w:pPr>
            <w:r/>
            <w:r>
              <w:rPr>
                <w:rFonts w:ascii="Aptos" w:hAnsi="Aptos"/>
                <w:b/>
                <w:color w:val="FFFFFF"/>
                <w:sz w:val="15"/>
              </w:rPr>
              <w:t>Duckworks safeguard</w:t>
            </w:r>
          </w:p>
        </w:tc>
      </w:tr>
      <w:tr>
        <w:tc>
          <w:tcPr>
            <w:tcW w:type="dxa" w:w="3024"/>
            <w:vAlign w:val="center"/>
          </w:tcPr>
          <w:p>
            <w:pPr>
              <w:spacing w:after="0"/>
            </w:pPr>
            <w:r/>
            <w:r>
              <w:rPr>
                <w:rFonts w:ascii="Aptos" w:hAnsi="Aptos"/>
                <w:b w:val="0"/>
                <w:sz w:val="15"/>
              </w:rPr>
              <w:t>Treating 1-5 scales as interval measurements</w:t>
            </w:r>
          </w:p>
        </w:tc>
        <w:tc>
          <w:tcPr>
            <w:tcW w:type="dxa" w:w="4320"/>
            <w:vAlign w:val="center"/>
          </w:tcPr>
          <w:p>
            <w:pPr>
              <w:spacing w:after="0"/>
            </w:pPr>
            <w:r/>
            <w:r>
              <w:rPr>
                <w:rFonts w:ascii="Aptos" w:hAnsi="Aptos"/>
                <w:b w:val="0"/>
                <w:sz w:val="15"/>
              </w:rPr>
              <w:t>The difference between “2” and “3” is not demonstrably equal to the difference between “4” and “5”.</w:t>
            </w:r>
          </w:p>
        </w:tc>
        <w:tc>
          <w:tcPr>
            <w:tcW w:type="dxa" w:w="3600"/>
            <w:vAlign w:val="center"/>
          </w:tcPr>
          <w:p>
            <w:pPr>
              <w:spacing w:after="0"/>
            </w:pPr>
            <w:r/>
            <w:r>
              <w:rPr>
                <w:rFonts w:ascii="Aptos" w:hAnsi="Aptos"/>
                <w:b w:val="0"/>
                <w:sz w:val="15"/>
              </w:rPr>
              <w:t>Treat values as ordinal coordinates; preserve anchor text and rationale.</w:t>
            </w:r>
          </w:p>
        </w:tc>
      </w:tr>
      <w:tr>
        <w:tc>
          <w:tcPr>
            <w:tcW w:type="dxa" w:w="3024"/>
            <w:vAlign w:val="center"/>
            <w:shd w:fill="F7F9FB"/>
          </w:tcPr>
          <w:p>
            <w:pPr>
              <w:spacing w:after="0"/>
            </w:pPr>
            <w:r/>
            <w:r>
              <w:rPr>
                <w:rFonts w:ascii="Aptos" w:hAnsi="Aptos"/>
                <w:b w:val="0"/>
                <w:sz w:val="15"/>
              </w:rPr>
              <w:t>Using Impact x Likelihood as the authoritative risk quantity</w:t>
            </w:r>
          </w:p>
        </w:tc>
        <w:tc>
          <w:tcPr>
            <w:tcW w:type="dxa" w:w="4320"/>
            <w:vAlign w:val="center"/>
            <w:shd w:fill="F7F9FB"/>
          </w:tcPr>
          <w:p>
            <w:pPr>
              <w:spacing w:after="0"/>
            </w:pPr>
            <w:r/>
            <w:r>
              <w:rPr>
                <w:rFonts w:ascii="Aptos" w:hAnsi="Aptos"/>
                <w:b w:val="0"/>
                <w:sz w:val="15"/>
              </w:rPr>
              <w:t>A product such as 12 is not a measured loss probability and cannot be interpreted arithmetically.</w:t>
            </w:r>
          </w:p>
        </w:tc>
        <w:tc>
          <w:tcPr>
            <w:tcW w:type="dxa" w:w="3600"/>
            <w:vAlign w:val="center"/>
            <w:shd w:fill="F7F9FB"/>
          </w:tcPr>
          <w:p>
            <w:pPr>
              <w:spacing w:after="0"/>
            </w:pPr>
            <w:r/>
            <w:r>
              <w:rPr>
                <w:rFonts w:ascii="Aptos" w:hAnsi="Aptos"/>
                <w:b w:val="0"/>
                <w:sz w:val="15"/>
              </w:rPr>
              <w:t>Matrix band is authoritative; optional product is sorting-only.</w:t>
            </w:r>
          </w:p>
        </w:tc>
      </w:tr>
      <w:tr>
        <w:tc>
          <w:tcPr>
            <w:tcW w:type="dxa" w:w="3024"/>
            <w:vAlign w:val="center"/>
          </w:tcPr>
          <w:p>
            <w:pPr>
              <w:spacing w:after="0"/>
            </w:pPr>
            <w:r/>
            <w:r>
              <w:rPr>
                <w:rFonts w:ascii="Aptos" w:hAnsi="Aptos"/>
                <w:b w:val="0"/>
                <w:sz w:val="15"/>
              </w:rPr>
              <w:t>Assuming equal products mean equal risks</w:t>
            </w:r>
          </w:p>
        </w:tc>
        <w:tc>
          <w:tcPr>
            <w:tcW w:type="dxa" w:w="4320"/>
            <w:vAlign w:val="center"/>
          </w:tcPr>
          <w:p>
            <w:pPr>
              <w:spacing w:after="0"/>
            </w:pPr>
            <w:r/>
            <w:r>
              <w:rPr>
                <w:rFonts w:ascii="Aptos" w:hAnsi="Aptos"/>
                <w:b w:val="0"/>
                <w:sz w:val="15"/>
              </w:rPr>
              <w:t>Impact 5 / Likelihood 2 and Impact 2 / Likelihood 5 can have very different governance implications.</w:t>
            </w:r>
          </w:p>
        </w:tc>
        <w:tc>
          <w:tcPr>
            <w:tcW w:type="dxa" w:w="3600"/>
            <w:vAlign w:val="center"/>
          </w:tcPr>
          <w:p>
            <w:pPr>
              <w:spacing w:after="0"/>
            </w:pPr>
            <w:r/>
            <w:r>
              <w:rPr>
                <w:rFonts w:ascii="Aptos" w:hAnsi="Aptos"/>
                <w:b w:val="0"/>
                <w:sz w:val="15"/>
              </w:rPr>
              <w:t>Retain the I/L pair and apply Impact-5 escalation override.</w:t>
            </w:r>
          </w:p>
        </w:tc>
      </w:tr>
      <w:tr>
        <w:tc>
          <w:tcPr>
            <w:tcW w:type="dxa" w:w="3024"/>
            <w:vAlign w:val="center"/>
            <w:shd w:fill="F7F9FB"/>
          </w:tcPr>
          <w:p>
            <w:pPr>
              <w:spacing w:after="0"/>
            </w:pPr>
            <w:r/>
            <w:r>
              <w:rPr>
                <w:rFonts w:ascii="Aptos" w:hAnsi="Aptos"/>
                <w:b w:val="0"/>
                <w:sz w:val="15"/>
              </w:rPr>
              <w:t>Averaging scenario or domain scores</w:t>
            </w:r>
          </w:p>
        </w:tc>
        <w:tc>
          <w:tcPr>
            <w:tcW w:type="dxa" w:w="4320"/>
            <w:vAlign w:val="center"/>
            <w:shd w:fill="F7F9FB"/>
          </w:tcPr>
          <w:p>
            <w:pPr>
              <w:spacing w:after="0"/>
            </w:pPr>
            <w:r/>
            <w:r>
              <w:rPr>
                <w:rFonts w:ascii="Aptos" w:hAnsi="Aptos"/>
                <w:b w:val="0"/>
                <w:sz w:val="15"/>
              </w:rPr>
              <w:t>A severe safety or rights scenario can disappear inside an average of lower risks.</w:t>
            </w:r>
          </w:p>
        </w:tc>
        <w:tc>
          <w:tcPr>
            <w:tcW w:type="dxa" w:w="3600"/>
            <w:vAlign w:val="center"/>
            <w:shd w:fill="F7F9FB"/>
          </w:tcPr>
          <w:p>
            <w:pPr>
              <w:spacing w:after="0"/>
            </w:pPr>
            <w:r/>
            <w:r>
              <w:rPr>
                <w:rFonts w:ascii="Aptos" w:hAnsi="Aptos"/>
                <w:b w:val="0"/>
                <w:sz w:val="15"/>
              </w:rPr>
              <w:t>System roll-up uses the highest material scenario, not an average.</w:t>
            </w:r>
          </w:p>
        </w:tc>
      </w:tr>
      <w:tr>
        <w:tc>
          <w:tcPr>
            <w:tcW w:type="dxa" w:w="3024"/>
            <w:vAlign w:val="center"/>
          </w:tcPr>
          <w:p>
            <w:pPr>
              <w:spacing w:after="0"/>
            </w:pPr>
            <w:r/>
            <w:r>
              <w:rPr>
                <w:rFonts w:ascii="Aptos" w:hAnsi="Aptos"/>
                <w:b w:val="0"/>
                <w:sz w:val="15"/>
              </w:rPr>
              <w:t>Weighted domain scores</w:t>
            </w:r>
          </w:p>
        </w:tc>
        <w:tc>
          <w:tcPr>
            <w:tcW w:type="dxa" w:w="4320"/>
            <w:vAlign w:val="center"/>
          </w:tcPr>
          <w:p>
            <w:pPr>
              <w:spacing w:after="0"/>
            </w:pPr>
            <w:r/>
            <w:r>
              <w:rPr>
                <w:rFonts w:ascii="Aptos" w:hAnsi="Aptos"/>
                <w:b w:val="0"/>
                <w:sz w:val="15"/>
              </w:rPr>
              <w:t>Weights create the appearance of a calibrated model without empirical justification and can encode value judgments invisibly.</w:t>
            </w:r>
          </w:p>
        </w:tc>
        <w:tc>
          <w:tcPr>
            <w:tcW w:type="dxa" w:w="3600"/>
            <w:vAlign w:val="center"/>
          </w:tcPr>
          <w:p>
            <w:pPr>
              <w:spacing w:after="0"/>
            </w:pPr>
            <w:r/>
            <w:r>
              <w:rPr>
                <w:rFonts w:ascii="Aptos" w:hAnsi="Aptos"/>
                <w:b w:val="0"/>
                <w:sz w:val="15"/>
              </w:rPr>
              <w:t>No portfolio-wide domain weighting unless separately validated and approved.</w:t>
            </w:r>
          </w:p>
        </w:tc>
      </w:tr>
      <w:tr>
        <w:tc>
          <w:tcPr>
            <w:tcW w:type="dxa" w:w="3024"/>
            <w:vAlign w:val="center"/>
            <w:shd w:fill="F7F9FB"/>
          </w:tcPr>
          <w:p>
            <w:pPr>
              <w:spacing w:after="0"/>
            </w:pPr>
            <w:r/>
            <w:r>
              <w:rPr>
                <w:rFonts w:ascii="Aptos" w:hAnsi="Aptos"/>
                <w:b w:val="0"/>
                <w:sz w:val="15"/>
              </w:rPr>
              <w:t>Control-effectiveness percentages</w:t>
            </w:r>
          </w:p>
        </w:tc>
        <w:tc>
          <w:tcPr>
            <w:tcW w:type="dxa" w:w="4320"/>
            <w:vAlign w:val="center"/>
            <w:shd w:fill="F7F9FB"/>
          </w:tcPr>
          <w:p>
            <w:pPr>
              <w:spacing w:after="0"/>
            </w:pPr>
            <w:r/>
            <w:r>
              <w:rPr>
                <w:rFonts w:ascii="Aptos" w:hAnsi="Aptos"/>
                <w:b w:val="0"/>
                <w:sz w:val="15"/>
              </w:rPr>
              <w:t>“70% effective” rarely has an evidential basis and implies linear risk reduction.</w:t>
            </w:r>
          </w:p>
        </w:tc>
        <w:tc>
          <w:tcPr>
            <w:tcW w:type="dxa" w:w="3600"/>
            <w:vAlign w:val="center"/>
            <w:shd w:fill="F7F9FB"/>
          </w:tcPr>
          <w:p>
            <w:pPr>
              <w:spacing w:after="0"/>
            </w:pPr>
            <w:r/>
            <w:r>
              <w:rPr>
                <w:rFonts w:ascii="Aptos" w:hAnsi="Aptos"/>
                <w:b w:val="0"/>
                <w:sz w:val="15"/>
              </w:rPr>
              <w:t>Use categorical design/operating/evidence conclusions.</w:t>
            </w:r>
          </w:p>
        </w:tc>
      </w:tr>
      <w:tr>
        <w:tc>
          <w:tcPr>
            <w:tcW w:type="dxa" w:w="3024"/>
            <w:vAlign w:val="center"/>
          </w:tcPr>
          <w:p>
            <w:pPr>
              <w:spacing w:after="0"/>
            </w:pPr>
            <w:r/>
            <w:r>
              <w:rPr>
                <w:rFonts w:ascii="Aptos" w:hAnsi="Aptos"/>
                <w:b w:val="0"/>
                <w:sz w:val="15"/>
              </w:rPr>
              <w:t>Residual = inherent x (1 - control %)</w:t>
            </w:r>
          </w:p>
        </w:tc>
        <w:tc>
          <w:tcPr>
            <w:tcW w:type="dxa" w:w="4320"/>
            <w:vAlign w:val="center"/>
          </w:tcPr>
          <w:p>
            <w:pPr>
              <w:spacing w:after="0"/>
            </w:pPr>
            <w:r/>
            <w:r>
              <w:rPr>
                <w:rFonts w:ascii="Aptos" w:hAnsi="Aptos"/>
                <w:b w:val="0"/>
                <w:sz w:val="15"/>
              </w:rPr>
              <w:t>Controls affect likelihood, consequence, detection and dependencies differently; some introduce new risks.</w:t>
            </w:r>
          </w:p>
        </w:tc>
        <w:tc>
          <w:tcPr>
            <w:tcW w:type="dxa" w:w="3600"/>
            <w:vAlign w:val="center"/>
          </w:tcPr>
          <w:p>
            <w:pPr>
              <w:spacing w:after="0"/>
            </w:pPr>
            <w:r/>
            <w:r>
              <w:rPr>
                <w:rFonts w:ascii="Aptos" w:hAnsi="Aptos"/>
                <w:b w:val="0"/>
                <w:sz w:val="15"/>
              </w:rPr>
              <w:t>Reassess impact and likelihood after operating controls.</w:t>
            </w:r>
          </w:p>
        </w:tc>
      </w:tr>
      <w:tr>
        <w:tc>
          <w:tcPr>
            <w:tcW w:type="dxa" w:w="3024"/>
            <w:vAlign w:val="center"/>
            <w:shd w:fill="F7F9FB"/>
          </w:tcPr>
          <w:p>
            <w:pPr>
              <w:spacing w:after="0"/>
            </w:pPr>
            <w:r/>
            <w:r>
              <w:rPr>
                <w:rFonts w:ascii="Aptos" w:hAnsi="Aptos"/>
                <w:b w:val="0"/>
                <w:sz w:val="15"/>
              </w:rPr>
              <w:t>Precise likelihood percentages for novel AI failure modes</w:t>
            </w:r>
          </w:p>
        </w:tc>
        <w:tc>
          <w:tcPr>
            <w:tcW w:type="dxa" w:w="4320"/>
            <w:vAlign w:val="center"/>
            <w:shd w:fill="F7F9FB"/>
          </w:tcPr>
          <w:p>
            <w:pPr>
              <w:spacing w:after="0"/>
            </w:pPr>
            <w:r/>
            <w:r>
              <w:rPr>
                <w:rFonts w:ascii="Aptos" w:hAnsi="Aptos"/>
                <w:b w:val="0"/>
                <w:sz w:val="15"/>
              </w:rPr>
              <w:t>Sparse incidents, rapid model change and unknown exposure make probability estimates unstable.</w:t>
            </w:r>
          </w:p>
        </w:tc>
        <w:tc>
          <w:tcPr>
            <w:tcW w:type="dxa" w:w="3600"/>
            <w:vAlign w:val="center"/>
            <w:shd w:fill="F7F9FB"/>
          </w:tcPr>
          <w:p>
            <w:pPr>
              <w:spacing w:after="0"/>
            </w:pPr>
            <w:r/>
            <w:r>
              <w:rPr>
                <w:rFonts w:ascii="Aptos" w:hAnsi="Aptos"/>
                <w:b w:val="0"/>
                <w:sz w:val="15"/>
              </w:rPr>
              <w:t>Use anchored ordinal likelihood plus horizon, evidence and confidence.</w:t>
            </w:r>
          </w:p>
        </w:tc>
      </w:tr>
      <w:tr>
        <w:tc>
          <w:tcPr>
            <w:tcW w:type="dxa" w:w="3024"/>
            <w:vAlign w:val="center"/>
          </w:tcPr>
          <w:p>
            <w:pPr>
              <w:spacing w:after="0"/>
            </w:pPr>
            <w:r/>
            <w:r>
              <w:rPr>
                <w:rFonts w:ascii="Aptos" w:hAnsi="Aptos"/>
                <w:b w:val="0"/>
                <w:sz w:val="15"/>
              </w:rPr>
              <w:t>Exact ranking of adjacent matrix results</w:t>
            </w:r>
          </w:p>
        </w:tc>
        <w:tc>
          <w:tcPr>
            <w:tcW w:type="dxa" w:w="4320"/>
            <w:vAlign w:val="center"/>
          </w:tcPr>
          <w:p>
            <w:pPr>
              <w:spacing w:after="0"/>
            </w:pPr>
            <w:r/>
            <w:r>
              <w:rPr>
                <w:rFonts w:ascii="Aptos" w:hAnsi="Aptos"/>
                <w:b w:val="0"/>
                <w:sz w:val="15"/>
              </w:rPr>
              <w:t>A “12” is not necessarily meaningfully safer than a “15”; assessor uncertainty can exceed the difference.</w:t>
            </w:r>
          </w:p>
        </w:tc>
        <w:tc>
          <w:tcPr>
            <w:tcW w:type="dxa" w:w="3600"/>
            <w:vAlign w:val="center"/>
          </w:tcPr>
          <w:p>
            <w:pPr>
              <w:spacing w:after="0"/>
            </w:pPr>
            <w:r/>
            <w:r>
              <w:rPr>
                <w:rFonts w:ascii="Aptos" w:hAnsi="Aptos"/>
                <w:b w:val="0"/>
                <w:sz w:val="15"/>
              </w:rPr>
              <w:t>Prioritize by band, impact severity, legal/safety/rights flags, evidence confidence and treatment urgency.</w:t>
            </w:r>
          </w:p>
        </w:tc>
      </w:tr>
      <w:tr>
        <w:tc>
          <w:tcPr>
            <w:tcW w:type="dxa" w:w="3024"/>
            <w:vAlign w:val="center"/>
            <w:shd w:fill="F7F9FB"/>
          </w:tcPr>
          <w:p>
            <w:pPr>
              <w:spacing w:after="0"/>
            </w:pPr>
            <w:r/>
            <w:r>
              <w:rPr>
                <w:rFonts w:ascii="Aptos" w:hAnsi="Aptos"/>
                <w:b w:val="0"/>
                <w:sz w:val="15"/>
              </w:rPr>
              <w:t>Single system score as complete truth</w:t>
            </w:r>
          </w:p>
        </w:tc>
        <w:tc>
          <w:tcPr>
            <w:tcW w:type="dxa" w:w="4320"/>
            <w:vAlign w:val="center"/>
            <w:shd w:fill="F7F9FB"/>
          </w:tcPr>
          <w:p>
            <w:pPr>
              <w:spacing w:after="0"/>
            </w:pPr>
            <w:r/>
            <w:r>
              <w:rPr>
                <w:rFonts w:ascii="Aptos" w:hAnsi="Aptos"/>
                <w:b w:val="0"/>
                <w:sz w:val="15"/>
              </w:rPr>
              <w:t>Different affected groups, use contexts and scenarios can have materially different risk profiles.</w:t>
            </w:r>
          </w:p>
        </w:tc>
        <w:tc>
          <w:tcPr>
            <w:tcW w:type="dxa" w:w="3600"/>
            <w:vAlign w:val="center"/>
            <w:shd w:fill="F7F9FB"/>
          </w:tcPr>
          <w:p>
            <w:pPr>
              <w:spacing w:after="0"/>
            </w:pPr>
            <w:r/>
            <w:r>
              <w:rPr>
                <w:rFonts w:ascii="Aptos" w:hAnsi="Aptos"/>
                <w:b w:val="0"/>
                <w:sz w:val="15"/>
              </w:rPr>
              <w:t>Keep scenario-level records and affected-party analysis; system band is a governance roll-up only.</w:t>
            </w:r>
          </w:p>
        </w:tc>
      </w:tr>
    </w:tbl>
    <w:p>
      <w:pPr>
        <w:spacing w:after="20"/>
      </w:pPr>
    </w:p>
    <w:tbl>
      <w:tblPr>
        <w:tblStyle w:val="TableGrid"/>
        <w:tblW w:type="auto" w:w="0"/>
        <w:jc w:val="center"/>
        <w:tblLook w:firstColumn="1" w:firstRow="1" w:lastColumn="0" w:lastRow="0" w:noHBand="0" w:noVBand="1" w:val="04A0"/>
      </w:tblPr>
      <w:tblGrid>
        <w:gridCol w:w="9893"/>
      </w:tblGrid>
      <w:tr>
        <w:trPr>
          <w:tblHeader w:val="true"/>
        </w:trPr>
        <w:tc>
          <w:tcPr>
            <w:tcW w:type="dxa" w:w="9893"/>
            <w:shd w:fill="EAF0F4"/>
          </w:tcPr>
          <w:p>
            <w:r/>
            <w:r>
              <w:rPr>
                <w:b/>
                <w:color w:val="17365D"/>
                <w:sz w:val="19"/>
              </w:rPr>
              <w:t xml:space="preserve">Assessor rule.  </w:t>
            </w:r>
            <w:r>
              <w:rPr>
                <w:sz w:val="18"/>
              </w:rPr>
              <w:t>When the narrative, evidence or expert judgment conflicts with a calculated number, investigate the disagreement. Do not force the narrative to fit the number.</w:t>
            </w:r>
          </w:p>
        </w:tc>
      </w:tr>
    </w:tbl>
    <w:p>
      <w:pPr>
        <w:spacing w:after="20"/>
      </w:pPr>
    </w:p>
    <w:p>
      <w:pPr>
        <w:pStyle w:val="Heading1"/>
      </w:pPr>
      <w:r>
        <w:t>14. Evidence, assumptions and confidence</w:t>
      </w:r>
    </w:p>
    <w:p>
      <w:r>
        <w:t>Every material rating must be traceable to evidence or a documented assumption. Duckworks’ assumptions register treats changes in intended purpose, affected persons, legal role, safety impact, data category and degree of automation as potential reassessment triggers. Control evidence should be current enough to support the claimed operating state.</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448"/>
            <w:vAlign w:val="center"/>
            <w:shd w:fill="17365D"/>
          </w:tcPr>
          <w:p>
            <w:pPr>
              <w:spacing w:after="0"/>
            </w:pPr>
            <w:r/>
            <w:r>
              <w:rPr>
                <w:rFonts w:ascii="Aptos" w:hAnsi="Aptos"/>
                <w:b/>
                <w:color w:val="FFFFFF"/>
                <w:sz w:val="16"/>
              </w:rPr>
              <w:t>Record</w:t>
            </w:r>
          </w:p>
        </w:tc>
        <w:tc>
          <w:tcPr>
            <w:tcW w:type="dxa" w:w="8352"/>
            <w:vAlign w:val="center"/>
            <w:shd w:fill="17365D"/>
          </w:tcPr>
          <w:p>
            <w:pPr>
              <w:spacing w:after="0"/>
            </w:pPr>
            <w:r/>
            <w:r>
              <w:rPr>
                <w:rFonts w:ascii="Aptos" w:hAnsi="Aptos"/>
                <w:b/>
                <w:color w:val="FFFFFF"/>
                <w:sz w:val="16"/>
              </w:rPr>
              <w:t>Minimum content</w:t>
            </w:r>
          </w:p>
        </w:tc>
      </w:tr>
      <w:tr>
        <w:tc>
          <w:tcPr>
            <w:tcW w:type="dxa" w:w="2448"/>
            <w:vAlign w:val="center"/>
          </w:tcPr>
          <w:p>
            <w:pPr>
              <w:spacing w:after="0"/>
            </w:pPr>
            <w:r/>
            <w:r>
              <w:rPr>
                <w:rFonts w:ascii="Aptos" w:hAnsi="Aptos"/>
                <w:b w:val="0"/>
                <w:sz w:val="16"/>
              </w:rPr>
              <w:t>Scenario rationale</w:t>
            </w:r>
          </w:p>
        </w:tc>
        <w:tc>
          <w:tcPr>
            <w:tcW w:type="dxa" w:w="8352"/>
            <w:vAlign w:val="center"/>
          </w:tcPr>
          <w:p>
            <w:pPr>
              <w:spacing w:after="0"/>
            </w:pPr>
            <w:r/>
            <w:r>
              <w:rPr>
                <w:rFonts w:ascii="Aptos" w:hAnsi="Aptos"/>
                <w:b w:val="0"/>
                <w:sz w:val="16"/>
              </w:rPr>
              <w:t>Cause, event, impact, affected parties, scope and key dependencies.</w:t>
            </w:r>
          </w:p>
        </w:tc>
      </w:tr>
      <w:tr>
        <w:tc>
          <w:tcPr>
            <w:tcW w:type="dxa" w:w="2448"/>
            <w:vAlign w:val="center"/>
            <w:shd w:fill="F7F9FB"/>
          </w:tcPr>
          <w:p>
            <w:pPr>
              <w:spacing w:after="0"/>
            </w:pPr>
            <w:r/>
            <w:r>
              <w:rPr>
                <w:rFonts w:ascii="Aptos" w:hAnsi="Aptos"/>
                <w:b w:val="0"/>
                <w:sz w:val="16"/>
              </w:rPr>
              <w:t>Inherent rating basis</w:t>
            </w:r>
          </w:p>
        </w:tc>
        <w:tc>
          <w:tcPr>
            <w:tcW w:type="dxa" w:w="8352"/>
            <w:vAlign w:val="center"/>
            <w:shd w:fill="F7F9FB"/>
          </w:tcPr>
          <w:p>
            <w:pPr>
              <w:spacing w:after="0"/>
            </w:pPr>
            <w:r/>
            <w:r>
              <w:rPr>
                <w:rFonts w:ascii="Aptos" w:hAnsi="Aptos"/>
                <w:b w:val="0"/>
                <w:sz w:val="16"/>
              </w:rPr>
              <w:t>Impact anchor, likelihood anchor, assessment horizon, assumptions and evidence references.</w:t>
            </w:r>
          </w:p>
        </w:tc>
      </w:tr>
      <w:tr>
        <w:tc>
          <w:tcPr>
            <w:tcW w:type="dxa" w:w="2448"/>
            <w:vAlign w:val="center"/>
          </w:tcPr>
          <w:p>
            <w:pPr>
              <w:spacing w:after="0"/>
            </w:pPr>
            <w:r/>
            <w:r>
              <w:rPr>
                <w:rFonts w:ascii="Aptos" w:hAnsi="Aptos"/>
                <w:b w:val="0"/>
                <w:sz w:val="16"/>
              </w:rPr>
              <w:t>Control assessment</w:t>
            </w:r>
          </w:p>
        </w:tc>
        <w:tc>
          <w:tcPr>
            <w:tcW w:type="dxa" w:w="8352"/>
            <w:vAlign w:val="center"/>
          </w:tcPr>
          <w:p>
            <w:pPr>
              <w:spacing w:after="0"/>
            </w:pPr>
            <w:r/>
            <w:r>
              <w:rPr>
                <w:rFonts w:ascii="Aptos" w:hAnsi="Aptos"/>
                <w:b w:val="0"/>
                <w:sz w:val="16"/>
              </w:rPr>
              <w:t>Control owner, design/operation conclusion, evidence references, gaps and confidence.</w:t>
            </w:r>
          </w:p>
        </w:tc>
      </w:tr>
      <w:tr>
        <w:tc>
          <w:tcPr>
            <w:tcW w:type="dxa" w:w="2448"/>
            <w:vAlign w:val="center"/>
            <w:shd w:fill="F7F9FB"/>
          </w:tcPr>
          <w:p>
            <w:pPr>
              <w:spacing w:after="0"/>
            </w:pPr>
            <w:r/>
            <w:r>
              <w:rPr>
                <w:rFonts w:ascii="Aptos" w:hAnsi="Aptos"/>
                <w:b w:val="0"/>
                <w:sz w:val="16"/>
              </w:rPr>
              <w:t>Residual rating basis</w:t>
            </w:r>
          </w:p>
        </w:tc>
        <w:tc>
          <w:tcPr>
            <w:tcW w:type="dxa" w:w="8352"/>
            <w:vAlign w:val="center"/>
            <w:shd w:fill="F7F9FB"/>
          </w:tcPr>
          <w:p>
            <w:pPr>
              <w:spacing w:after="0"/>
            </w:pPr>
            <w:r/>
            <w:r>
              <w:rPr>
                <w:rFonts w:ascii="Aptos" w:hAnsi="Aptos"/>
                <w:b w:val="0"/>
                <w:sz w:val="16"/>
              </w:rPr>
              <w:t>Which aspects of impact/likelihood changed and why; no unsupported arithmetic discounting.</w:t>
            </w:r>
          </w:p>
        </w:tc>
      </w:tr>
      <w:tr>
        <w:tc>
          <w:tcPr>
            <w:tcW w:type="dxa" w:w="2448"/>
            <w:vAlign w:val="center"/>
          </w:tcPr>
          <w:p>
            <w:pPr>
              <w:spacing w:after="0"/>
            </w:pPr>
            <w:r/>
            <w:r>
              <w:rPr>
                <w:rFonts w:ascii="Aptos" w:hAnsi="Aptos"/>
                <w:b w:val="0"/>
                <w:sz w:val="16"/>
              </w:rPr>
              <w:t>Decision record</w:t>
            </w:r>
          </w:p>
        </w:tc>
        <w:tc>
          <w:tcPr>
            <w:tcW w:type="dxa" w:w="8352"/>
            <w:vAlign w:val="center"/>
          </w:tcPr>
          <w:p>
            <w:pPr>
              <w:spacing w:after="0"/>
            </w:pPr>
            <w:r/>
            <w:r>
              <w:rPr>
                <w:rFonts w:ascii="Aptos" w:hAnsi="Aptos"/>
                <w:b w:val="0"/>
                <w:sz w:val="16"/>
              </w:rPr>
              <w:t>Treatment, acceptance authority, conditions, due dates, monitoring and suspension/exit criteria.</w:t>
            </w:r>
          </w:p>
        </w:tc>
      </w:tr>
      <w:tr>
        <w:tc>
          <w:tcPr>
            <w:tcW w:type="dxa" w:w="2448"/>
            <w:vAlign w:val="center"/>
            <w:shd w:fill="F7F9FB"/>
          </w:tcPr>
          <w:p>
            <w:pPr>
              <w:spacing w:after="0"/>
            </w:pPr>
            <w:r/>
            <w:r>
              <w:rPr>
                <w:rFonts w:ascii="Aptos" w:hAnsi="Aptos"/>
                <w:b w:val="0"/>
                <w:sz w:val="16"/>
              </w:rPr>
              <w:t>Reassessment trigger</w:t>
            </w:r>
          </w:p>
        </w:tc>
        <w:tc>
          <w:tcPr>
            <w:tcW w:type="dxa" w:w="8352"/>
            <w:vAlign w:val="center"/>
            <w:shd w:fill="F7F9FB"/>
          </w:tcPr>
          <w:p>
            <w:pPr>
              <w:spacing w:after="0"/>
            </w:pPr>
            <w:r/>
            <w:r>
              <w:rPr>
                <w:rFonts w:ascii="Aptos" w:hAnsi="Aptos"/>
                <w:b w:val="0"/>
                <w:sz w:val="16"/>
              </w:rPr>
              <w:t>Material change, incident, threshold breach, evidence expiry or scheduled review.</w:t>
            </w:r>
          </w:p>
        </w:tc>
      </w:tr>
    </w:tbl>
    <w:p>
      <w:pPr>
        <w:spacing w:after="20"/>
      </w:pPr>
    </w:p>
    <w:p>
      <w:pPr>
        <w:pStyle w:val="Heading1"/>
      </w:pPr>
      <w:r>
        <w:t>15. Methodology approval and implementation sequence</w:t>
      </w:r>
    </w:p>
    <w:p>
      <w:pPr>
        <w:pStyle w:val="ListNumber"/>
        <w:spacing w:after="40"/>
      </w:pPr>
      <w:r>
        <w:t>Risk &amp; Compliance circulates this v0.9 draft for review by the CRCO, AI Governance Lead, CISO, General Counsel, DPO, Head of Data &amp; AI, HR and Product Safety representatives.</w:t>
      </w:r>
    </w:p>
    <w:p>
      <w:pPr>
        <w:pStyle w:val="ListNumber"/>
        <w:spacing w:after="40"/>
      </w:pPr>
      <w:r>
        <w:t>Reviewers confirm the impact/likelihood anchors, risk matrix, control-effectiveness categories, acceptance authorities, escalation rules and false-precision safeguards.</w:t>
      </w:r>
    </w:p>
    <w:p>
      <w:pPr>
        <w:pStyle w:val="ListNumber"/>
        <w:spacing w:after="40"/>
      </w:pPr>
      <w:r>
        <w:t>The CRCO / AI Governance Committee formally approves the methodology and assigns an effective version.</w:t>
      </w:r>
    </w:p>
    <w:p>
      <w:pPr>
        <w:pStyle w:val="ListNumber"/>
        <w:spacing w:after="40"/>
      </w:pPr>
      <w:r>
        <w:t>Only after approval are the Inherent Risk, Control Effectiveness and Residual Risk fields in the approved inventory populated.</w:t>
      </w:r>
    </w:p>
    <w:p>
      <w:pPr>
        <w:pStyle w:val="ListNumber"/>
        <w:spacing w:after="40"/>
      </w:pPr>
      <w:r>
        <w:t>System assessments are performed scenario by scenario, with AI-007 decomposed into distinct material use cases as they are discovered.</w:t>
      </w:r>
    </w:p>
    <w:p>
      <w:pPr>
        <w:pStyle w:val="ListNumber"/>
        <w:spacing w:after="40"/>
      </w:pPr>
      <w:r>
        <w:t>Results are quality-checked for cross-artifact consistency before management reporting or portfolio publication.</w:t>
      </w:r>
    </w:p>
    <w:tbl>
      <w:tblPr>
        <w:tblStyle w:val="TableGrid"/>
        <w:tblW w:type="auto" w:w="0"/>
        <w:jc w:val="center"/>
        <w:tblLook w:firstColumn="1" w:firstRow="1" w:lastColumn="0" w:lastRow="0" w:noHBand="0" w:noVBand="1" w:val="04A0"/>
      </w:tblPr>
      <w:tblGrid>
        <w:gridCol w:w="9893"/>
      </w:tblGrid>
      <w:tr>
        <w:trPr>
          <w:tblHeader w:val="true"/>
        </w:trPr>
        <w:tc>
          <w:tcPr>
            <w:tcW w:type="dxa" w:w="9893"/>
            <w:shd w:fill="FFF2CC"/>
          </w:tcPr>
          <w:p>
            <w:r/>
            <w:r>
              <w:rPr>
                <w:b/>
                <w:color w:val="17365D"/>
                <w:sz w:val="19"/>
              </w:rPr>
              <w:t xml:space="preserve">Status at issuance.  </w:t>
            </w:r>
            <w:r>
              <w:rPr>
                <w:sz w:val="18"/>
              </w:rPr>
              <w:t>Methodology design complete for review. System scoring is intentionally deferred. Existing artifacts that contain risk-assessed values should not be treated as the authoritative baseline for this approval cycle until the methodology is approved and assessments are re-performed or formally reconciled.</w:t>
            </w:r>
          </w:p>
        </w:tc>
      </w:tr>
    </w:tbl>
    <w:p>
      <w:pPr>
        <w:spacing w:after="20"/>
      </w:pPr>
    </w:p>
    <w:p>
      <w:pPr>
        <w:pStyle w:val="Heading1"/>
      </w:pPr>
      <w:r>
        <w:t>Appendix A - Minimum scenario assessment record</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880"/>
            <w:vAlign w:val="center"/>
            <w:shd w:fill="17365D"/>
          </w:tcPr>
          <w:p>
            <w:pPr>
              <w:spacing w:after="0"/>
            </w:pPr>
            <w:r/>
            <w:r>
              <w:rPr>
                <w:rFonts w:ascii="Aptos" w:hAnsi="Aptos"/>
                <w:b/>
                <w:color w:val="FFFFFF"/>
                <w:sz w:val="16"/>
              </w:rPr>
              <w:t>Field</w:t>
            </w:r>
          </w:p>
        </w:tc>
        <w:tc>
          <w:tcPr>
            <w:tcW w:type="dxa" w:w="8064"/>
            <w:vAlign w:val="center"/>
            <w:shd w:fill="17365D"/>
          </w:tcPr>
          <w:p>
            <w:pPr>
              <w:spacing w:after="0"/>
            </w:pPr>
            <w:r/>
            <w:r>
              <w:rPr>
                <w:rFonts w:ascii="Aptos" w:hAnsi="Aptos"/>
                <w:b/>
                <w:color w:val="FFFFFF"/>
                <w:sz w:val="16"/>
              </w:rPr>
              <w:t>Required entry</w:t>
            </w:r>
          </w:p>
        </w:tc>
      </w:tr>
      <w:tr>
        <w:tc>
          <w:tcPr>
            <w:tcW w:type="dxa" w:w="2880"/>
            <w:vAlign w:val="center"/>
          </w:tcPr>
          <w:p>
            <w:pPr>
              <w:spacing w:after="0"/>
            </w:pPr>
            <w:r/>
            <w:r>
              <w:rPr>
                <w:rFonts w:ascii="Aptos" w:hAnsi="Aptos"/>
                <w:b w:val="0"/>
                <w:sz w:val="16"/>
              </w:rPr>
              <w:t>AI ID / system</w:t>
            </w:r>
          </w:p>
        </w:tc>
        <w:tc>
          <w:tcPr>
            <w:tcW w:type="dxa" w:w="8064"/>
            <w:vAlign w:val="center"/>
          </w:tcPr>
          <w:p>
            <w:pPr>
              <w:spacing w:after="0"/>
            </w:pPr>
            <w:r/>
            <w:r>
              <w:rPr>
                <w:rFonts w:ascii="Aptos" w:hAnsi="Aptos"/>
                <w:b w:val="0"/>
                <w:sz w:val="16"/>
              </w:rPr>
              <w:t>Use approved inventory identifier.</w:t>
            </w:r>
          </w:p>
        </w:tc>
      </w:tr>
      <w:tr>
        <w:tc>
          <w:tcPr>
            <w:tcW w:type="dxa" w:w="2880"/>
            <w:vAlign w:val="center"/>
            <w:shd w:fill="F7F9FB"/>
          </w:tcPr>
          <w:p>
            <w:pPr>
              <w:spacing w:after="0"/>
            </w:pPr>
            <w:r/>
            <w:r>
              <w:rPr>
                <w:rFonts w:ascii="Aptos" w:hAnsi="Aptos"/>
                <w:b w:val="0"/>
                <w:sz w:val="16"/>
              </w:rPr>
              <w:t>Scenario ID</w:t>
            </w:r>
          </w:p>
        </w:tc>
        <w:tc>
          <w:tcPr>
            <w:tcW w:type="dxa" w:w="8064"/>
            <w:vAlign w:val="center"/>
            <w:shd w:fill="F7F9FB"/>
          </w:tcPr>
          <w:p>
            <w:pPr>
              <w:spacing w:after="0"/>
            </w:pPr>
            <w:r/>
            <w:r>
              <w:rPr>
                <w:rFonts w:ascii="Aptos" w:hAnsi="Aptos"/>
                <w:b w:val="0"/>
                <w:sz w:val="16"/>
              </w:rPr>
              <w:t>Stable unique scenario identifier.</w:t>
            </w:r>
          </w:p>
        </w:tc>
      </w:tr>
      <w:tr>
        <w:tc>
          <w:tcPr>
            <w:tcW w:type="dxa" w:w="2880"/>
            <w:vAlign w:val="center"/>
          </w:tcPr>
          <w:p>
            <w:pPr>
              <w:spacing w:after="0"/>
            </w:pPr>
            <w:r/>
            <w:r>
              <w:rPr>
                <w:rFonts w:ascii="Aptos" w:hAnsi="Aptos"/>
                <w:b w:val="0"/>
                <w:sz w:val="16"/>
              </w:rPr>
              <w:t>Cause -&gt; Event -&gt; Impact</w:t>
            </w:r>
          </w:p>
        </w:tc>
        <w:tc>
          <w:tcPr>
            <w:tcW w:type="dxa" w:w="8064"/>
            <w:vAlign w:val="center"/>
          </w:tcPr>
          <w:p>
            <w:pPr>
              <w:spacing w:after="0"/>
            </w:pPr>
            <w:r/>
            <w:r>
              <w:rPr>
                <w:rFonts w:ascii="Aptos" w:hAnsi="Aptos"/>
                <w:b w:val="0"/>
                <w:sz w:val="16"/>
              </w:rPr>
              <w:t>Specific, auditable risk statement.</w:t>
            </w:r>
          </w:p>
        </w:tc>
      </w:tr>
      <w:tr>
        <w:tc>
          <w:tcPr>
            <w:tcW w:type="dxa" w:w="2880"/>
            <w:vAlign w:val="center"/>
            <w:shd w:fill="F7F9FB"/>
          </w:tcPr>
          <w:p>
            <w:pPr>
              <w:spacing w:after="0"/>
            </w:pPr>
            <w:r/>
            <w:r>
              <w:rPr>
                <w:rFonts w:ascii="Aptos" w:hAnsi="Aptos"/>
                <w:b w:val="0"/>
                <w:sz w:val="16"/>
              </w:rPr>
              <w:t>Affected parties / assets</w:t>
            </w:r>
          </w:p>
        </w:tc>
        <w:tc>
          <w:tcPr>
            <w:tcW w:type="dxa" w:w="8064"/>
            <w:vAlign w:val="center"/>
            <w:shd w:fill="F7F9FB"/>
          </w:tcPr>
          <w:p>
            <w:pPr>
              <w:spacing w:after="0"/>
            </w:pPr>
            <w:r/>
            <w:r>
              <w:rPr>
                <w:rFonts w:ascii="Aptos" w:hAnsi="Aptos"/>
                <w:b w:val="0"/>
                <w:sz w:val="16"/>
              </w:rPr>
              <w:t>Individuals, groups, operations, products, data or suppliers affected.</w:t>
            </w:r>
          </w:p>
        </w:tc>
      </w:tr>
      <w:tr>
        <w:tc>
          <w:tcPr>
            <w:tcW w:type="dxa" w:w="2880"/>
            <w:vAlign w:val="center"/>
          </w:tcPr>
          <w:p>
            <w:pPr>
              <w:spacing w:after="0"/>
            </w:pPr>
            <w:r/>
            <w:r>
              <w:rPr>
                <w:rFonts w:ascii="Aptos" w:hAnsi="Aptos"/>
                <w:b w:val="0"/>
                <w:sz w:val="16"/>
              </w:rPr>
              <w:t>Assessment horizon</w:t>
            </w:r>
          </w:p>
        </w:tc>
        <w:tc>
          <w:tcPr>
            <w:tcW w:type="dxa" w:w="8064"/>
            <w:vAlign w:val="center"/>
          </w:tcPr>
          <w:p>
            <w:pPr>
              <w:spacing w:after="0"/>
            </w:pPr>
            <w:r/>
            <w:r>
              <w:rPr>
                <w:rFonts w:ascii="Aptos" w:hAnsi="Aptos"/>
                <w:b w:val="0"/>
                <w:sz w:val="16"/>
              </w:rPr>
              <w:t>Period or lifecycle window used for likelihood judgment.</w:t>
            </w:r>
          </w:p>
        </w:tc>
      </w:tr>
      <w:tr>
        <w:tc>
          <w:tcPr>
            <w:tcW w:type="dxa" w:w="2880"/>
            <w:vAlign w:val="center"/>
            <w:shd w:fill="F7F9FB"/>
          </w:tcPr>
          <w:p>
            <w:pPr>
              <w:spacing w:after="0"/>
            </w:pPr>
            <w:r/>
            <w:r>
              <w:rPr>
                <w:rFonts w:ascii="Aptos" w:hAnsi="Aptos"/>
                <w:b w:val="0"/>
                <w:sz w:val="16"/>
              </w:rPr>
              <w:t>Inherent impact</w:t>
            </w:r>
          </w:p>
        </w:tc>
        <w:tc>
          <w:tcPr>
            <w:tcW w:type="dxa" w:w="8064"/>
            <w:vAlign w:val="center"/>
            <w:shd w:fill="F7F9FB"/>
          </w:tcPr>
          <w:p>
            <w:pPr>
              <w:spacing w:after="0"/>
            </w:pPr>
            <w:r/>
            <w:r>
              <w:rPr>
                <w:rFonts w:ascii="Aptos" w:hAnsi="Aptos"/>
                <w:b w:val="0"/>
                <w:sz w:val="16"/>
              </w:rPr>
              <w:t>1-5 + anchor rationale.</w:t>
            </w:r>
          </w:p>
        </w:tc>
      </w:tr>
      <w:tr>
        <w:tc>
          <w:tcPr>
            <w:tcW w:type="dxa" w:w="2880"/>
            <w:vAlign w:val="center"/>
          </w:tcPr>
          <w:p>
            <w:pPr>
              <w:spacing w:after="0"/>
            </w:pPr>
            <w:r/>
            <w:r>
              <w:rPr>
                <w:rFonts w:ascii="Aptos" w:hAnsi="Aptos"/>
                <w:b w:val="0"/>
                <w:sz w:val="16"/>
              </w:rPr>
              <w:t>Inherent likelihood</w:t>
            </w:r>
          </w:p>
        </w:tc>
        <w:tc>
          <w:tcPr>
            <w:tcW w:type="dxa" w:w="8064"/>
            <w:vAlign w:val="center"/>
          </w:tcPr>
          <w:p>
            <w:pPr>
              <w:spacing w:after="0"/>
            </w:pPr>
            <w:r/>
            <w:r>
              <w:rPr>
                <w:rFonts w:ascii="Aptos" w:hAnsi="Aptos"/>
                <w:b w:val="0"/>
                <w:sz w:val="16"/>
              </w:rPr>
              <w:t>1-5 + evidence rationale.</w:t>
            </w:r>
          </w:p>
        </w:tc>
      </w:tr>
      <w:tr>
        <w:tc>
          <w:tcPr>
            <w:tcW w:type="dxa" w:w="2880"/>
            <w:vAlign w:val="center"/>
            <w:shd w:fill="F7F9FB"/>
          </w:tcPr>
          <w:p>
            <w:pPr>
              <w:spacing w:after="0"/>
            </w:pPr>
            <w:r/>
            <w:r>
              <w:rPr>
                <w:rFonts w:ascii="Aptos" w:hAnsi="Aptos"/>
                <w:b w:val="0"/>
                <w:sz w:val="16"/>
              </w:rPr>
              <w:t>Inherent band</w:t>
            </w:r>
          </w:p>
        </w:tc>
        <w:tc>
          <w:tcPr>
            <w:tcW w:type="dxa" w:w="8064"/>
            <w:vAlign w:val="center"/>
            <w:shd w:fill="F7F9FB"/>
          </w:tcPr>
          <w:p>
            <w:pPr>
              <w:spacing w:after="0"/>
            </w:pPr>
            <w:r/>
            <w:r>
              <w:rPr>
                <w:rFonts w:ascii="Aptos" w:hAnsi="Aptos"/>
                <w:b w:val="0"/>
                <w:sz w:val="16"/>
              </w:rPr>
              <w:t>Matrix result; no system values until methodology approval.</w:t>
            </w:r>
          </w:p>
        </w:tc>
      </w:tr>
      <w:tr>
        <w:tc>
          <w:tcPr>
            <w:tcW w:type="dxa" w:w="2880"/>
            <w:vAlign w:val="center"/>
          </w:tcPr>
          <w:p>
            <w:pPr>
              <w:spacing w:after="0"/>
            </w:pPr>
            <w:r/>
            <w:r>
              <w:rPr>
                <w:rFonts w:ascii="Aptos" w:hAnsi="Aptos"/>
                <w:b w:val="0"/>
                <w:sz w:val="16"/>
              </w:rPr>
              <w:t>Key implemented controls</w:t>
            </w:r>
          </w:p>
        </w:tc>
        <w:tc>
          <w:tcPr>
            <w:tcW w:type="dxa" w:w="8064"/>
            <w:vAlign w:val="center"/>
          </w:tcPr>
          <w:p>
            <w:pPr>
              <w:spacing w:after="0"/>
            </w:pPr>
            <w:r/>
            <w:r>
              <w:rPr>
                <w:rFonts w:ascii="Aptos" w:hAnsi="Aptos"/>
                <w:b w:val="0"/>
                <w:sz w:val="16"/>
              </w:rPr>
              <w:t>Controls that are actually operating.</w:t>
            </w:r>
          </w:p>
        </w:tc>
      </w:tr>
      <w:tr>
        <w:tc>
          <w:tcPr>
            <w:tcW w:type="dxa" w:w="2880"/>
            <w:vAlign w:val="center"/>
            <w:shd w:fill="F7F9FB"/>
          </w:tcPr>
          <w:p>
            <w:pPr>
              <w:spacing w:after="0"/>
            </w:pPr>
            <w:r/>
            <w:r>
              <w:rPr>
                <w:rFonts w:ascii="Aptos" w:hAnsi="Aptos"/>
                <w:b w:val="0"/>
                <w:sz w:val="16"/>
              </w:rPr>
              <w:t>Control effectiveness</w:t>
            </w:r>
          </w:p>
        </w:tc>
        <w:tc>
          <w:tcPr>
            <w:tcW w:type="dxa" w:w="8064"/>
            <w:vAlign w:val="center"/>
            <w:shd w:fill="F7F9FB"/>
          </w:tcPr>
          <w:p>
            <w:pPr>
              <w:spacing w:after="0"/>
            </w:pPr>
            <w:r/>
            <w:r>
              <w:rPr>
                <w:rFonts w:ascii="Aptos" w:hAnsi="Aptos"/>
                <w:b w:val="0"/>
                <w:sz w:val="16"/>
              </w:rPr>
              <w:t>Categorical rating + design/operation rationale.</w:t>
            </w:r>
          </w:p>
        </w:tc>
      </w:tr>
      <w:tr>
        <w:tc>
          <w:tcPr>
            <w:tcW w:type="dxa" w:w="2880"/>
            <w:vAlign w:val="center"/>
          </w:tcPr>
          <w:p>
            <w:pPr>
              <w:spacing w:after="0"/>
            </w:pPr>
            <w:r/>
            <w:r>
              <w:rPr>
                <w:rFonts w:ascii="Aptos" w:hAnsi="Aptos"/>
                <w:b w:val="0"/>
                <w:sz w:val="16"/>
              </w:rPr>
              <w:t>Evidence confidence</w:t>
            </w:r>
          </w:p>
        </w:tc>
        <w:tc>
          <w:tcPr>
            <w:tcW w:type="dxa" w:w="8064"/>
            <w:vAlign w:val="center"/>
          </w:tcPr>
          <w:p>
            <w:pPr>
              <w:spacing w:after="0"/>
            </w:pPr>
            <w:r/>
            <w:r>
              <w:rPr>
                <w:rFonts w:ascii="Aptos" w:hAnsi="Aptos"/>
                <w:b w:val="0"/>
                <w:sz w:val="16"/>
              </w:rPr>
              <w:t>Low / Medium / High + evidence references.</w:t>
            </w:r>
          </w:p>
        </w:tc>
      </w:tr>
      <w:tr>
        <w:tc>
          <w:tcPr>
            <w:tcW w:type="dxa" w:w="2880"/>
            <w:vAlign w:val="center"/>
            <w:shd w:fill="F7F9FB"/>
          </w:tcPr>
          <w:p>
            <w:pPr>
              <w:spacing w:after="0"/>
            </w:pPr>
            <w:r/>
            <w:r>
              <w:rPr>
                <w:rFonts w:ascii="Aptos" w:hAnsi="Aptos"/>
                <w:b w:val="0"/>
                <w:sz w:val="16"/>
              </w:rPr>
              <w:t>Residual impact</w:t>
            </w:r>
          </w:p>
        </w:tc>
        <w:tc>
          <w:tcPr>
            <w:tcW w:type="dxa" w:w="8064"/>
            <w:vAlign w:val="center"/>
            <w:shd w:fill="F7F9FB"/>
          </w:tcPr>
          <w:p>
            <w:pPr>
              <w:spacing w:after="0"/>
            </w:pPr>
            <w:r/>
            <w:r>
              <w:rPr>
                <w:rFonts w:ascii="Aptos" w:hAnsi="Aptos"/>
                <w:b w:val="0"/>
                <w:sz w:val="16"/>
              </w:rPr>
              <w:t>1-5 + explanation of any change.</w:t>
            </w:r>
          </w:p>
        </w:tc>
      </w:tr>
      <w:tr>
        <w:tc>
          <w:tcPr>
            <w:tcW w:type="dxa" w:w="2880"/>
            <w:vAlign w:val="center"/>
          </w:tcPr>
          <w:p>
            <w:pPr>
              <w:spacing w:after="0"/>
            </w:pPr>
            <w:r/>
            <w:r>
              <w:rPr>
                <w:rFonts w:ascii="Aptos" w:hAnsi="Aptos"/>
                <w:b w:val="0"/>
                <w:sz w:val="16"/>
              </w:rPr>
              <w:t>Residual likelihood</w:t>
            </w:r>
          </w:p>
        </w:tc>
        <w:tc>
          <w:tcPr>
            <w:tcW w:type="dxa" w:w="8064"/>
            <w:vAlign w:val="center"/>
          </w:tcPr>
          <w:p>
            <w:pPr>
              <w:spacing w:after="0"/>
            </w:pPr>
            <w:r/>
            <w:r>
              <w:rPr>
                <w:rFonts w:ascii="Aptos" w:hAnsi="Aptos"/>
                <w:b w:val="0"/>
                <w:sz w:val="16"/>
              </w:rPr>
              <w:t>1-5 + explanation of any change.</w:t>
            </w:r>
          </w:p>
        </w:tc>
      </w:tr>
      <w:tr>
        <w:tc>
          <w:tcPr>
            <w:tcW w:type="dxa" w:w="2880"/>
            <w:vAlign w:val="center"/>
            <w:shd w:fill="F7F9FB"/>
          </w:tcPr>
          <w:p>
            <w:pPr>
              <w:spacing w:after="0"/>
            </w:pPr>
            <w:r/>
            <w:r>
              <w:rPr>
                <w:rFonts w:ascii="Aptos" w:hAnsi="Aptos"/>
                <w:b w:val="0"/>
                <w:sz w:val="16"/>
              </w:rPr>
              <w:t>Residual band</w:t>
            </w:r>
          </w:p>
        </w:tc>
        <w:tc>
          <w:tcPr>
            <w:tcW w:type="dxa" w:w="8064"/>
            <w:vAlign w:val="center"/>
            <w:shd w:fill="F7F9FB"/>
          </w:tcPr>
          <w:p>
            <w:pPr>
              <w:spacing w:after="0"/>
            </w:pPr>
            <w:r/>
            <w:r>
              <w:rPr>
                <w:rFonts w:ascii="Aptos" w:hAnsi="Aptos"/>
                <w:b w:val="0"/>
                <w:sz w:val="16"/>
              </w:rPr>
              <w:t>Matrix result.</w:t>
            </w:r>
          </w:p>
        </w:tc>
      </w:tr>
      <w:tr>
        <w:tc>
          <w:tcPr>
            <w:tcW w:type="dxa" w:w="2880"/>
            <w:vAlign w:val="center"/>
          </w:tcPr>
          <w:p>
            <w:pPr>
              <w:spacing w:after="0"/>
            </w:pPr>
            <w:r/>
            <w:r>
              <w:rPr>
                <w:rFonts w:ascii="Aptos" w:hAnsi="Aptos"/>
                <w:b w:val="0"/>
                <w:sz w:val="16"/>
              </w:rPr>
              <w:t>Treatment</w:t>
            </w:r>
          </w:p>
        </w:tc>
        <w:tc>
          <w:tcPr>
            <w:tcW w:type="dxa" w:w="8064"/>
            <w:vAlign w:val="center"/>
          </w:tcPr>
          <w:p>
            <w:pPr>
              <w:spacing w:after="0"/>
            </w:pPr>
            <w:r/>
            <w:r>
              <w:rPr>
                <w:rFonts w:ascii="Aptos" w:hAnsi="Aptos"/>
                <w:b w:val="0"/>
                <w:sz w:val="16"/>
              </w:rPr>
              <w:t>Avoid / reduce / transfer-share / accept / suspend / retire.</w:t>
            </w:r>
          </w:p>
        </w:tc>
      </w:tr>
      <w:tr>
        <w:tc>
          <w:tcPr>
            <w:tcW w:type="dxa" w:w="2880"/>
            <w:vAlign w:val="center"/>
            <w:shd w:fill="F7F9FB"/>
          </w:tcPr>
          <w:p>
            <w:pPr>
              <w:spacing w:after="0"/>
            </w:pPr>
            <w:r/>
            <w:r>
              <w:rPr>
                <w:rFonts w:ascii="Aptos" w:hAnsi="Aptos"/>
                <w:b w:val="0"/>
                <w:sz w:val="16"/>
              </w:rPr>
              <w:t>Target residual</w:t>
            </w:r>
          </w:p>
        </w:tc>
        <w:tc>
          <w:tcPr>
            <w:tcW w:type="dxa" w:w="8064"/>
            <w:vAlign w:val="center"/>
            <w:shd w:fill="F7F9FB"/>
          </w:tcPr>
          <w:p>
            <w:pPr>
              <w:spacing w:after="0"/>
            </w:pPr>
            <w:r/>
            <w:r>
              <w:rPr>
                <w:rFonts w:ascii="Aptos" w:hAnsi="Aptos"/>
                <w:b w:val="0"/>
                <w:sz w:val="16"/>
              </w:rPr>
              <w:t>Future planning state only.</w:t>
            </w:r>
          </w:p>
        </w:tc>
      </w:tr>
      <w:tr>
        <w:tc>
          <w:tcPr>
            <w:tcW w:type="dxa" w:w="2880"/>
            <w:vAlign w:val="center"/>
          </w:tcPr>
          <w:p>
            <w:pPr>
              <w:spacing w:after="0"/>
            </w:pPr>
            <w:r/>
            <w:r>
              <w:rPr>
                <w:rFonts w:ascii="Aptos" w:hAnsi="Aptos"/>
                <w:b w:val="0"/>
                <w:sz w:val="16"/>
              </w:rPr>
              <w:t>Approval authority</w:t>
            </w:r>
          </w:p>
        </w:tc>
        <w:tc>
          <w:tcPr>
            <w:tcW w:type="dxa" w:w="8064"/>
            <w:vAlign w:val="center"/>
          </w:tcPr>
          <w:p>
            <w:pPr>
              <w:spacing w:after="0"/>
            </w:pPr>
            <w:r/>
            <w:r>
              <w:rPr>
                <w:rFonts w:ascii="Aptos" w:hAnsi="Aptos"/>
                <w:b w:val="0"/>
                <w:sz w:val="16"/>
              </w:rPr>
              <w:t>Per Section 11.</w:t>
            </w:r>
          </w:p>
        </w:tc>
      </w:tr>
      <w:tr>
        <w:tc>
          <w:tcPr>
            <w:tcW w:type="dxa" w:w="2880"/>
            <w:vAlign w:val="center"/>
            <w:shd w:fill="F7F9FB"/>
          </w:tcPr>
          <w:p>
            <w:pPr>
              <w:spacing w:after="0"/>
            </w:pPr>
            <w:r/>
            <w:r>
              <w:rPr>
                <w:rFonts w:ascii="Aptos" w:hAnsi="Aptos"/>
                <w:b w:val="0"/>
                <w:sz w:val="16"/>
              </w:rPr>
              <w:t>Monitoring / KRI</w:t>
            </w:r>
          </w:p>
        </w:tc>
        <w:tc>
          <w:tcPr>
            <w:tcW w:type="dxa" w:w="8064"/>
            <w:vAlign w:val="center"/>
            <w:shd w:fill="F7F9FB"/>
          </w:tcPr>
          <w:p>
            <w:pPr>
              <w:spacing w:after="0"/>
            </w:pPr>
            <w:r/>
            <w:r>
              <w:rPr>
                <w:rFonts w:ascii="Aptos" w:hAnsi="Aptos"/>
                <w:b w:val="0"/>
                <w:sz w:val="16"/>
              </w:rPr>
              <w:t>Metric, threshold, cadence, owner.</w:t>
            </w:r>
          </w:p>
        </w:tc>
      </w:tr>
      <w:tr>
        <w:tc>
          <w:tcPr>
            <w:tcW w:type="dxa" w:w="2880"/>
            <w:vAlign w:val="center"/>
          </w:tcPr>
          <w:p>
            <w:pPr>
              <w:spacing w:after="0"/>
            </w:pPr>
            <w:r/>
            <w:r>
              <w:rPr>
                <w:rFonts w:ascii="Aptos" w:hAnsi="Aptos"/>
                <w:b w:val="0"/>
                <w:sz w:val="16"/>
              </w:rPr>
              <w:t>Reassessment trigger</w:t>
            </w:r>
          </w:p>
        </w:tc>
        <w:tc>
          <w:tcPr>
            <w:tcW w:type="dxa" w:w="8064"/>
            <w:vAlign w:val="center"/>
          </w:tcPr>
          <w:p>
            <w:pPr>
              <w:spacing w:after="0"/>
            </w:pPr>
            <w:r/>
            <w:r>
              <w:rPr>
                <w:rFonts w:ascii="Aptos" w:hAnsi="Aptos"/>
                <w:b w:val="0"/>
                <w:sz w:val="16"/>
              </w:rPr>
              <w:t>Change, incident, control failure, evidence expiry or scheduled review.</w:t>
            </w:r>
          </w:p>
        </w:tc>
      </w:tr>
    </w:tbl>
    <w:p>
      <w:pPr>
        <w:spacing w:after="20"/>
      </w:pPr>
    </w:p>
    <w:p>
      <w:pPr>
        <w:pStyle w:val="Heading1"/>
      </w:pPr>
      <w:r>
        <w:t>Appendix B - Project source basis</w:t>
      </w:r>
    </w:p>
    <w:p>
      <w:pPr>
        <w:pStyle w:val="ListBullet"/>
        <w:spacing w:after="40"/>
      </w:pPr>
      <w:r>
        <w:t>Duckworks AI System Inventory (approved baseline) - authoritative scope and “Not Assessed until methodology approval” rule.</w:t>
      </w:r>
    </w:p>
    <w:p>
      <w:pPr>
        <w:pStyle w:val="ListBullet"/>
        <w:spacing w:after="40"/>
      </w:pPr>
      <w:r>
        <w:t>Duckworks AI Governance Project - Business Scenario - governance mandate and proportionality principle.</w:t>
      </w:r>
    </w:p>
    <w:p>
      <w:pPr>
        <w:pStyle w:val="ListBullet"/>
        <w:spacing w:after="40"/>
      </w:pPr>
      <w:r>
        <w:t>Duckworks Project Assumptions Register v1.0 - assumption materiality, control-credit rule and critical risk appetite assumption.</w:t>
      </w:r>
    </w:p>
    <w:p>
      <w:pPr>
        <w:pStyle w:val="ListBullet"/>
        <w:spacing w:after="40"/>
      </w:pPr>
      <w:r>
        <w:t>Duckworks Project Stakeholder Register v1.0 - roles, committee structure, specialist challenge and escalation triggers.</w:t>
      </w:r>
    </w:p>
    <w:p>
      <w:pPr>
        <w:pStyle w:val="ListBullet"/>
        <w:spacing w:after="40"/>
      </w:pPr>
      <w:r>
        <w:t>Duckworks Project Acceptance Criteria v1.0 - requirement for severity, likelihood, thresholds, residual risk, control credit, treatment and escalation.</w:t>
      </w:r>
    </w:p>
    <w:p>
      <w:pPr>
        <w:pStyle w:val="ListBullet"/>
        <w:spacing w:after="40"/>
      </w:pPr>
      <w:r>
        <w:t>Duckworks Public Frameworks, Legislation &amp; Guidance - source hierarchy and separation of binding law from voluntary guidance.</w:t>
      </w:r>
    </w:p>
    <w:p>
      <w:pPr>
        <w:pStyle w:val="ListBullet"/>
        <w:spacing w:after="40"/>
      </w:pPr>
      <w:r>
        <w:t>NIST AI RMF, ISO/IEC 42001, ISO/IEC 23894 and ISO/IEC 42005 are design references only; this document does not reproduce their clauses or claim conformity.</w:t>
      </w:r>
    </w:p>
    <w:p>
      <w:pPr>
        <w:pStyle w:val="SmallNote"/>
      </w:pPr>
      <w:r>
        <w:t>Portfolio disclaimer. Duckworks, Project W.I.N.G., all named individuals, systems, data, decisions and evidence in this document are fictional and created solely for educational and professional portfolio purposes. This methodology is not legal advice, certification evidence or a compliance determination.</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B6573"/>
        <w:sz w:val="15"/>
      </w:rPr>
      <w:t>DW-WING-RISK-01  |  Version 0.9 Draft  |  Fictional portfolio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C7C7A"/>
        <w:sz w:val="17"/>
      </w:rPr>
      <w:t>DUCKWORKS  |  PROJECT W.I.N.G.  |  AI RISK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3C7C7A"/>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