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rFonts w:ascii="Times New Roman" w:hAnsi="Times New Roman"/>
          <w:color w:val="000000"/>
        </w:rPr>
        <w:t>5.2.1. Explanation of the Class Diagram</w:t>
      </w:r>
    </w:p>
    <w:p>
      <w:pPr>
        <w:spacing w:after="120" w:line="360" w:lineRule="auto"/>
        <w:ind w:firstLine="567"/>
        <w:jc w:val="both"/>
      </w:pPr>
      <w:r>
        <w:rPr>
          <w:rFonts w:ascii="Times New Roman" w:hAnsi="Times New Roman"/>
          <w:sz w:val="24"/>
        </w:rPr>
        <w:t>Figure 5.2 presents the object-oriented blueprint of Future ERP. The diagram is organised around eight logical packages — Tenant and Auth; Catalog and Inventory; Sales and Orders Pipeline; Customer Relationship Management; Finance, Cashbook and Accounts; Team and Tasks; Collaboration and Audit; and AI Persistence — together with a side block that captures the transient data-transfer objects produced by the service layer. The eight groups are deliberately drawn as separate packages because they correspond, almost line for line, to the package structure of the underlying Python code base. This kept the modelling effort honest: every persisted class that appears on the diagram has a one-to-one correspondence with an SQLAlchemy ORM class in the application, and every association corresponds to a foreign key that exists in the schema.</w:t>
      </w:r>
    </w:p>
    <w:p>
      <w:pPr>
        <w:spacing w:after="120" w:line="360" w:lineRule="auto"/>
        <w:ind w:firstLine="567"/>
        <w:jc w:val="both"/>
      </w:pPr>
      <w:r>
        <w:rPr>
          <w:rFonts w:ascii="Times New Roman" w:hAnsi="Times New Roman"/>
          <w:sz w:val="24"/>
        </w:rPr>
        <w:t>The root of the model is the Tenant class. Every other entity that holds business data — User, JobRoleTemplate, Product, Customer, Supplier, SalesRecord, CustomerOrder, CashAccount, AccountMovement, TeamTask, StockCount, SupplyOrder and SalesForecastResult — carries a tenant_id foreign key and is connected to Tenant through a composition link with a 1..* multiplicity. This relationship is the structural reason Future ERP can serve multiple organisations from a single database without leaking data across them. Every server-side query passes through a TenantScopedService base class that injects the tenant_id filter automatically, and the on-delete-cascade rule on every foreign key ensures that the removal of a tenant cleanly removes every artefact it ever owned.</w:t>
      </w:r>
    </w:p>
    <w:p>
      <w:pPr>
        <w:spacing w:after="120" w:line="360" w:lineRule="auto"/>
        <w:ind w:firstLine="567"/>
        <w:jc w:val="both"/>
      </w:pPr>
      <w:r>
        <w:rPr>
          <w:rFonts w:ascii="Times New Roman" w:hAnsi="Times New Roman"/>
          <w:sz w:val="24"/>
        </w:rPr>
        <w:t>Authentication and authorisation are handled by four cooperating classes that implement the project's four-layer role-based access control architecture, and the user-facing roles exposed by this architecture are Admin, Manager and Employee. The User class stores credentials together with an Argon2 password hash, the Boolean is_platform_admin flag, the role_kind discriminator and the optional job_role_id foreign key. The Admin role corresponds to is_platform_admin = True and identifies the platform operator; the Manager role corresponds to role_kind = 'owner' and identifies the owner of a tenant; the Employee role corresponds to role_kind = 'staff' together with a job_role_id pointing to a tenant-defined Job Role Template. The derived role property does not exist as a database column; it is computed at request time by the derive_role_label helper from the combination of is_platform_admin and role_kind, and it returns one of the three user-facing labels — Admin, Manager or Employee — so that the application surface remains stable while the underlying permission resolution operates on the four-layer model. The JobRoleTemplate class carries a JSON permissions field that lists the granted permission strings, and is itself tenant-scoped, which gives each Manager the freedom to define cashier, warehouse-clerk and accountant Employee roles tailored to the actual job descriptions of the company. The RefreshToken class keeps the hashed long-lived tokens together with expires_at, used_at and revoked_at markers; the used_at column is what allows the service layer to recognise a replayed token and revoke it immediately rather than reissuing a new pair.</w:t>
      </w:r>
    </w:p>
    <w:p>
      <w:pPr>
        <w:spacing w:after="120" w:line="360" w:lineRule="auto"/>
        <w:ind w:firstLine="567"/>
        <w:jc w:val="both"/>
      </w:pPr>
      <w:r>
        <w:rPr>
          <w:rFonts w:ascii="Times New Roman" w:hAnsi="Times New Roman"/>
          <w:sz w:val="24"/>
        </w:rPr>
        <w:t>The catalogue and inventory package intentionally avoids a separate inventory class. The Product class carries stock_quantity and reorder_level directly, while StockMovement records every change with a typed enumeration of in, out and adjust values together with a balance_after audit snapshot. The SupplyOrder class represents the output of the actionable artificial-intelligence workflow described in Chapter 4: its quantity field is the maximum of three signals — the gap to the configured target stock level, the sum of the next thirty days of Prophet demand and a hard floor of fifty units when the AI override flag is set — and its is_ai_override Boolean records whether the order was generated automatically. The StockCount and StockCountItem classes implement the cycle-count workflow: an open stock count is reconciled against the actual product stock through a list of items that carry the expected and counted quantities together with a derived variance.</w:t>
      </w:r>
    </w:p>
    <w:p>
      <w:pPr>
        <w:spacing w:after="120" w:line="360" w:lineRule="auto"/>
        <w:ind w:firstLine="567"/>
        <w:jc w:val="both"/>
      </w:pPr>
      <w:r>
        <w:rPr>
          <w:rFonts w:ascii="Times New Roman" w:hAnsi="Times New Roman"/>
          <w:sz w:val="24"/>
        </w:rPr>
        <w:t>The sales-and-orders package contains the dual sales flow that Future ERP supports. The retail flow is modelled by SalesRecord and SalesItem in a classical header-and-detail pair, with the composite uniqueness on (tenant_id, record_no) allowing each tenant to reuse its own numbering scheme. The business-to-business flow, in contrast, is modelled by a typed state machine that runs across CustomerOrder, DeliveryNote and Invoice: the order is created in the draft state, moves to confirmed once stock availability has been verified, transitions to shipped once a delivery note has been generated and stock has been decremented, and finally enters the invoiced state when an invoice is issued. The cancelled state is reachable from any of the operational states, and the state transitions are recorded in the audit log together with the actor, the tenant and the affected record.</w:t>
      </w:r>
    </w:p>
    <w:p>
      <w:pPr>
        <w:spacing w:after="120" w:line="360" w:lineRule="auto"/>
        <w:ind w:firstLine="567"/>
        <w:jc w:val="both"/>
      </w:pPr>
      <w:r>
        <w:rPr>
          <w:rFonts w:ascii="Times New Roman" w:hAnsi="Times New Roman"/>
          <w:sz w:val="24"/>
        </w:rPr>
        <w:t>The customer-relationship-management package contains the Customer and Supplier classes, both of which carry a deleted_at column so that historical references stay intact after a record is hidden from the user interface. The Customer class additionally carries a segment field that distinguishes between business-to-business and business-to-consumer accounts and is consumed by the Customer Health Score and the inline AI signals computed in the service layer.</w:t>
      </w:r>
    </w:p>
    <w:p>
      <w:pPr>
        <w:spacing w:after="120" w:line="360" w:lineRule="auto"/>
        <w:ind w:firstLine="567"/>
        <w:jc w:val="both"/>
      </w:pPr>
      <w:r>
        <w:rPr>
          <w:rFonts w:ascii="Times New Roman" w:hAnsi="Times New Roman"/>
          <w:sz w:val="24"/>
        </w:rPr>
        <w:t>The finance, cashbook and accounts package contains the three classes that implement the cash and current-account workflows. The CashAccount class represents a physical cash drawer or bank account and carries an account_type field of cash or bank, a currency code and a running balance. The CashTransaction class records every movement against a cash account with a transaction_type field of income, expense, transfer_in or transfer_out, and the running balance_after snapshot. A cash transaction may optionally point at a sales record through the sales_record_id foreign key, which closes the loop between the retail sales flow and the cash ledger. The AccountMovement class implements the current-account ledger and carries either a customer_id or a supplier_id foreign key together with the debit-or-credit movement type.</w:t>
      </w:r>
    </w:p>
    <w:p>
      <w:pPr>
        <w:spacing w:after="120" w:line="360" w:lineRule="auto"/>
        <w:ind w:firstLine="567"/>
        <w:jc w:val="both"/>
      </w:pPr>
      <w:r>
        <w:rPr>
          <w:rFonts w:ascii="Times New Roman" w:hAnsi="Times New Roman"/>
          <w:sz w:val="24"/>
        </w:rPr>
        <w:t>The team-and-tasks package contains the TeamTask class, which replaces the legacy human-resources module of the original design and implements a lightweight task manager that supports assignment to a user, a status field and a due date. The collaboration-and-audit package contains the RecordComment, RecordTag and AuditLog classes. The RecordComment and RecordTag classes are deliberately polymorphic — they carry a record_type discriminator and a record_id pointer rather than a typed foreign key — so that comments and tags can be attached to any business record without proliferating join tables. The AuditLog class records every administrative action together with the actor, the target tenant and a JSON payload, which supports both the Admin impersonation flow and the regulatory requirements of an enterprise resource planning deployment.</w:t>
      </w:r>
    </w:p>
    <w:p>
      <w:pPr>
        <w:spacing w:after="120" w:line="360" w:lineRule="auto"/>
        <w:ind w:firstLine="567"/>
        <w:jc w:val="both"/>
      </w:pPr>
      <w:r>
        <w:rPr>
          <w:rFonts w:ascii="Times New Roman" w:hAnsi="Times New Roman"/>
          <w:sz w:val="24"/>
        </w:rPr>
        <w:t>The AI persistence package contains a single class. The SalesForecastResult class stores the output of the Prophet model as a JSON payload rather than a flat schema, which makes the table resistant to changes in the forecasting algorithm: only the contents of result_payload need to evolve when Prophet is upgraded, while the relational shell stays the same. Other AI outcomes are deliberately kept out of the database; they appear on the diagram inside the Transient AI Data-Transfer Objects package as AnomalyResult, NlpAnswer, ExpertAnswer, MorningBriefingItem, CustomerHealthScore, CashflowSimulation, CustomerSignals and ProductSignals, all of which are constructed on demand by the service layer and discarded after the request returns. This separation between persisted and transient state is one of the conscious modelling decisions of the project: the database holds only the artefacts whose history is operationally meaningful, while everything that can be recomputed from the input data is left to the AI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