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and it shows that verdicts below</w:t>
      </w:r>
      <w:r>
        <w:t xml:space="preserve"> </w:t>
      </w:r>
      <m:oMath>
        <m:r>
          <m:t>0.7</m:t>
        </m:r>
      </m:oMath>
      <w:r>
        <w:t xml:space="preserve"> </w:t>
      </w:r>
      <w:r>
        <w:t xml:space="preserve">carry no reproducible content and must</w:t>
      </w:r>
      <w:r>
        <w:t xml:space="preserve"> </w:t>
      </w:r>
      <w:r>
        <w:t xml:space="preserve">not be scored.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[64], which is why no cause is assigned. And a fixed</w:t>
      </w:r>
      <w:r>
        <w:t xml:space="preserve"> </w:t>
      </w:r>
      <w:r>
        <w:t xml:space="preserve">configuration returning a fixed answer is an assumption that has been refuted elsewhere</w:t>
      </w:r>
      <w:r>
        <w:t xml:space="preserve"> </w:t>
      </w:r>
      <w:r>
        <w:t xml:space="preserve">[65],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[66], and replaying historical claims from a frozen collection</w:t>
      </w:r>
      <w:r>
        <w:t xml:space="preserve"> </w:t>
      </w:r>
      <w:r>
        <w:t xml:space="preserve">commonly stops before the claim is reachable [67].</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[68],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[69].</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[70], which is exactly how the cost</w:t>
      </w:r>
      <w:r>
        <w:t xml:space="preserve"> </w:t>
      </w:r>
      <w:r>
        <w:t xml:space="preserve">fixture protected a wrong parser. A suite can also hold high coverage while leaving a</w:t>
      </w:r>
      <w:r>
        <w:t xml:space="preserve"> </w:t>
      </w:r>
      <w:r>
        <w:t xml:space="preserve">documented behaviour unvalidated [71], and silent measurement</w:t>
      </w:r>
      <w:r>
        <w:t xml:space="preserve"> </w:t>
      </w:r>
      <w:r>
        <w:t xml:space="preserve">failure is common enough in reported incidents to treat as a primary risk rather than an</w:t>
      </w:r>
      <w:r>
        <w:t xml:space="preserve"> </w:t>
      </w:r>
      <w:r>
        <w:t xml:space="preserve">edge case [72].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[73].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[74], and it is also the boundary of what</w:t>
      </w:r>
      <w:r>
        <w:t xml:space="preserve"> </w:t>
      </w:r>
      <w:r>
        <w:t xml:space="preserve">such evidence establishes: gates and receipts are operational rigor, which</w:t>
      </w:r>
      <w:r>
        <w:t xml:space="preserve"> </w:t>
      </w:r>
      <w:r>
        <w:t xml:space="preserve">substitutes for understanding rather than supplying it [75].</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[76].</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[77];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