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2"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[48], because a</w:t>
      </w:r>
      <w:r>
        <w:t xml:space="preserve"> </w:t>
      </w:r>
      <w:r>
        <w:t xml:space="preserve">validity audit can fail in its own characteristic ways [49],</w:t>
      </w:r>
      <w:r>
        <w:t xml:space="preserve"> </w:t>
      </w:r>
      <w:r>
        <w:t xml:space="preserve">and because filtering out negative findings distorts the literature that later</w:t>
      </w:r>
      <w:r>
        <w:t xml:space="preserve"> </w:t>
      </w:r>
      <w:r>
        <w:t xml:space="preserve">systems learn from [50].</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[51]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[52].</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[53].</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[54].</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[55], and judge validation that rests on</w:t>
      </w:r>
      <w:r>
        <w:t xml:space="preserve"> </w:t>
      </w:r>
      <w:r>
        <w:t xml:space="preserve">uncorrected agreement does not establish validity [56].</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[57].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[58]. Both conditions vary substantially, which is</w:t>
      </w:r>
      <w:r>
        <w:t xml:space="preserve"> </w:t>
      </w:r>
      <w:r>
        <w:t xml:space="preserve">consistent with reports that agents show large run-to-run variance under identical</w:t>
      </w:r>
      <w:r>
        <w:t xml:space="preserve"> </w:t>
      </w:r>
      <w:r>
        <w:t xml:space="preserve">tasks, tools, and environment [59] and that model outputs are not</w:t>
      </w:r>
      <w:r>
        <w:t xml:space="preserve"> </w:t>
      </w:r>
      <w:r>
        <w:t xml:space="preserve">deterministic for a fixed prompt [60]. And dollar cost is excluded</w:t>
      </w:r>
      <w:r>
        <w:t xml:space="preserve"> </w:t>
      </w:r>
      <w:r>
        <w:t xml:space="preserve">from comparison because caching alters money without altering work</w:t>
      </w:r>
      <w:r>
        <w:t xml:space="preserve"> </w:t>
      </w:r>
      <w:r>
        <w:t xml:space="preserve">[61], while provider totals can conceal different accounting</w:t>
      </w:r>
      <w:r>
        <w:t xml:space="preserve"> </w:t>
      </w:r>
      <w:r>
        <w:t xml:space="preserve">[62]; cost belongs beside the endpoint rather than behind it</w:t>
      </w:r>
      <w:r>
        <w:t xml:space="preserve"> </w:t>
      </w:r>
      <w:r>
        <w:t xml:space="preserve">[63], and any future effect claim from this design must be</w:t>
      </w:r>
      <w:r>
        <w:t xml:space="preserve"> </w:t>
      </w:r>
      <w:r>
        <w:t xml:space="preserve">budget-matched rather than merely condition-matched [64], since</w:t>
      </w:r>
      <w:r>
        <w:t xml:space="preserve"> </w:t>
      </w:r>
      <w:r>
        <w:t xml:space="preserve">agent cost is carried differently by its components [65].</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[66], and agreement can be high while the</w:t>
      </w:r>
      <w:r>
        <w:t xml:space="preserve"> </w:t>
      </w:r>
      <w:r>
        <w:t xml:space="preserve">answer is wrong [67].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[68].</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[69]: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[70],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[71].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[72].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[73]. Without such binding a reported number carries no indication of how it was</w:t>
      </w:r>
      <w:r>
        <w:t xml:space="preserve"> </w:t>
      </w:r>
      <w:r>
        <w:t xml:space="preserve">produced [74].</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[75],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[76].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[77], which is why no cause is assigned. And a fixed</w:t>
      </w:r>
      <w:r>
        <w:t xml:space="preserve"> </w:t>
      </w:r>
      <w:r>
        <w:t xml:space="preserve">configuration returning a fixed answer is an assumption that has been refuted elsewhere</w:t>
      </w:r>
      <w:r>
        <w:t xml:space="preserve"> </w:t>
      </w:r>
      <w:r>
        <w:t xml:space="preserve">[78],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[79], and replaying historical claims from a frozen collection</w:t>
      </w:r>
      <w:r>
        <w:t xml:space="preserve"> </w:t>
      </w:r>
      <w:r>
        <w:t xml:space="preserve">commonly stops before the claim is reachable [80].</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[81],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[82].</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[83], which is exactly how the cost</w:t>
      </w:r>
      <w:r>
        <w:t xml:space="preserve"> </w:t>
      </w:r>
      <w:r>
        <w:t xml:space="preserve">fixture protected a wrong parser. A suite can also hold high coverage while leaving a</w:t>
      </w:r>
      <w:r>
        <w:t xml:space="preserve"> </w:t>
      </w:r>
      <w:r>
        <w:t xml:space="preserve">documented behaviour unvalidated [84], and silent measurement</w:t>
      </w:r>
      <w:r>
        <w:t xml:space="preserve"> </w:t>
      </w:r>
      <w:r>
        <w:t xml:space="preserve">failure is common enough in reported incidents to treat as a primary risk rather than an</w:t>
      </w:r>
      <w:r>
        <w:t xml:space="preserve"> </w:t>
      </w:r>
      <w:r>
        <w:t xml:space="preserve">edge case [85].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1"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[86].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[87], and it is also the boundary of what</w:t>
      </w:r>
      <w:r>
        <w:t xml:space="preserve"> </w:t>
      </w:r>
      <w:r>
        <w:t xml:space="preserve">such evidence establishes: gates and receipts are operational rigor, which</w:t>
      </w:r>
      <w:r>
        <w:t xml:space="preserve"> </w:t>
      </w:r>
      <w:r>
        <w:t xml:space="preserve">substitutes for understanding rather than supplying it [88].</w:t>
      </w:r>
    </w:p>
    <w:bookmarkEnd w:id="61"/>
    <w:bookmarkEnd w:id="62"/>
    <w:bookmarkStart w:id="120"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[89].</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[90];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3">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4">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5">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6">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7">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8">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9">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0">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1">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2">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3">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4">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5">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6">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7">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8">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9">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0">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1">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2">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3">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4">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5">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6">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7">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8">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9">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0">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1">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2">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3">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4">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5">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6">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7">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8">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9">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0">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1">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2">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3">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4">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5">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6">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7">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8">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9">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0">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1">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2">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3">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4">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5">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6">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7">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8">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9">
        <w:r>
          <w:rPr>
            <w:rStyle w:val="Hyperlink"/>
          </w:rPr>
          <w:t xml:space="preserve">https://arxiv.org/abs/2608.08709v1</w:t>
        </w:r>
      </w:hyperlink>
      <w:r>
        <w:t xml:space="preserve">.</w:t>
      </w:r>
    </w:p>
    <w:bookmarkEnd w:id="120"/>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