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 That boundary is stated rather than</w:t>
      </w:r>
      <w:r>
        <w:t xml:space="preserve"> </w:t>
      </w:r>
      <w:r>
        <w:t xml:space="preserve">implied: an artifact that runs is not the same as a claim that can be reproduced</w:t>
      </w:r>
      <w:r>
        <w:t xml:space="preserve"> </w:t>
      </w:r>
      <w:r>
        <w:t xml:space="preserve">[64], and replaying historical claims from a frozen collection</w:t>
      </w:r>
      <w:r>
        <w:t xml:space="preserve"> </w:t>
      </w:r>
      <w:r>
        <w:t xml:space="preserve">commonly stops before the claim is reachable [65].</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[66],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[67].</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[68], which is exactly how the cost</w:t>
      </w:r>
      <w:r>
        <w:t xml:space="preserve"> </w:t>
      </w:r>
      <w:r>
        <w:t xml:space="preserve">fixture protected a wrong parser. A suite can also hold high coverage while leaving a</w:t>
      </w:r>
      <w:r>
        <w:t xml:space="preserve"> </w:t>
      </w:r>
      <w:r>
        <w:t xml:space="preserve">documented behaviour unvalidated [69], and silent measurement</w:t>
      </w:r>
      <w:r>
        <w:t xml:space="preserve"> </w:t>
      </w:r>
      <w:r>
        <w:t xml:space="preserve">failure is common enough in reported incidents to treat as a primary risk rather than an</w:t>
      </w:r>
      <w:r>
        <w:t xml:space="preserve"> </w:t>
      </w:r>
      <w:r>
        <w:t xml:space="preserve">edge case [70].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[71].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[72], and it is also the boundary of what</w:t>
      </w:r>
      <w:r>
        <w:t xml:space="preserve"> </w:t>
      </w:r>
      <w:r>
        <w:t xml:space="preserve">such evidence establishes: gates and receipts are operational rigor, which</w:t>
      </w:r>
      <w:r>
        <w:t xml:space="preserve"> </w:t>
      </w:r>
      <w:r>
        <w:t xml:space="preserve">substitutes for understanding rather than supplying it [73].</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[74].</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[75];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