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9.png" ContentType="image/png"/>
  <Override PartName="/word/media/rId83.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5</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7" w:name="proposed-method"/>
    <w:p>
      <w:pPr>
        <w:pStyle w:val="Heading1"/>
      </w:pPr>
      <w:r>
        <w:t xml:space="preserve">Ⅲ. Proposed Method</w:t>
      </w:r>
    </w:p>
    <w:bookmarkStart w:id="37" w:name="계승-및-도입-구성요소의-분류"/>
    <w:p>
      <w:pPr>
        <w:pStyle w:val="Heading2"/>
      </w:pPr>
      <w:r>
        <w:t xml:space="preserve">1. 계승 및 도입 구성요소의 분류</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Interactive TUI and execution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2.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3.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4.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5.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6.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7.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Start w:id="66" w:name="하네스-구성-벤치마크-설계-study-b"/>
    <w:p>
      <w:pPr>
        <w:pStyle w:val="Heading2"/>
      </w:pPr>
      <w:r>
        <w:t xml:space="preserve">8. 하네스 구성 벤치마크 설계 (Study B)</w:t>
      </w:r>
    </w:p>
    <w:p>
      <w:pPr>
        <w:pStyle w:val="FirstParagraph"/>
      </w:pPr>
      <w:r>
        <w:t xml:space="preserve">Study A는 하나의 하네스 안에서 두 요인을 흔든다. 그러나 이 논문이 답하려는 질문은 더 앞에 있다.</w:t>
      </w:r>
      <w:r>
        <w:t xml:space="preserve"> </w:t>
      </w:r>
      <w:r>
        <w:rPr>
          <w:b/>
          <w:bCs/>
        </w:rPr>
        <w:t xml:space="preserve">모델을 고정했을 때, 그 주위에 두르는 하네스 구성요소가 연구 과제의 결과를 바꾸는가. 바꾼다면 어느 성분이 바꾸는가.</w:t>
      </w:r>
      <w:r>
        <w:t xml:space="preserve"> </w:t>
      </w:r>
      <w:r>
        <w:t xml:space="preserve">Study B는 이 질문을 성분 절제(ablation)로 분해한다. 구성요소 귀속 방법론은 선행 하네스 비교 연구를 따른다</w:t>
      </w:r>
      <w:r>
        <w:t xml:space="preserve"> </w:t>
      </w:r>
      <w:r>
        <w:t xml:space="preserve">[35], [52], [53]</w:t>
      </w:r>
      <w:r>
        <w:t xml:space="preserve">.</w:t>
      </w:r>
    </w:p>
    <w:p>
      <w:pPr>
        <w:pStyle w:val="BodyText"/>
      </w:pPr>
      <w:hyperlink w:anchor="tbl-mechanisms">
        <w:r>
          <w:rPr>
            <w:rStyle w:val="Hyperlink"/>
          </w:rPr>
          <w:t xml:space="preserve">표 4</w:t>
        </w:r>
      </w:hyperlink>
      <w:r>
        <w:t xml:space="preserve"> </w:t>
      </w:r>
      <w:r>
        <w:t xml:space="preserve">은 벤치마크 대상이 되는 일곱 메커니즘과 각각을 제거하는 아암을 정리한다. 조사 문헌은</w:t>
      </w:r>
      <w:r>
        <w:t xml:space="preserve"> </w:t>
      </w:r>
      <w:r>
        <w:t xml:space="preserve">개별 에이전트를</w:t>
      </w:r>
      <w:r>
        <w:t xml:space="preserve"> </w:t>
      </w:r>
      <w:r>
        <w:rPr>
          <w:rStyle w:val="VerbatimChar"/>
        </w:rPr>
        <w:t xml:space="preserve">Loop(LLM + Harness)</w:t>
      </w:r>
      <w:r>
        <w:t xml:space="preserve">로 형식화하고, 도구·기억·기술을 통합하는 하네스 설계와 계획·행동·관찰·적응의</w:t>
      </w:r>
      <w:r>
        <w:t xml:space="preserve"> </w:t>
      </w:r>
      <w:r>
        <w:t xml:space="preserve">반복 주기를 조직하는 루프 설계를 구분하며, 그 위에 그래프 추상화를 얹는 층위를 제시한다</w:t>
      </w:r>
      <w:r>
        <w:t xml:space="preserve"> </w:t>
      </w:r>
      <w:r>
        <w:t xml:space="preserve">[54]</w:t>
      </w:r>
      <w:r>
        <w:t xml:space="preserve">.</w:t>
      </w:r>
      <w:r>
        <w:t xml:space="preserve"> </w:t>
      </w:r>
      <w:r>
        <w:t xml:space="preserve">본 연구는 이 구분을 그대로 실험 축으로 삼는다.</w:t>
      </w:r>
    </w:p>
    <w:tbl>
      <w:tblPr>
        <w:tblStyle w:val="Table"/>
        <w:tblW w:type="pct" w:w="5000"/>
        <w:tblLayout w:type="fixed"/>
        <w:tblLook w:firstRow="0" w:lastRow="0" w:firstColumn="0" w:lastColumn="0" w:noHBand="0" w:noVBand="0" w:val="0000"/>
      </w:tblPr>
      <w:tblGrid>
        <w:gridCol w:w="7920"/>
      </w:tblGrid>
      <w:tr>
        <w:tc>
          <w:tcPr/>
          <w:bookmarkStart w:id="65" w:name="tbl-mechanisms"/>
          <w:p>
            <w:pPr>
              <w:jc w:val="center"/>
            </w:pPr>
            <w:pPr>
              <w:jc w:val="left"/>
              <w:spacing w:before="200"/>
              <w:pStyle w:val="ImageCaption"/>
            </w:pPr>
            <w:r>
              <w:t xml:space="preserve">표 4. 벤치마크 대상 메커니즘과 절제 아암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메커니즘</w:t>
                  </w:r>
                </w:p>
              </w:tc>
              <w:tc>
                <w:tcPr/>
                <w:p>
                  <w:pPr>
                    <w:pStyle w:val="Compact"/>
                    <w:jc w:val="right"/>
                    <w:jc w:val="center"/>
                  </w:pPr>
                  <w:r>
                    <w:t xml:space="preserve">정독 출처 수</w:t>
                  </w:r>
                </w:p>
              </w:tc>
              <w:tc>
                <w:tcPr/>
                <w:p>
                  <w:pPr>
                    <w:pStyle w:val="Compact"/>
                    <w:jc w:val="center"/>
                  </w:pPr>
                  <w:r>
                    <w:t xml:space="preserve">구현 아암</w:t>
                  </w:r>
                </w:p>
              </w:tc>
              <w:tc>
                <w:tcPr/>
                <w:p>
                  <w:pPr>
                    <w:pStyle w:val="Compact"/>
                    <w:jc w:val="center"/>
                  </w:pPr>
                  <w:r>
                    <w:t xml:space="preserve">절제 아암</w:t>
                  </w:r>
                </w:p>
              </w:tc>
            </w:tr>
            <w:tr>
              <w:tc>
                <w:tcPr/>
                <w:p>
                  <w:pPr>
                    <w:pStyle w:val="Compact"/>
                    <w:jc w:val="center"/>
                  </w:pPr>
                  <w:r>
                    <w:t xml:space="preserve">최소 도구 코딩 하네스</w:t>
                  </w:r>
                </w:p>
              </w:tc>
              <w:tc>
                <w:tcPr/>
                <w:p>
                  <w:pPr>
                    <w:pStyle w:val="Compact"/>
                    <w:jc w:val="right"/>
                    <w:jc w:val="center"/>
                  </w:pPr>
                  <w:r>
                    <w:t xml:space="preserve">3</w:t>
                  </w:r>
                </w:p>
              </w:tc>
              <w:tc>
                <w:tcPr/>
                <w:p>
                  <w:pPr>
                    <w:pStyle w:val="Compact"/>
                    <w:jc w:val="center"/>
                  </w:pPr>
                  <w:r>
                    <w:t xml:space="preserve">B0</w:t>
                  </w:r>
                </w:p>
              </w:tc>
              <w:tc>
                <w:tcPr/>
                <w:p>
                  <w:pPr>
                    <w:pStyle w:val="Compact"/>
                    <w:jc w:val="center"/>
                  </w:pPr>
                  <w:r>
                    <w:t xml:space="preserve">—</w:t>
                  </w:r>
                </w:p>
              </w:tc>
            </w:tr>
            <w:tr>
              <w:tc>
                <w:tcPr/>
                <w:p>
                  <w:pPr>
                    <w:pStyle w:val="Compact"/>
                    <w:jc w:val="center"/>
                  </w:pPr>
                  <w:r>
                    <w:t xml:space="preserve">영속 REPL·재귀 언어모델 하네스</w:t>
                  </w:r>
                </w:p>
              </w:tc>
              <w:tc>
                <w:tcPr/>
                <w:p>
                  <w:pPr>
                    <w:pStyle w:val="Compact"/>
                    <w:jc w:val="right"/>
                    <w:jc w:val="center"/>
                  </w:pPr>
                  <w:r>
                    <w:t xml:space="preserve">3</w:t>
                  </w:r>
                </w:p>
              </w:tc>
              <w:tc>
                <w:tcPr/>
                <w:p>
                  <w:pPr>
                    <w:pStyle w:val="Compact"/>
                    <w:jc w:val="center"/>
                  </w:pPr>
                  <w:r>
                    <w:t xml:space="preserve">B1</w:t>
                  </w:r>
                </w:p>
              </w:tc>
              <w:tc>
                <w:tcPr/>
                <w:p>
                  <w:pPr>
                    <w:pStyle w:val="Compact"/>
                    <w:jc w:val="center"/>
                  </w:pPr>
                  <w:r>
                    <w:t xml:space="preserve">—</w:t>
                  </w:r>
                </w:p>
              </w:tc>
            </w:tr>
            <w:tr>
              <w:tc>
                <w:tcPr/>
                <w:p>
                  <w:pPr>
                    <w:pStyle w:val="Compact"/>
                    <w:jc w:val="center"/>
                  </w:pPr>
                  <w:r>
                    <w:t xml:space="preserve">페일클로즈드 연구 수명주기 게이트</w:t>
                  </w:r>
                </w:p>
              </w:tc>
              <w:tc>
                <w:tcPr/>
                <w:p>
                  <w:pPr>
                    <w:pStyle w:val="Compact"/>
                    <w:jc w:val="right"/>
                    <w:jc w:val="center"/>
                  </w:pPr>
                  <w:r>
                    <w:t xml:space="preserve">3</w:t>
                  </w:r>
                </w:p>
              </w:tc>
              <w:tc>
                <w:tcPr/>
                <w:p>
                  <w:pPr>
                    <w:pStyle w:val="Compact"/>
                    <w:jc w:val="center"/>
                  </w:pPr>
                  <w:r>
                    <w:t xml:space="preserve">B2</w:t>
                  </w:r>
                </w:p>
              </w:tc>
              <w:tc>
                <w:tcPr/>
                <w:p>
                  <w:pPr>
                    <w:pStyle w:val="Compact"/>
                    <w:jc w:val="center"/>
                  </w:pPr>
                  <w:r>
                    <w:t xml:space="preserve">B2-P</w:t>
                  </w:r>
                </w:p>
              </w:tc>
            </w:tr>
            <w:tr>
              <w:tc>
                <w:tcPr/>
                <w:p>
                  <w:pPr>
                    <w:pStyle w:val="Compact"/>
                    <w:jc w:val="center"/>
                  </w:pPr>
                  <w:r>
                    <w:t xml:space="preserve">결과 주도 웹·의미 검색</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B2-R</w:t>
                  </w:r>
                </w:p>
              </w:tc>
            </w:tr>
            <w:tr>
              <w:tc>
                <w:tcPr/>
                <w:p>
                  <w:pPr>
                    <w:pStyle w:val="Compact"/>
                    <w:jc w:val="center"/>
                  </w:pPr>
                  <w:r>
                    <w:t xml:space="preserve">타입 있는 연구 컨텍스트 그래프</w:t>
                  </w:r>
                </w:p>
              </w:tc>
              <w:tc>
                <w:tcPr/>
                <w:p>
                  <w:pPr>
                    <w:pStyle w:val="Compact"/>
                    <w:jc w:val="right"/>
                    <w:jc w:val="center"/>
                  </w:pPr>
                  <w:r>
                    <w:t xml:space="preserve">3</w:t>
                  </w:r>
                </w:p>
              </w:tc>
              <w:tc>
                <w:tcPr/>
                <w:p>
                  <w:pPr>
                    <w:pStyle w:val="Compact"/>
                    <w:jc w:val="center"/>
                  </w:pPr>
                  <w:r>
                    <w:t xml:space="preserve">B2</w:t>
                  </w:r>
                </w:p>
              </w:tc>
              <w:tc>
                <w:tcPr/>
                <w:p>
                  <w:pPr>
                    <w:pStyle w:val="Compact"/>
                    <w:jc w:val="center"/>
                  </w:pPr>
                  <w:r>
                    <w:t xml:space="preserve">B2-G</w:t>
                  </w:r>
                </w:p>
              </w:tc>
            </w:tr>
            <w:tr>
              <w:tc>
                <w:tcPr/>
                <w:p>
                  <w:pPr>
                    <w:pStyle w:val="Compact"/>
                    <w:jc w:val="center"/>
                  </w:pPr>
                  <w:r>
                    <w:t xml:space="preserve">외부 제어 루프 설계</w:t>
                  </w:r>
                </w:p>
              </w:tc>
              <w:tc>
                <w:tcPr/>
                <w:p>
                  <w:pPr>
                    <w:pStyle w:val="Compact"/>
                    <w:jc w:val="right"/>
                    <w:jc w:val="center"/>
                  </w:pPr>
                  <w:r>
                    <w:t xml:space="preserve">8</w:t>
                  </w:r>
                </w:p>
              </w:tc>
              <w:tc>
                <w:tcPr/>
                <w:p>
                  <w:pPr>
                    <w:pStyle w:val="Compact"/>
                    <w:jc w:val="center"/>
                  </w:pPr>
                  <w:r>
                    <w:t xml:space="preserve">B2</w:t>
                  </w:r>
                </w:p>
              </w:tc>
              <w:tc>
                <w:tcPr/>
                <w:p>
                  <w:pPr>
                    <w:pStyle w:val="Compact"/>
                    <w:jc w:val="center"/>
                  </w:pPr>
                  <w:r>
                    <w:t xml:space="preserve">B2-L</w:t>
                  </w:r>
                </w:p>
              </w:tc>
            </w:tr>
            <w:tr>
              <w:tc>
                <w:tcPr/>
                <w:p>
                  <w:pPr>
                    <w:pStyle w:val="Compact"/>
                    <w:jc w:val="center"/>
                  </w:pPr>
                  <w:r>
                    <w:t xml:space="preserve">그래프 스키마·불변성 설계</w:t>
                  </w:r>
                </w:p>
              </w:tc>
              <w:tc>
                <w:tcPr/>
                <w:p>
                  <w:pPr>
                    <w:pStyle w:val="Compact"/>
                    <w:jc w:val="right"/>
                    <w:jc w:val="center"/>
                  </w:pPr>
                  <w:r>
                    <w:t xml:space="preserve">4</w:t>
                  </w:r>
                </w:p>
              </w:tc>
              <w:tc>
                <w:tcPr/>
                <w:p>
                  <w:pPr>
                    <w:pStyle w:val="Compact"/>
                    <w:jc w:val="center"/>
                  </w:pPr>
                  <w:r>
                    <w:t xml:space="preserve">B2</w:t>
                  </w:r>
                </w:p>
              </w:tc>
              <w:tc>
                <w:tcPr/>
                <w:p>
                  <w:pPr>
                    <w:pStyle w:val="Compact"/>
                    <w:jc w:val="center"/>
                  </w:pPr>
                  <w:r>
                    <w:t xml:space="preserve">B2-G</w:t>
                  </w:r>
                </w:p>
              </w:tc>
            </w:tr>
          </w:tbl>
          <w:bookmarkEnd w:id="65"/>
          <w:p/>
        </w:tc>
      </w:tr>
    </w:tbl>
    <w:p>
      <w:pPr>
        <w:pStyle w:val="BodyText"/>
      </w:pPr>
      <w:r>
        <w:t xml:space="preserve">아암은 일곱이다. B0은 네 가지 원시 도구만 쓰는 최소 하네스, B1은 영속 실행 상태와 재귀 서브콜을 더한 하네스,</w:t>
      </w:r>
      <w:r>
        <w:t xml:space="preserve"> </w:t>
      </w:r>
      <w:r>
        <w:t xml:space="preserve">B2는 B1 위에 타입 그래프·결정 프로토콜·청구 잠금·페일클로즈드 게이트·결과 주도 검색·반증 루프를 모두 얹은 복합 하네스다.</w:t>
      </w:r>
      <w:r>
        <w:t xml:space="preserve"> </w:t>
      </w:r>
      <w:r>
        <w:t xml:space="preserve">나머지 넷은 B2에서 성분을</w:t>
      </w:r>
      <w:r>
        <w:t xml:space="preserve"> </w:t>
      </w:r>
      <w:r>
        <w:rPr>
          <w:b/>
          <w:bCs/>
        </w:rPr>
        <w:t xml:space="preserve">정확히 하나씩</w:t>
      </w:r>
      <w:r>
        <w:t xml:space="preserve"> </w:t>
      </w:r>
      <w:r>
        <w:t xml:space="preserve">뺀 절제 아암이며, 이 단일 차이 성질은 코드 수준에서 시험으로 강제된다.</w:t>
      </w:r>
    </w:p>
    <w:p>
      <w:pPr>
        <w:pStyle w:val="BodyText"/>
      </w:pPr>
      <w:r>
        <w:rPr>
          <w:b/>
          <w:bCs/>
        </w:rPr>
        <w:t xml:space="preserve">1차 대비는 B2 대 B0 하나</w:t>
      </w:r>
      <w:r>
        <w:t xml:space="preserve">로 사전 선언한다. 세 아암은 쌍별 대비가 셋이므로, 주 대비를 정하지 않으면</w:t>
      </w:r>
      <w:r>
        <w:t xml:space="preserve"> </w:t>
      </w:r>
      <w:r>
        <w:t xml:space="preserve">사후에 가장 유리한 대비를 고를 수 있다. 나머지 두 대비는 2차이며 Holm 보정을 적용한다.</w:t>
      </w:r>
      <w:r>
        <w:t xml:space="preserve"> </w:t>
      </w:r>
      <w:r>
        <w:t xml:space="preserve">1차 검정은 과제×시드로 짝지은 McNemar이고 과제를 풀링한다. 과제별 검정과 이질성은 2차로 보고한다.</w:t>
      </w:r>
    </w:p>
    <w:bookmarkEnd w:id="66"/>
    <w:bookmarkEnd w:id="67"/>
    <w:bookmarkStart w:id="92" w:name="experimental-results"/>
    <w:p>
      <w:pPr>
        <w:pStyle w:val="Heading1"/>
      </w:pPr>
      <w:r>
        <w:t xml:space="preserve">Ⅳ. Experimental Results</w:t>
      </w:r>
    </w:p>
    <w:p>
      <w:pPr>
        <w:pStyle w:val="FirstParagraph"/>
      </w:pPr>
      <w:r>
        <w:t xml:space="preserve">본 장은</w:t>
      </w:r>
      <w:r>
        <w:t xml:space="preserve"> </w:t>
      </w:r>
      <w:r>
        <w:rPr>
          <w:b/>
          <w:bCs/>
        </w:rPr>
        <w:t xml:space="preserve">측정 장(measurement chapter)</w:t>
      </w:r>
      <w:r>
        <w:t xml:space="preserve">이다. 여기서 보고하는 것은 하네스 간 성능 우열이 아니라,</w:t>
      </w:r>
      <w:r>
        <w:t xml:space="preserve"> </w:t>
      </w:r>
      <w:r>
        <w:t xml:space="preserve">그 우열을 재려고 만든</w:t>
      </w:r>
      <w:r>
        <w:t xml:space="preserve"> </w:t>
      </w:r>
      <w:r>
        <w:rPr>
          <w:b/>
          <w:bCs/>
        </w:rPr>
        <w:t xml:space="preserve">계측 도구 자체의 성질</w:t>
      </w:r>
      <w:r>
        <w:t xml:space="preserve">이다. Study A는 판정 기반 endpoint가 조건을 분리하지 못한다는</w:t>
      </w:r>
      <w:r>
        <w:t xml:space="preserve"> </w:t>
      </w:r>
      <w:r>
        <w:t xml:space="preserve">결론에 도달했고, 그 결론이 Study B의 설계 근거가 된다. 즉 이 장의 음성 결과는 실패가 아니라 다음 설계의 입력이다.</w:t>
      </w:r>
    </w:p>
    <w:bookmarkStart w:id="68"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성분(초기 단서 채점 0.009, 수리 후 전수 채점 0.026)을 거의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8"/>
    <w:bookmarkStart w:id="73"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[55]</w:t>
      </w:r>
      <w:r>
        <w:t xml:space="preserve"> </w:t>
      </w:r>
      <w:r>
        <w:t xml:space="preserve">방식은 객관적으로 보이지만, 단서 누설과 우회 전략(solution hacking)에 극도로 취약하다</w:t>
      </w:r>
      <w:r>
        <w:t xml:space="preserve"> </w:t>
      </w:r>
      <w:r>
        <w:t xml:space="preserve">[56]</w:t>
      </w:r>
      <w:r>
        <w:t xml:space="preserve">. 의도적으로 심어둔 지름길을 감지하는 적대적 검증</w:t>
      </w:r>
      <w:r>
        <w:t xml:space="preserve"> </w:t>
      </w:r>
      <w:r>
        <w:t xml:space="preserve">[57]</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[58]</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2" w:name="fig-scoring"/>
          <w:p>
            <w:pPr>
              <w:pStyle w:val="Compact"/>
              <w:jc w:val="center"/>
            </w:pPr>
            <w:r>
              <w:drawing>
                <wp:inline>
                  <wp:extent cx="4000500" cy="3178311"/>
                  <wp:effectExtent b="0" l="0" r="0" t="0"/>
                  <wp:docPr descr="" title="" id="70" name="Picture"/>
                  <a:graphic>
                    <a:graphicData uri="http://schemas.openxmlformats.org/drawingml/2006/picture">
                      <pic:pic>
                        <pic:nvPicPr>
                          <pic:cNvPr descr="figures/rendered/fig-07.png" id="71" name="Picture"/>
                          <pic:cNvPicPr>
                            <a:picLocks noChangeArrowheads="1" noChangeAspect="1"/>
                          </pic:cNvPicPr>
                        </pic:nvPicPr>
                        <pic:blipFill>
                          <a:blip r:embed="rId69"/>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2"/>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3"/>
    <w:bookmarkStart w:id="74"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[59]</w:t>
      </w:r>
      <w:r>
        <w:t xml:space="preserve">, 타당도 검증 없는 일치도 신뢰는 위험한 착시를 낳는다</w:t>
      </w:r>
      <w:r>
        <w:t xml:space="preserve"> </w:t>
      </w:r>
      <w:r>
        <w:t xml:space="preserve">[60]</w:t>
      </w:r>
      <w:r>
        <w:t xml:space="preserve">. 파이프라인의 각 단계(검색, 발췌, 판정)가 누적되며 타당도를 잃는 복합 오차(compounding error)가 발생하며</w:t>
      </w:r>
      <w:r>
        <w:t xml:space="preserve"> </w:t>
      </w:r>
      <w:r>
        <w:t xml:space="preserve">[61]</w:t>
      </w:r>
      <w:r>
        <w:t xml:space="preserve">, 판정기 모델 고유의 편향을 식별해야 한다</w:t>
      </w:r>
      <w:r>
        <w:t xml:space="preserve"> </w:t>
      </w:r>
      <w:r>
        <w:t xml:space="preserve">[62]</w:t>
      </w:r>
      <w:r>
        <w:t xml:space="preserve">. 다수결 투표가 어려운 문제에서 오히려 정확도를 떨어뜨리고</w:t>
      </w:r>
      <w:r>
        <w:t xml:space="preserve"> </w:t>
      </w:r>
      <w:r>
        <w:t xml:space="preserve">[63]</w:t>
      </w:r>
      <w:r>
        <w:t xml:space="preserve">, 잘못된 합의(wrong consensus)에 도달할 위험이 있다</w:t>
      </w:r>
      <w:r>
        <w:t xml:space="preserve"> </w:t>
      </w:r>
      <w:r>
        <w:t xml:space="preserve">[64]</w:t>
      </w:r>
      <w:r>
        <w:t xml:space="preserve">.</w:t>
      </w:r>
    </w:p>
    <w:bookmarkEnd w:id="74"/>
    <w:bookmarkStart w:id="75"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[65]</w:t>
      </w:r>
      <w:r>
        <w:t xml:space="preserve">. 캐시 상태에 따른 비용 변동</w:t>
      </w:r>
      <w:r>
        <w:t xml:space="preserve"> </w:t>
      </w:r>
      <w:r>
        <w:t xml:space="preserve">[66]</w:t>
      </w:r>
      <w:r>
        <w:t xml:space="preserve"> </w:t>
      </w:r>
      <w:r>
        <w:t xml:space="preserve">과 프롬프트 압축 비용</w:t>
      </w:r>
      <w:r>
        <w:t xml:space="preserve"> </w:t>
      </w:r>
      <w:r>
        <w:t xml:space="preserve">[67]</w:t>
      </w:r>
      <w:r>
        <w:t xml:space="preserve">, 그리고 토큰 낭비</w:t>
      </w:r>
      <w:r>
        <w:t xml:space="preserve"> </w:t>
      </w:r>
      <w:r>
        <w:t xml:space="preserve">[68]</w:t>
      </w:r>
      <w:r>
        <w:t xml:space="preserve"> </w:t>
      </w:r>
      <w:r>
        <w:t xml:space="preserve">를 정밀하게 계측해야 한다. 언어모델 호출의 무작위성</w:t>
      </w:r>
      <w:r>
        <w:t xml:space="preserve"> </w:t>
      </w:r>
      <w:r>
        <w:t xml:space="preserve">[69]</w:t>
      </w:r>
      <w:r>
        <w:t xml:space="preserve"> </w:t>
      </w:r>
      <w:r>
        <w:t xml:space="preserve">과 단일 실행 복권(one-run lottery) 효과</w:t>
      </w:r>
      <w:r>
        <w:t xml:space="preserve"> </w:t>
      </w:r>
      <w:r>
        <w:t xml:space="preserve">[70]</w:t>
      </w:r>
      <w:r>
        <w:t xml:space="preserve"> </w:t>
      </w:r>
      <w:r>
        <w:t xml:space="preserve">로 인해 여러 번의 실행 순서 효과</w:t>
      </w:r>
      <w:r>
        <w:t xml:space="preserve"> </w:t>
      </w:r>
      <w:r>
        <w:t xml:space="preserve">[71]</w:t>
      </w:r>
      <w:r>
        <w:t xml:space="preserve"> </w:t>
      </w:r>
      <w:r>
        <w:t xml:space="preserve">와 실행 간 분산</w:t>
      </w:r>
      <w:r>
        <w:t xml:space="preserve"> </w:t>
      </w:r>
      <w:r>
        <w:t xml:space="preserve">[72]</w:t>
      </w:r>
      <w:r>
        <w:t xml:space="preserve"> </w:t>
      </w:r>
      <w:r>
        <w:t xml:space="preserve">을 측정하는 토큰 회계 규율이 필수적이다</w:t>
      </w:r>
      <w:r>
        <w:t xml:space="preserve"> </w:t>
      </w:r>
      <w:r>
        <w:t xml:space="preserve">[73]</w:t>
      </w:r>
      <w:r>
        <w:t xml:space="preserve">. 본 연구는 호출 완료 시점의 사용량을 합산하는 계측기 결함을 바로잡고 실측 비용을 도출했다.</w:t>
      </w:r>
    </w:p>
    <w:bookmarkEnd w:id="75"/>
    <w:bookmarkStart w:id="76"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[74]</w:t>
      </w:r>
      <w:r>
        <w:t xml:space="preserve">, 주석 분산은 과제 항목 자체와 주석자 양쪽에서 발생한다</w:t>
      </w:r>
      <w:r>
        <w:t xml:space="preserve"> </w:t>
      </w:r>
      <w:r>
        <w:t xml:space="preserve">[75]</w:t>
      </w:r>
      <w:r>
        <w:t xml:space="preserve">. 사후 추가형 출처 추적</w:t>
      </w:r>
      <w:r>
        <w:t xml:space="preserve"> </w:t>
      </w:r>
      <w:r>
        <w:t xml:space="preserve">[76]</w:t>
      </w:r>
      <w:r>
        <w:t xml:space="preserve"> </w:t>
      </w:r>
      <w:r>
        <w:t xml:space="preserve">보다는 실행 시점의 근거 원장(evidence ledger)을 구축해야 하며</w:t>
      </w:r>
      <w:r>
        <w:t xml:space="preserve"> </w:t>
      </w:r>
      <w:r>
        <w:t xml:space="preserve">[77]</w:t>
      </w:r>
      <w:r>
        <w:t xml:space="preserve">, 저장된 아티팩트 위에서 0-fit으로 주장을 재현 검증하는 리플레이 검증이 필요하다</w:t>
      </w:r>
      <w:r>
        <w:t xml:space="preserve"> </w:t>
      </w:r>
      <w:r>
        <w:t xml:space="preserve">[78], [79]</w:t>
      </w:r>
      <w:r>
        <w:t xml:space="preserve">. 반복 감사</w:t>
      </w:r>
      <w:r>
        <w:t xml:space="preserve"> </w:t>
      </w:r>
      <w:r>
        <w:t xml:space="preserve">[80]</w:t>
      </w:r>
      <w:r>
        <w:t xml:space="preserve"> </w:t>
      </w:r>
      <w:r>
        <w:t xml:space="preserve">를 통해, 근거 없는 충실도 주장</w:t>
      </w:r>
      <w:r>
        <w:t xml:space="preserve"> </w:t>
      </w:r>
      <w:r>
        <w:t xml:space="preserve">[81]</w:t>
      </w:r>
      <w:r>
        <w:t xml:space="preserve"> </w:t>
      </w:r>
      <w:r>
        <w:t xml:space="preserve">과 암묵적 가정</w:t>
      </w:r>
      <w:r>
        <w:t xml:space="preserve"> </w:t>
      </w:r>
      <w:r>
        <w:t xml:space="preserve">[82]</w:t>
      </w:r>
      <w:r>
        <w:t xml:space="preserve">, 부분적 계약</w:t>
      </w:r>
      <w:r>
        <w:t xml:space="preserve"> </w:t>
      </w:r>
      <w:r>
        <w:t xml:space="preserve">[83]</w:t>
      </w:r>
      <w:r>
        <w:t xml:space="preserve"> </w:t>
      </w:r>
      <w:r>
        <w:t xml:space="preserve">을 배제하고 단계별 사실 검증</w:t>
      </w:r>
      <w:r>
        <w:t xml:space="preserve"> </w:t>
      </w:r>
      <w:r>
        <w:t xml:space="preserve">[84]</w:t>
      </w:r>
      <w:r>
        <w:t xml:space="preserve"> </w:t>
      </w:r>
      <w:r>
        <w:t xml:space="preserve">을 수립했다.</w:t>
      </w:r>
    </w:p>
    <w:bookmarkEnd w:id="76"/>
    <w:bookmarkStart w:id="77"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[85]</w:t>
      </w:r>
      <w:r>
        <w:t xml:space="preserve"> </w:t>
      </w:r>
      <w:r>
        <w:t xml:space="preserve">과 평가 맹점</w:t>
      </w:r>
      <w:r>
        <w:t xml:space="preserve"> </w:t>
      </w:r>
      <w:r>
        <w:t xml:space="preserve">[86]</w:t>
      </w:r>
      <w:r>
        <w:t xml:space="preserve"> </w:t>
      </w:r>
      <w:r>
        <w:t xml:space="preserve">을 드러내기 위해 변형 관계(metamorphic relations)에 기반한 변이 감사를 도입했다</w:t>
      </w:r>
      <w:r>
        <w:t xml:space="preserve"> </w:t>
      </w:r>
      <w:r>
        <w:t xml:space="preserve">[87]</w:t>
      </w:r>
      <w:r>
        <w:t xml:space="preserve">. 오라클 가용성</w:t>
      </w:r>
      <w:r>
        <w:t xml:space="preserve"> </w:t>
      </w:r>
      <w:r>
        <w:t xml:space="preserve">[88]</w:t>
      </w:r>
      <w:r>
        <w:t xml:space="preserve"> </w:t>
      </w:r>
      <w:r>
        <w:t xml:space="preserve">과 오라클 앵커링</w:t>
      </w:r>
      <w:r>
        <w:t xml:space="preserve"> </w:t>
      </w:r>
      <w:r>
        <w:t xml:space="preserve">[89]</w:t>
      </w:r>
      <w:r>
        <w:t xml:space="preserve"> </w:t>
      </w:r>
      <w:r>
        <w:t xml:space="preserve">문제를 방지하고, 감사 자체의 타당성을 다시 점검하는 감사 감사(audit of audits)를 거쳤다</w:t>
      </w:r>
      <w:r>
        <w:t xml:space="preserve"> </w:t>
      </w:r>
      <w:r>
        <w:t xml:space="preserve">[90]</w:t>
      </w:r>
      <w:r>
        <w:t xml:space="preserve">.</w:t>
      </w:r>
    </w:p>
    <w:bookmarkEnd w:id="77"/>
    <w:bookmarkStart w:id="79" w:name="분산-성분과-설계의-한계"/>
    <w:p>
      <w:pPr>
        <w:pStyle w:val="Heading2"/>
      </w:pPr>
      <w:r>
        <w:t xml:space="preserve">7. 분산 성분과 설계의 한계</w:t>
      </w:r>
    </w:p>
    <w:p>
      <w:pPr>
        <w:pStyle w:val="FirstParagraph"/>
      </w:pPr>
      <w:hyperlink w:anchor="tbl-variance">
        <w:r>
          <w:rPr>
            <w:rStyle w:val="Hyperlink"/>
          </w:rPr>
          <w:t xml:space="preserve">표 5</w:t>
        </w:r>
      </w:hyperlink>
      <w:r>
        <w:t xml:space="preserve"> </w:t>
      </w:r>
      <w:r>
        <w:t xml:space="preserve">는 조건·요소·잔차 성분과 dependability를 보인다. 초기 단서 기반 채점 파이프라인에서 측정된 조건 분산 성분은 0.009(K5) 및 0.000(K6)으로 나타났으며 (</w:t>
      </w:r>
      <w:hyperlink w:anchor="tbl-variance">
        <w:r>
          <w:rPr>
            <w:rStyle w:val="Hyperlink"/>
          </w:rPr>
          <w:t xml:space="preserve">표 5</w:t>
        </w:r>
      </w:hyperlink>
      <w:r>
        <w:t xml:space="preserve">), 단서 검색 결함을 수리하고 2회 반복을 수렴시킨 전수 재판정에서도 조건 분산 성분은 각각 0.026과 0.000에 그쳤다. 반면 평가 요소 난이도와 잔차 분산이 전체 변동의 85% 이상을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8" w:name="tbl-variance"/>
          <w:p>
            <w:pPr>
              <w:jc w:val="center"/>
            </w:pPr>
            <w:pPr>
              <w:jc w:val="left"/>
              <w:spacing w:before="200"/>
              <w:pStyle w:val="ImageCaption"/>
            </w:pPr>
            <w:r>
              <w:t xml:space="preserve">표 5.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8"/>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9"/>
    <w:bookmarkStart w:id="80" w:name="조작-확인과-선행-관찰"/>
    <w:p>
      <w:pPr>
        <w:pStyle w:val="Heading2"/>
      </w:pPr>
      <w:r>
        <w:t xml:space="preserve">8. 조작 확인과 선행 관찰</w:t>
      </w:r>
    </w:p>
    <w:p>
      <w:pPr>
        <w:pStyle w:val="FirstParagraph"/>
      </w:pPr>
      <w:r>
        <w:t xml:space="preserve">과정 지표 분석 결과 인터페이스 호출 수(0.899 / 0.951)와 컨텍스트 토큰 소비량(0.915 / 0.925)에서 조건 간 분산이 90% 이상 뚜렷하게 분리되었다. 이는 처치가 유효하게 주입되었음을 입증하는</w:t>
      </w:r>
      <w:r>
        <w:t xml:space="preserve"> </w:t>
      </w:r>
      <w:r>
        <w:rPr>
          <w:b/>
          <w:bCs/>
        </w:rPr>
        <w:t xml:space="preserve">조작 확인(manipulation check)</w:t>
      </w:r>
      <w:r>
        <w:t xml:space="preserve">이다. 따라서 처치 강도가 약했다거나 모델(Haiku 4.5)이 조건 차이를 인지하지 못해 분산이 0으로 수렴했다는 대안 가설은 명백히 기각된다. 더 많은 문맥과 도구를 제공받은 에이전트는 구조적으로 훨씬 많은 탐색을 수행하였으나, 최종 연구 계획서의 높은 정형성으로 인해 LLM 채점기가 질적 차이를 변별하지 못한 것이다. 본 연구는 이러한 조작 지표를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80"/>
    <w:bookmarkStart w:id="82" w:name="예산-완료율"/>
    <w:p>
      <w:pPr>
        <w:pStyle w:val="Heading2"/>
      </w:pPr>
      <w:r>
        <w:t xml:space="preserve">9. 예산 완료율</w:t>
      </w:r>
    </w:p>
    <w:p>
      <w:pPr>
        <w:pStyle w:val="FirstParagraph"/>
      </w:pPr>
      <w:hyperlink w:anchor="tbl-completion">
        <w:r>
          <w:rPr>
            <w:rStyle w:val="Hyperlink"/>
          </w:rPr>
          <w:t xml:space="preserve">표 6</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81" w:name="tbl-completion"/>
          <w:p>
            <w:pPr>
              <w:jc w:val="center"/>
            </w:pPr>
            <w:pPr>
              <w:jc w:val="left"/>
              <w:spacing w:before="200"/>
              <w:pStyle w:val="ImageCaption"/>
            </w:pPr>
            <w:r>
              <w:t xml:space="preserve">표 6.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81"/>
          <w:p/>
        </w:tc>
      </w:tr>
    </w:tbl>
    <w:p>
      <w:pPr>
        <w:pStyle w:val="BodyText"/>
      </w:pPr>
      <w:r>
        <w:t xml:space="preserve">네 조건의 구간이 모두 겹친다. 조건당 2건(총 8건)의 소규모 표본으로는 조건 간 완료율 차이를 검출할 통계적 검정력이 부족하며, 본 연구는 그 차이를 유의미한 것으로 주장하지 않는다.</w:t>
      </w:r>
    </w:p>
    <w:bookmarkEnd w:id="82"/>
    <w:bookmarkStart w:id="87"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6" w:name="fig-evidence"/>
          <w:p>
            <w:pPr>
              <w:pStyle w:val="Compact"/>
              <w:jc w:val="center"/>
            </w:pPr>
            <w:r>
              <w:drawing>
                <wp:inline>
                  <wp:extent cx="4533900" cy="1257644"/>
                  <wp:effectExtent b="0" l="0" r="0" t="0"/>
                  <wp:docPr descr="" title="" id="84" name="Picture"/>
                  <a:graphic>
                    <a:graphicData uri="http://schemas.openxmlformats.org/drawingml/2006/picture">
                      <pic:pic>
                        <pic:nvPicPr>
                          <pic:cNvPr descr="figures/rendered/fig-08.png" id="85" name="Picture"/>
                          <pic:cNvPicPr>
                            <a:picLocks noChangeArrowheads="1" noChangeAspect="1"/>
                          </pic:cNvPicPr>
                        </pic:nvPicPr>
                        <pic:blipFill>
                          <a:blip r:embed="rId83"/>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6"/>
        </w:tc>
      </w:tr>
    </w:tbl>
    <w:bookmarkEnd w:id="87"/>
    <w:bookmarkStart w:id="89"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[91]</w:t>
      </w:r>
      <w:r>
        <w:t xml:space="preserve"> </w:t>
      </w:r>
      <w:r>
        <w:t xml:space="preserve">순차적 의사결정 과정(sequential meta-decisions)을 감사하고</w:t>
      </w:r>
      <w:r>
        <w:t xml:space="preserve"> </w:t>
      </w:r>
      <w:r>
        <w:t xml:space="preserve">[92]</w:t>
      </w:r>
      <w:r>
        <w:t xml:space="preserve">, AI 연구의 엄밀성(rigor)을 세우기 위해</w:t>
      </w:r>
      <w:r>
        <w:t xml:space="preserve"> </w:t>
      </w:r>
      <w:r>
        <w:t xml:space="preserve">[93]</w:t>
      </w:r>
      <w:r>
        <w:t xml:space="preserve"> </w:t>
      </w:r>
      <w:r>
        <w:t xml:space="preserve">사전등록(preregistration)을 동결했다</w:t>
      </w:r>
      <w:r>
        <w:t xml:space="preserve"> </w:t>
      </w:r>
      <w:r>
        <w:t xml:space="preserve">[94]</w:t>
      </w:r>
      <w:r>
        <w:t xml:space="preserve">. 소규모 스크리닝의 한계</w:t>
      </w:r>
      <w:r>
        <w:t xml:space="preserve"> </w:t>
      </w:r>
      <w:r>
        <w:t xml:space="preserve">[95]</w:t>
      </w:r>
      <w:r>
        <w:t xml:space="preserve"> </w:t>
      </w:r>
      <w:r>
        <w:t xml:space="preserve">와 부정적 결과(negative results)의 정직한 보고</w:t>
      </w:r>
      <w:r>
        <w:t xml:space="preserve"> </w:t>
      </w:r>
      <w:r>
        <w:t xml:space="preserve">[96]</w:t>
      </w:r>
      <w:r>
        <w:t xml:space="preserve"> </w:t>
      </w:r>
      <w:r>
        <w:t xml:space="preserve">를 통해 체계적 편향을 차단했다.</w:t>
      </w:r>
      <w:r>
        <w:t xml:space="preserve"> </w:t>
      </w:r>
      <w:hyperlink w:anchor="tbl-threats">
        <w:r>
          <w:rPr>
            <w:rStyle w:val="Hyperlink"/>
          </w:rPr>
          <w:t xml:space="preserve">표 7</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tbl-threats"/>
          <w:p>
            <w:pPr>
              <w:jc w:val="center"/>
            </w:pPr>
            <w:pPr>
              <w:jc w:val="left"/>
              <w:spacing w:before="200"/>
              <w:pStyle w:val="ImageCaption"/>
            </w:pPr>
            <w:r>
              <w:t xml:space="preserve">표 7.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 및 검정력</w:t>
                  </w:r>
                </w:p>
              </w:tc>
              <w:tc>
                <w:tcPr/>
                <w:p>
                  <w:pPr>
                    <w:pStyle w:val="Compact"/>
                    <w:jc w:val="center"/>
                  </w:pPr>
                  <w:r>
                    <w:t xml:space="preserve">과제 2개, 조건 4개(자유도 df=3), 반복 2회다. 극소 표본 제약으로 소규모 처치 분산을 검출할 검정력(MDE) 한계가 존재한다.</w:t>
                  </w:r>
                </w:p>
              </w:tc>
            </w:tr>
            <w:tr>
              <w:tc>
                <w:tcPr/>
                <w:p>
                  <w:pPr>
                    <w:pStyle w:val="Compact"/>
                    <w:jc w:val="center"/>
                  </w:pPr>
                  <w:r>
                    <w:t xml:space="preserve">분산 성분 절단</w:t>
                  </w:r>
                </w:p>
              </w:tc>
              <w:tc>
                <w:tcPr/>
                <w:p>
                  <w:pPr>
                    <w:pStyle w:val="Compact"/>
                    <w:jc w:val="center"/>
                  </w:pPr>
                  <w:r>
                    <w:t xml:space="preserve">음수 분산 성분을 0으로 절단(clamping)함에 따라 양수 성분(요소 및 잔차)의 점유율에 일부 상향 편향이 개입될 수 있다.</w:t>
                  </w:r>
                </w:p>
              </w:tc>
            </w:tr>
            <w:tr>
              <w:tc>
                <w:tcPr/>
                <w:p>
                  <w:pPr>
                    <w:pStyle w:val="Compact"/>
                    <w:jc w:val="center"/>
                  </w:pPr>
                  <w:r>
                    <w:t xml:space="preserve">과제 성격</w:t>
                  </w:r>
                </w:p>
              </w:tc>
              <w:tc>
                <w:tcPr/>
                <w:p>
                  <w:pPr>
                    <w:pStyle w:val="Compact"/>
                    <w:jc w:val="center"/>
                  </w:pPr>
                  <w:r>
                    <w:t xml:space="preserve">설계 품질을 연구 계획서 산출물의 점검표로 재며, 실제 장기 코드 실행이나 모델 학습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나타난다.</w:t>
                  </w:r>
                </w:p>
              </w:tc>
            </w:tr>
            <w:tr>
              <w:tc>
                <w:tcPr/>
                <w:p>
                  <w:pPr>
                    <w:pStyle w:val="Compact"/>
                    <w:jc w:val="center"/>
                  </w:pPr>
                  <w:r>
                    <w:t xml:space="preserve">일반화</w:t>
                  </w:r>
                </w:p>
              </w:tc>
              <w:tc>
                <w:tcPr/>
                <w:p>
                  <w:pPr>
                    <w:pStyle w:val="Compact"/>
                    <w:jc w:val="center"/>
                  </w:pPr>
                  <w:r>
                    <w:t xml:space="preserve">측정된 수치는 본 실험의 과제·하네스·모델 구성에 국한된다.</w:t>
                  </w:r>
                </w:p>
              </w:tc>
            </w:tr>
          </w:tbl>
          <w:bookmarkEnd w:id="88"/>
          <w:p/>
        </w:tc>
      </w:tr>
    </w:tbl>
    <w:bookmarkEnd w:id="89"/>
    <w:bookmarkStart w:id="91" w:name="study-b의-현재-상태-사전등록-완료-미실행"/>
    <w:p>
      <w:pPr>
        <w:pStyle w:val="Heading2"/>
      </w:pPr>
      <w:r>
        <w:t xml:space="preserve">12. Study B의 현재 상태 — 사전등록 완료, 미실행</w:t>
      </w:r>
    </w:p>
    <w:p>
      <w:pPr>
        <w:pStyle w:val="FirstParagraph"/>
      </w:pPr>
      <w:r>
        <w:t xml:space="preserve">Ⅲ장 8절의 하네스 구성 벤치마크는</w:t>
      </w:r>
      <w:r>
        <w:t xml:space="preserve"> </w:t>
      </w:r>
      <w:r>
        <w:rPr>
          <w:b/>
          <w:bCs/>
        </w:rPr>
        <w:t xml:space="preserve">사전등록을 마쳤고 아직 실행되지 않았다.</w:t>
      </w:r>
      <w:r>
        <w:t xml:space="preserve"> </w:t>
      </w:r>
      <w:r>
        <w:t xml:space="preserve">이 절은 그 사실을 명시하기 위해 존재한다.</w:t>
      </w:r>
      <w:r>
        <w:t xml:space="preserve"> </w:t>
      </w:r>
      <w:hyperlink w:anchor="tbl-studyb-status">
        <w:r>
          <w:rPr>
            <w:rStyle w:val="Hyperlink"/>
          </w:rPr>
          <w:t xml:space="preserve">표 8</w:t>
        </w:r>
      </w:hyperlink>
      <w:r>
        <w:t xml:space="preserve"> </w:t>
      </w:r>
      <w:r>
        <w:t xml:space="preserve">의 결과 열이 전부 미실행인 것은 누락이 아니라 기록이다.</w:t>
      </w:r>
    </w:p>
    <w:tbl>
      <w:tblPr>
        <w:tblStyle w:val="Table"/>
        <w:tblW w:type="pct" w:w="5000"/>
        <w:tblLayout w:type="fixed"/>
        <w:tblLook w:firstRow="0" w:lastRow="0" w:firstColumn="0" w:lastColumn="0" w:noHBand="0" w:noVBand="0" w:val="0000"/>
      </w:tblPr>
      <w:tblGrid>
        <w:gridCol w:w="7920"/>
      </w:tblGrid>
      <w:tr>
        <w:tc>
          <w:tcPr/>
          <w:bookmarkStart w:id="90" w:name="tbl-studyb-status"/>
          <w:p>
            <w:pPr>
              <w:jc w:val="center"/>
            </w:pPr>
            <w:pPr>
              <w:jc w:val="left"/>
              <w:spacing w:before="200"/>
              <w:pStyle w:val="ImageCaption"/>
            </w:pPr>
            <w:r>
              <w:t xml:space="preserve">표 8. Study B 아암별 사전등록 및 실행 상태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아암</w:t>
                  </w:r>
                </w:p>
              </w:tc>
              <w:tc>
                <w:tcPr/>
                <w:p>
                  <w:pPr>
                    <w:pStyle w:val="Compact"/>
                    <w:jc w:val="center"/>
                  </w:pPr>
                  <w:r>
                    <w:t xml:space="preserve">구성</w:t>
                  </w:r>
                </w:p>
              </w:tc>
              <w:tc>
                <w:tcPr/>
                <w:p>
                  <w:pPr>
                    <w:pStyle w:val="Compact"/>
                    <w:jc w:val="center"/>
                  </w:pPr>
                  <w:r>
                    <w:t xml:space="preserve">단계</w:t>
                  </w:r>
                </w:p>
              </w:tc>
              <w:tc>
                <w:tcPr/>
                <w:p>
                  <w:pPr>
                    <w:pStyle w:val="Compact"/>
                    <w:jc w:val="center"/>
                  </w:pPr>
                  <w:r>
                    <w:t xml:space="preserve">검증기 통과율</w:t>
                  </w:r>
                </w:p>
              </w:tc>
            </w:tr>
            <w:tr>
              <w:tc>
                <w:tcPr/>
                <w:p>
                  <w:pPr>
                    <w:pStyle w:val="Compact"/>
                    <w:jc w:val="center"/>
                  </w:pPr>
                  <w:r>
                    <w:t xml:space="preserve">B0</w:t>
                  </w:r>
                </w:p>
              </w:tc>
              <w:tc>
                <w:tcPr/>
                <w:p>
                  <w:pPr>
                    <w:pStyle w:val="Compact"/>
                    <w:jc w:val="center"/>
                  </w:pPr>
                  <w:r>
                    <w:t xml:space="preserve">최소 도구 하네스</w:t>
                  </w:r>
                </w:p>
              </w:tc>
              <w:tc>
                <w:tcPr/>
                <w:p>
                  <w:pPr>
                    <w:pStyle w:val="Compact"/>
                    <w:jc w:val="center"/>
                  </w:pPr>
                  <w:r>
                    <w:t xml:space="preserve">1차 스크리닝</w:t>
                  </w:r>
                </w:p>
              </w:tc>
              <w:tc>
                <w:tcPr/>
                <w:p>
                  <w:pPr>
                    <w:pStyle w:val="Compact"/>
                    <w:jc w:val="center"/>
                  </w:pPr>
                  <w:r>
                    <w:t xml:space="preserve">미실행</w:t>
                  </w:r>
                </w:p>
              </w:tc>
            </w:tr>
            <w:tr>
              <w:tc>
                <w:tcPr/>
                <w:p>
                  <w:pPr>
                    <w:pStyle w:val="Compact"/>
                    <w:jc w:val="center"/>
                  </w:pPr>
                  <w:r>
                    <w:t xml:space="preserve">B1</w:t>
                  </w:r>
                </w:p>
              </w:tc>
              <w:tc>
                <w:tcPr/>
                <w:p>
                  <w:pPr>
                    <w:pStyle w:val="Compact"/>
                    <w:jc w:val="center"/>
                  </w:pPr>
                  <w:r>
                    <w:t xml:space="preserve">표현력 하네스</w:t>
                  </w:r>
                </w:p>
              </w:tc>
              <w:tc>
                <w:tcPr/>
                <w:p>
                  <w:pPr>
                    <w:pStyle w:val="Compact"/>
                    <w:jc w:val="center"/>
                  </w:pPr>
                  <w:r>
                    <w:t xml:space="preserve">1차 스크리닝</w:t>
                  </w:r>
                </w:p>
              </w:tc>
              <w:tc>
                <w:tcPr/>
                <w:p>
                  <w:pPr>
                    <w:pStyle w:val="Compact"/>
                    <w:jc w:val="center"/>
                  </w:pPr>
                  <w:r>
                    <w:t xml:space="preserve">미실행</w:t>
                  </w:r>
                </w:p>
              </w:tc>
            </w:tr>
            <w:tr>
              <w:tc>
                <w:tcPr/>
                <w:p>
                  <w:pPr>
                    <w:pStyle w:val="Compact"/>
                    <w:jc w:val="center"/>
                  </w:pPr>
                  <w:r>
                    <w:t xml:space="preserve">B2</w:t>
                  </w:r>
                </w:p>
              </w:tc>
              <w:tc>
                <w:tcPr/>
                <w:p>
                  <w:pPr>
                    <w:pStyle w:val="Compact"/>
                    <w:jc w:val="center"/>
                  </w:pPr>
                  <w:r>
                    <w:t xml:space="preserve">책임 가능 복합 하네스</w:t>
                  </w:r>
                </w:p>
              </w:tc>
              <w:tc>
                <w:tcPr/>
                <w:p>
                  <w:pPr>
                    <w:pStyle w:val="Compact"/>
                    <w:jc w:val="center"/>
                  </w:pPr>
                  <w:r>
                    <w:t xml:space="preserve">1차 스크리닝</w:t>
                  </w:r>
                </w:p>
              </w:tc>
              <w:tc>
                <w:tcPr/>
                <w:p>
                  <w:pPr>
                    <w:pStyle w:val="Compact"/>
                    <w:jc w:val="center"/>
                  </w:pPr>
                  <w:r>
                    <w:t xml:space="preserve">미실행</w:t>
                  </w:r>
                </w:p>
              </w:tc>
            </w:tr>
            <w:tr>
              <w:tc>
                <w:tcPr/>
                <w:p>
                  <w:pPr>
                    <w:pStyle w:val="Compact"/>
                    <w:jc w:val="center"/>
                  </w:pPr>
                  <w:r>
                    <w:t xml:space="preserve">B2-G</w:t>
                  </w:r>
                </w:p>
              </w:tc>
              <w:tc>
                <w:tcPr/>
                <w:p>
                  <w:pPr>
                    <w:pStyle w:val="Compact"/>
                    <w:jc w:val="center"/>
                  </w:pPr>
                  <w:r>
                    <w:t xml:space="preserve">− 타입 컨텍스트 그래프</w:t>
                  </w:r>
                </w:p>
              </w:tc>
              <w:tc>
                <w:tcPr/>
                <w:p>
                  <w:pPr>
                    <w:pStyle w:val="Compact"/>
                    <w:jc w:val="center"/>
                  </w:pPr>
                  <w:r>
                    <w:t xml:space="preserve">절제(미승인)</w:t>
                  </w:r>
                </w:p>
              </w:tc>
              <w:tc>
                <w:tcPr/>
                <w:p>
                  <w:pPr>
                    <w:pStyle w:val="Compact"/>
                    <w:jc w:val="center"/>
                  </w:pPr>
                  <w:r>
                    <w:t xml:space="preserve">미실행</w:t>
                  </w:r>
                </w:p>
              </w:tc>
            </w:tr>
            <w:tr>
              <w:tc>
                <w:tcPr/>
                <w:p>
                  <w:pPr>
                    <w:pStyle w:val="Compact"/>
                    <w:jc w:val="center"/>
                  </w:pPr>
                  <w:r>
                    <w:t xml:space="preserve">B2-P</w:t>
                  </w:r>
                </w:p>
              </w:tc>
              <w:tc>
                <w:tcPr/>
                <w:p>
                  <w:pPr>
                    <w:pStyle w:val="Compact"/>
                    <w:jc w:val="center"/>
                  </w:pPr>
                  <w:r>
                    <w:t xml:space="preserve">− 결정 프로토콜·청구 잠금</w:t>
                  </w:r>
                </w:p>
              </w:tc>
              <w:tc>
                <w:tcPr/>
                <w:p>
                  <w:pPr>
                    <w:pStyle w:val="Compact"/>
                    <w:jc w:val="center"/>
                  </w:pPr>
                  <w:r>
                    <w:t xml:space="preserve">절제(미승인)</w:t>
                  </w:r>
                </w:p>
              </w:tc>
              <w:tc>
                <w:tcPr/>
                <w:p>
                  <w:pPr>
                    <w:pStyle w:val="Compact"/>
                    <w:jc w:val="center"/>
                  </w:pPr>
                  <w:r>
                    <w:t xml:space="preserve">미실행</w:t>
                  </w:r>
                </w:p>
              </w:tc>
            </w:tr>
            <w:tr>
              <w:tc>
                <w:tcPr/>
                <w:p>
                  <w:pPr>
                    <w:pStyle w:val="Compact"/>
                    <w:jc w:val="center"/>
                  </w:pPr>
                  <w:r>
                    <w:t xml:space="preserve">B2-R</w:t>
                  </w:r>
                </w:p>
              </w:tc>
              <w:tc>
                <w:tcPr/>
                <w:p>
                  <w:pPr>
                    <w:pStyle w:val="Compact"/>
                    <w:jc w:val="center"/>
                  </w:pPr>
                  <w:r>
                    <w:t xml:space="preserve">− 결과 주도 검색</w:t>
                  </w:r>
                </w:p>
              </w:tc>
              <w:tc>
                <w:tcPr/>
                <w:p>
                  <w:pPr>
                    <w:pStyle w:val="Compact"/>
                    <w:jc w:val="center"/>
                  </w:pPr>
                  <w:r>
                    <w:t xml:space="preserve">절제(미승인)</w:t>
                  </w:r>
                </w:p>
              </w:tc>
              <w:tc>
                <w:tcPr/>
                <w:p>
                  <w:pPr>
                    <w:pStyle w:val="Compact"/>
                    <w:jc w:val="center"/>
                  </w:pPr>
                  <w:r>
                    <w:t xml:space="preserve">미실행</w:t>
                  </w:r>
                </w:p>
              </w:tc>
            </w:tr>
            <w:tr>
              <w:tc>
                <w:tcPr/>
                <w:p>
                  <w:pPr>
                    <w:pStyle w:val="Compact"/>
                    <w:jc w:val="center"/>
                  </w:pPr>
                  <w:r>
                    <w:t xml:space="preserve">B2-L</w:t>
                  </w:r>
                </w:p>
              </w:tc>
              <w:tc>
                <w:tcPr/>
                <w:p>
                  <w:pPr>
                    <w:pStyle w:val="Compact"/>
                    <w:jc w:val="center"/>
                  </w:pPr>
                  <w:r>
                    <w:t xml:space="preserve">− 반증 루프</w:t>
                  </w:r>
                </w:p>
              </w:tc>
              <w:tc>
                <w:tcPr/>
                <w:p>
                  <w:pPr>
                    <w:pStyle w:val="Compact"/>
                    <w:jc w:val="center"/>
                  </w:pPr>
                  <w:r>
                    <w:t xml:space="preserve">절제(미승인)</w:t>
                  </w:r>
                </w:p>
              </w:tc>
              <w:tc>
                <w:tcPr/>
                <w:p>
                  <w:pPr>
                    <w:pStyle w:val="Compact"/>
                    <w:jc w:val="center"/>
                  </w:pPr>
                  <w:r>
                    <w:t xml:space="preserve">미실행</w:t>
                  </w:r>
                </w:p>
              </w:tc>
            </w:tr>
          </w:tbl>
          <w:bookmarkEnd w:id="90"/>
          <w:p/>
        </w:tc>
      </w:tr>
    </w:tbl>
    <w:p>
      <w:pPr>
        <w:pStyle w:val="BodyText"/>
      </w:pPr>
      <w:r>
        <w:t xml:space="preserve">설계 값은 결과가 아니므로 분리해 적는다. 1차 검정의 최소 검출 가능 효과는 라벨된 검정력 계산에서 나온다.</w:t>
      </w:r>
      <w:r>
        <w:t xml:space="preserve"> </w:t>
      </w:r>
      <w:r>
        <w:t xml:space="preserve">과제 3종을 풀링한 120쌍에서 절대 통과율 차</w:t>
      </w:r>
      <w:r>
        <w:t xml:space="preserve"> </w:t>
      </w:r>
      <w:r>
        <w:rPr>
          <w:b/>
          <w:bCs/>
        </w:rPr>
        <w:t xml:space="preserve">0.140</w:t>
      </w:r>
      <w:r>
        <w:t xml:space="preserve">, 과제별 40쌍에서</w:t>
      </w:r>
      <w:r>
        <w:t xml:space="preserve"> </w:t>
      </w:r>
      <w:r>
        <w:rPr>
          <w:b/>
          <w:bCs/>
        </w:rPr>
        <w:t xml:space="preserve">0.243</w:t>
      </w:r>
      <w:r>
        <w:t xml:space="preserve">이다(불일치율 0.30 가정).</w:t>
      </w:r>
      <w:r>
        <w:t xml:space="preserve"> </w:t>
      </w:r>
      <w:r>
        <w:t xml:space="preserve">이 값들은 설계 파라미터이지 관측이 아니다. 선행 연구에도 같은 함정의 사례가 있다. 한 하네스 진화 연구는</w:t>
      </w:r>
      <w:r>
        <w:t xml:space="preserve"> </w:t>
      </w:r>
      <w:r>
        <w:t xml:space="preserve">41개 보류 과제에서 25/41 대 28/41의 차이를 짝지은 정확 McNemar로 검정해</w:t>
      </w:r>
      <w:r>
        <w:t xml:space="preserve"> </w:t>
      </w:r>
      <w:r>
        <w:rPr>
          <w:b/>
          <w:bCs/>
        </w:rPr>
        <w:t xml:space="preserve">p = 0.45</w:t>
      </w:r>
      <w:r>
        <w:t xml:space="preserve">를 얻고,</w:t>
      </w:r>
      <w:r>
        <w:t xml:space="preserve"> </w:t>
      </w:r>
      <w:r>
        <w:t xml:space="preserve">스스로 결정적이지 않다고 적었다</w:t>
      </w:r>
      <w:r>
        <w:t xml:space="preserve"> </w:t>
      </w:r>
      <w:r>
        <w:t xml:space="preserve">[53]</w:t>
      </w:r>
      <w:r>
        <w:t xml:space="preserve">. 본 연구가 검출 한계를</w:t>
      </w:r>
      <w:r>
        <w:t xml:space="preserve"> </w:t>
      </w:r>
      <w:r>
        <w:rPr>
          <w:b/>
          <w:bCs/>
        </w:rPr>
        <w:t xml:space="preserve">결과 이전에</w:t>
      </w:r>
      <w:r>
        <w:t xml:space="preserve"> </w:t>
      </w:r>
      <w:r>
        <w:t xml:space="preserve">공개하는 이유다.</w:t>
      </w:r>
    </w:p>
    <w:p>
      <w:pPr>
        <w:pStyle w:val="BodyText"/>
      </w:pPr>
      <w:r>
        <w:t xml:space="preserve">에피소드 단가는 Study A에서 실측된 값이며, 확장 추정의 근거로만 쓴다. 실행 승인 범위는 1차 스크리닝</w:t>
      </w:r>
      <w:r>
        <w:t xml:space="preserve"> </w:t>
      </w:r>
      <w:r>
        <w:t xml:space="preserve">세 아암이고 절제 네 아암은 미승인 상태다. 승인 범위 밖의 수치는 이 논문에 등장하지 않는다.</w:t>
      </w:r>
    </w:p>
    <w:bookmarkEnd w:id="91"/>
    <w:bookmarkEnd w:id="92"/>
    <w:bookmarkStart w:id="97" w:name="conclusions"/>
    <w:p>
      <w:pPr>
        <w:pStyle w:val="Heading1"/>
      </w:pPr>
      <w:r>
        <w:t xml:space="preserve">Ⅴ. Conclusions</w:t>
      </w:r>
    </w:p>
    <w:p>
      <w:pPr>
        <w:pStyle w:val="FirstParagraph"/>
      </w:pPr>
      <w:r>
        <w:rPr>
          <w:b/>
          <w:bCs/>
        </w:rPr>
        <w:t xml:space="preserve">본 연구는 자율 연구 하네스를 만들기 전에, 그 하네스를 재는 도구가 잴 자격이 있는지를 먼저 물었다.</w:t>
      </w:r>
      <w:r>
        <w:t xml:space="preserve"> </w:t>
      </w:r>
      <w:r>
        <w:t xml:space="preserve">그 물음의 답이 이 논문의 두 축을 갈랐다. 측정 축(Study A)은 판정 기반 endpoint가 하네스 비교에 쓰일 수</w:t>
      </w:r>
      <w:r>
        <w:t xml:space="preserve"> </w:t>
      </w:r>
      <w:r>
        <w:t xml:space="preserve">없음을 실행된 근거로 보였고, 설계 축(Study B)은 그 결론 위에 결정론적 검증기 기반의 구성 벤치마크를 세웠다.</w:t>
      </w:r>
      <w:r>
        <w:t xml:space="preserve"> </w:t>
      </w:r>
      <w:r>
        <w:t xml:space="preserve">단일 종단 점수만 좇는 자율 연구 시스템의 실패 양식</w:t>
      </w:r>
      <w:r>
        <w:t xml:space="preserve"> </w:t>
      </w:r>
      <w:r>
        <w:t xml:space="preserve">[97]</w:t>
      </w:r>
      <w:r>
        <w:t xml:space="preserve"> </w:t>
      </w:r>
      <w:r>
        <w:t xml:space="preserve">을 피하려면 검증 비용이 생성</w:t>
      </w:r>
      <w:r>
        <w:t xml:space="preserve"> </w:t>
      </w:r>
      <w:r>
        <w:t xml:space="preserve">비용을 넘을 수 있음을 감수해야 한다</w:t>
      </w:r>
      <w:r>
        <w:t xml:space="preserve"> </w:t>
      </w:r>
      <w:r>
        <w:t xml:space="preserve">[98]</w:t>
      </w:r>
      <w:r>
        <w:t xml:space="preserve">.</w:t>
      </w:r>
    </w:p>
    <w:bookmarkStart w:id="93" w:name="측정-축에서-확인된-것"/>
    <w:p>
      <w:pPr>
        <w:pStyle w:val="Heading2"/>
      </w:pPr>
      <w:r>
        <w:t xml:space="preserve">1. 측정 축에서 확인된 것</w:t>
      </w:r>
    </w:p>
    <w:p>
      <w:pPr>
        <w:pStyle w:val="FirstParagraph"/>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w:t>
      </w:r>
    </w:p>
    <w:bookmarkEnd w:id="93"/>
    <w:bookmarkStart w:id="94" w:name="설계-축이-서-있는-자리"/>
    <w:p>
      <w:pPr>
        <w:pStyle w:val="Heading2"/>
      </w:pPr>
      <w:r>
        <w:t xml:space="preserve">2. 설계 축이 서 있는 자리</w:t>
      </w:r>
    </w:p>
    <w:p>
      <w:pPr>
        <w:pStyle w:val="FirstParagraph"/>
      </w:pPr>
      <w:r>
        <w:t xml:space="preserve">측정 축의 결론은 다음 실험의 형태를 강제한다. 판정기가 조건을 분리하지 못한다면 endpoint는</w:t>
      </w:r>
      <w:r>
        <w:t xml:space="preserve"> </w:t>
      </w:r>
      <w:r>
        <w:rPr>
          <w:b/>
          <w:bCs/>
        </w:rPr>
        <w:t xml:space="preserve">모델이 아니라 코드가 채점하는 것</w:t>
      </w:r>
      <w:r>
        <w:t xml:space="preserve">이어야 하고, 보고된 수치는</w:t>
      </w:r>
      <w:r>
        <w:t xml:space="preserve"> </w:t>
      </w:r>
      <w:r>
        <w:rPr>
          <w:b/>
          <w:bCs/>
        </w:rPr>
        <w:t xml:space="preserve">실행 영수증과 대조 가능</w:t>
      </w:r>
      <w:r>
        <w:t xml:space="preserve">해야 한다.</w:t>
      </w:r>
      <w:r>
        <w:t xml:space="preserve"> </w:t>
      </w:r>
      <w:r>
        <w:t xml:space="preserve">Study B는 이 두 요구를 그대로 설계로 옮겼다. 일곱 메커니즘 각각에 절제 아암을 두어 어느 성분이 효과를</w:t>
      </w:r>
      <w:r>
        <w:t xml:space="preserve"> </w:t>
      </w:r>
      <w:r>
        <w:t xml:space="preserve">내는지 귀속시키고, 1차 대비·풀링·유의수준·보정을 데이터 이전에 고정했다.</w:t>
      </w:r>
    </w:p>
    <w:p>
      <w:pPr>
        <w:pStyle w:val="BodyText"/>
      </w:pPr>
      <w:r>
        <w:t xml:space="preserve">선행 하네스 비교 연구와의 차이는 검정의 유무가 아니라</w:t>
      </w:r>
      <w:r>
        <w:t xml:space="preserve"> </w:t>
      </w:r>
      <w:r>
        <w:rPr>
          <w:b/>
          <w:bCs/>
        </w:rPr>
        <w:t xml:space="preserve">검정의 위치</w:t>
      </w:r>
      <w:r>
        <w:t xml:space="preserve">다. 짝지은 검정을 쓰는 선행 연구도</w:t>
      </w:r>
      <w:r>
        <w:t xml:space="preserve"> </w:t>
      </w:r>
      <w:r>
        <w:t xml:space="preserve">있으나</w:t>
      </w:r>
      <w:r>
        <w:t xml:space="preserve"> </w:t>
      </w:r>
      <w:r>
        <w:t xml:space="preserve">[53]</w:t>
      </w:r>
      <w:r>
        <w:t xml:space="preserve">, 그 검정은 결과를 본 뒤의 서술이며 검출 한계는 사후에 드러난다. 본 연구는 그</w:t>
      </w:r>
      <w:r>
        <w:t xml:space="preserve"> </w:t>
      </w:r>
      <w:r>
        <w:t xml:space="preserve">한계를 실험 이전에 계산해 공개한다. 이것이 음성 결과를 해석 가능하게 만드는 최소 조건이다.</w:t>
      </w:r>
    </w:p>
    <w:bookmarkEnd w:id="94"/>
    <w:bookmarkStart w:id="95" w:name="이-논문이-남기는-원칙"/>
    <w:p>
      <w:pPr>
        <w:pStyle w:val="Heading2"/>
      </w:pPr>
      <w:r>
        <w:t xml:space="preserve">3. 이 논문이 남기는 원칙</w:t>
      </w:r>
    </w:p>
    <w:p>
      <w:pPr>
        <w:pStyle w:val="FirstParagraph"/>
      </w:pPr>
      <w:r>
        <w:rPr>
          <w:b/>
          <w:bCs/>
        </w:rPr>
        <w:t xml:space="preserve">측정 도구의 인정 가능성이 효과 추정에 선행한다.</w:t>
      </w:r>
      <w:r>
        <w:t xml:space="preserve"> </w:t>
      </w:r>
      <w:r>
        <w:t xml:space="preserve">이 원칙은 본 연구 자신에게 먼저 적용됐다.</w:t>
      </w:r>
      <w:r>
        <w:t xml:space="preserve"> </w:t>
      </w:r>
      <w:r>
        <w:t xml:space="preserve">개발 과정에서 실행되지 않은 시뮬레이션이 결과로 기술된 사건이 있었고, 사후에 검증기를 실제로 돌리자</w:t>
      </w:r>
      <w:r>
        <w:t xml:space="preserve"> </w:t>
      </w:r>
      <w:r>
        <w:t xml:space="preserve">그 수치는 근거가 없을 뿐 아니라 방향까지 틀렸다. 이 논문은 그 사건을 숨기지 않고 철회 기록으로 남겼으며,</w:t>
      </w:r>
      <w:r>
        <w:t xml:space="preserve"> </w:t>
      </w:r>
      <w:r>
        <w:t xml:space="preserve">숫자의</w:t>
      </w:r>
      <w:r>
        <w:t xml:space="preserve"> </w:t>
      </w:r>
      <w:r>
        <w:rPr>
          <w:i/>
          <w:iCs/>
        </w:rPr>
        <w:t xml:space="preserve">일치</w:t>
      </w:r>
      <w:r>
        <w:t xml:space="preserve">가 아니라</w:t>
      </w:r>
      <w:r>
        <w:t xml:space="preserve"> </w:t>
      </w:r>
      <w:r>
        <w:rPr>
          <w:i/>
          <w:iCs/>
        </w:rPr>
        <w:t xml:space="preserve">출처</w:t>
      </w:r>
      <w:r>
        <w:t xml:space="preserve">를 검사하는 게이트를 그 대응으로 세웠다. 결과를 담는 모든 산출물은</w:t>
      </w:r>
      <w:r>
        <w:t xml:space="preserve"> </w:t>
      </w:r>
      <w:r>
        <w:t xml:space="preserve">자신이 어디서 왔는지를 필드로 밝히고, 실행을 주장하는 영수증은 그 실행이 불변 노드 안에서 일어났음을</w:t>
      </w:r>
      <w:r>
        <w:t xml:space="preserve"> </w:t>
      </w:r>
      <w:r>
        <w:t xml:space="preserve">증명해야 한다.</w:t>
      </w:r>
    </w:p>
    <w:bookmarkEnd w:id="95"/>
    <w:bookmarkStart w:id="96" w:name="남은-과제"/>
    <w:p>
      <w:pPr>
        <w:pStyle w:val="Heading2"/>
      </w:pPr>
      <w:r>
        <w:t xml:space="preserve">4. 남은 과제</w:t>
      </w:r>
    </w:p>
    <w:p>
      <w:pPr>
        <w:pStyle w:val="FirstParagraph"/>
      </w:pPr>
      <w:r>
        <w:t xml:space="preserve">Study B의 실행은 승인된 예산 범위 안에서 이루어지며, 이 논문이 보고하는 시점에는</w:t>
      </w:r>
      <w:r>
        <w:t xml:space="preserve"> </w:t>
      </w:r>
      <w:r>
        <w:rPr>
          <w:b/>
          <w:bCs/>
        </w:rPr>
        <w:t xml:space="preserve">사전등록만 완료된</w:t>
      </w:r>
      <w:r>
        <w:rPr>
          <w:b/>
          <w:bCs/>
        </w:rPr>
        <w:t xml:space="preserve"> </w:t>
      </w:r>
      <w:r>
        <w:rPr>
          <w:b/>
          <w:bCs/>
        </w:rPr>
        <w:t xml:space="preserve">상태</w:t>
      </w:r>
      <w:r>
        <w:t xml:space="preserve">다. 절제 아암은 1차 스크리닝 이후로 미룬다. 교정 축에서는 독립된 사람 주석을 확보해 판정 채점의</w:t>
      </w:r>
      <w:r>
        <w:t xml:space="preserve"> </w:t>
      </w:r>
      <w:r>
        <w:t xml:space="preserve">오류 상한을 공식 인증하는 일이 남는다. 두 과제 모두 위의 원칙 아래에서 수행된다.</w:t>
      </w:r>
    </w:p>
    <w:bookmarkEnd w:id="96"/>
    <w:bookmarkEnd w:id="97"/>
    <w:bookmarkStart w:id="258" w:name="참-고-문-헌-references"/>
    <w:p>
      <w:pPr>
        <w:pStyle w:val="Heading1"/>
      </w:pPr>
      <w:r>
        <w:t xml:space="preserve">참 고 문 헌 (References)</w:t>
      </w:r>
    </w:p>
    <w:bookmarkStart w:id="257" w:name="refs"/>
    <w:bookmarkStart w:id="99"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8">
        <w:r>
          <w:rPr>
            <w:rStyle w:val="Hyperlink"/>
          </w:rPr>
          <w:t xml:space="preserve">https://arxiv.org/abs/2210.03629v3</w:t>
        </w:r>
      </w:hyperlink>
    </w:p>
    <w:bookmarkEnd w:id="99"/>
    <w:bookmarkStart w:id="101"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100">
        <w:r>
          <w:rPr>
            <w:rStyle w:val="Hyperlink"/>
          </w:rPr>
          <w:t xml:space="preserve">https://arxiv.org/abs/2310.08560v2</w:t>
        </w:r>
      </w:hyperlink>
    </w:p>
    <w:bookmarkEnd w:id="101"/>
    <w:bookmarkStart w:id="103"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102">
        <w:r>
          <w:rPr>
            <w:rStyle w:val="Hyperlink"/>
          </w:rPr>
          <w:t xml:space="preserve">https://arxiv.org/abs/2512.24601v3</w:t>
        </w:r>
      </w:hyperlink>
    </w:p>
    <w:bookmarkEnd w:id="103"/>
    <w:bookmarkStart w:id="105"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104">
        <w:r>
          <w:rPr>
            <w:rStyle w:val="Hyperlink"/>
          </w:rPr>
          <w:t xml:space="preserve">https://arxiv.org/abs/2308.08155v2</w:t>
        </w:r>
      </w:hyperlink>
    </w:p>
    <w:bookmarkEnd w:id="105"/>
    <w:bookmarkStart w:id="107"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106">
        <w:r>
          <w:rPr>
            <w:rStyle w:val="Hyperlink"/>
          </w:rPr>
          <w:t xml:space="preserve">https://arxiv.org/abs/2502.00561v2</w:t>
        </w:r>
      </w:hyperlink>
    </w:p>
    <w:bookmarkEnd w:id="107"/>
    <w:bookmarkStart w:id="109"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2026년. Available at:</w:t>
      </w:r>
      <w:r>
        <w:t xml:space="preserve"> </w:t>
      </w:r>
      <w:hyperlink r:id="rId108">
        <w:r>
          <w:rPr>
            <w:rStyle w:val="Hyperlink"/>
          </w:rPr>
          <w:t xml:space="preserve">https://arxiv.org/abs/2607.12790v2</w:t>
        </w:r>
      </w:hyperlink>
    </w:p>
    <w:bookmarkEnd w:id="109"/>
    <w:bookmarkStart w:id="111"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2026년. Available at:</w:t>
      </w:r>
      <w:r>
        <w:t xml:space="preserve"> </w:t>
      </w:r>
      <w:hyperlink r:id="rId110">
        <w:r>
          <w:rPr>
            <w:rStyle w:val="Hyperlink"/>
          </w:rPr>
          <w:t xml:space="preserve">https://arxiv.org/abs/2607.24300v1</w:t>
        </w:r>
      </w:hyperlink>
    </w:p>
    <w:bookmarkEnd w:id="111"/>
    <w:bookmarkStart w:id="113"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2026년. Available at:</w:t>
      </w:r>
      <w:r>
        <w:t xml:space="preserve"> </w:t>
      </w:r>
      <w:hyperlink r:id="rId112">
        <w:r>
          <w:rPr>
            <w:rStyle w:val="Hyperlink"/>
          </w:rPr>
          <w:t xml:space="preserve">https://arxiv.org/abs/2609.00069v1</w:t>
        </w:r>
      </w:hyperlink>
    </w:p>
    <w:bookmarkEnd w:id="113"/>
    <w:bookmarkStart w:id="115"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2026년. Available at:</w:t>
      </w:r>
      <w:r>
        <w:t xml:space="preserve"> </w:t>
      </w:r>
      <w:hyperlink r:id="rId114">
        <w:r>
          <w:rPr>
            <w:rStyle w:val="Hyperlink"/>
          </w:rPr>
          <w:t xml:space="preserve">https://arxiv.org/abs/2608.10858v1</w:t>
        </w:r>
      </w:hyperlink>
    </w:p>
    <w:bookmarkEnd w:id="115"/>
    <w:bookmarkStart w:id="117"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16">
        <w:r>
          <w:rPr>
            <w:rStyle w:val="Hyperlink"/>
          </w:rPr>
          <w:t xml:space="preserve">https://arxiv.org/abs/2303.11366v4</w:t>
        </w:r>
      </w:hyperlink>
    </w:p>
    <w:bookmarkEnd w:id="117"/>
    <w:bookmarkStart w:id="119"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8">
        <w:r>
          <w:rPr>
            <w:rStyle w:val="Hyperlink"/>
          </w:rPr>
          <w:t xml:space="preserve">https://arxiv.org/abs/2005.11401v4</w:t>
        </w:r>
      </w:hyperlink>
    </w:p>
    <w:bookmarkEnd w:id="119"/>
    <w:bookmarkStart w:id="121"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2026년. Available at:</w:t>
      </w:r>
      <w:r>
        <w:t xml:space="preserve"> </w:t>
      </w:r>
      <w:hyperlink r:id="rId120">
        <w:r>
          <w:rPr>
            <w:rStyle w:val="Hyperlink"/>
          </w:rPr>
          <w:t xml:space="preserve">https://arxiv.org/abs/2605.18747v1</w:t>
        </w:r>
      </w:hyperlink>
    </w:p>
    <w:bookmarkEnd w:id="121"/>
    <w:bookmarkStart w:id="123"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2026년. Available at:</w:t>
      </w:r>
      <w:r>
        <w:t xml:space="preserve"> </w:t>
      </w:r>
      <w:hyperlink r:id="rId122">
        <w:r>
          <w:rPr>
            <w:rStyle w:val="Hyperlink"/>
          </w:rPr>
          <w:t xml:space="preserve">https://arxiv.org/abs/2604.14228v2</w:t>
        </w:r>
      </w:hyperlink>
    </w:p>
    <w:bookmarkEnd w:id="123"/>
    <w:bookmarkStart w:id="125"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2026년. Available at:</w:t>
      </w:r>
      <w:r>
        <w:t xml:space="preserve"> </w:t>
      </w:r>
      <w:hyperlink r:id="rId124">
        <w:r>
          <w:rPr>
            <w:rStyle w:val="Hyperlink"/>
          </w:rPr>
          <w:t xml:space="preserve">https://arxiv.org/abs/2608.01964v1</w:t>
        </w:r>
      </w:hyperlink>
    </w:p>
    <w:bookmarkEnd w:id="125"/>
    <w:bookmarkStart w:id="127"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2026년. Available at:</w:t>
      </w:r>
      <w:r>
        <w:t xml:space="preserve"> </w:t>
      </w:r>
      <w:hyperlink r:id="rId126">
        <w:r>
          <w:rPr>
            <w:rStyle w:val="Hyperlink"/>
          </w:rPr>
          <w:t xml:space="preserve">https://arxiv.org/abs/2608.00267v2</w:t>
        </w:r>
      </w:hyperlink>
    </w:p>
    <w:bookmarkEnd w:id="127"/>
    <w:bookmarkStart w:id="129"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2026년. Available at:</w:t>
      </w:r>
      <w:r>
        <w:t xml:space="preserve"> </w:t>
      </w:r>
      <w:hyperlink r:id="rId128">
        <w:r>
          <w:rPr>
            <w:rStyle w:val="Hyperlink"/>
          </w:rPr>
          <w:t xml:space="preserve">https://arxiv.org/abs/2608.21690v1</w:t>
        </w:r>
      </w:hyperlink>
    </w:p>
    <w:bookmarkEnd w:id="129"/>
    <w:bookmarkStart w:id="131"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2026년. Available at:</w:t>
      </w:r>
      <w:r>
        <w:t xml:space="preserve"> </w:t>
      </w:r>
      <w:hyperlink r:id="rId130">
        <w:r>
          <w:rPr>
            <w:rStyle w:val="Hyperlink"/>
          </w:rPr>
          <w:t xml:space="preserve">https://arxiv.org/abs/2606.19135v1</w:t>
        </w:r>
      </w:hyperlink>
    </w:p>
    <w:bookmarkEnd w:id="131"/>
    <w:bookmarkStart w:id="133"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2026년. Available at:</w:t>
      </w:r>
      <w:r>
        <w:t xml:space="preserve"> </w:t>
      </w:r>
      <w:hyperlink r:id="rId132">
        <w:r>
          <w:rPr>
            <w:rStyle w:val="Hyperlink"/>
          </w:rPr>
          <w:t xml:space="preserve">https://arxiv.org/abs/2606.09751v2</w:t>
        </w:r>
      </w:hyperlink>
    </w:p>
    <w:bookmarkEnd w:id="133"/>
    <w:bookmarkStart w:id="135"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2026년. Available at:</w:t>
      </w:r>
      <w:r>
        <w:t xml:space="preserve"> </w:t>
      </w:r>
      <w:hyperlink r:id="rId134">
        <w:r>
          <w:rPr>
            <w:rStyle w:val="Hyperlink"/>
          </w:rPr>
          <w:t xml:space="preserve">https://arxiv.org/abs/2606.01240v1</w:t>
        </w:r>
      </w:hyperlink>
    </w:p>
    <w:bookmarkEnd w:id="135"/>
    <w:bookmarkStart w:id="137"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2026년. Available at:</w:t>
      </w:r>
      <w:r>
        <w:t xml:space="preserve"> </w:t>
      </w:r>
      <w:hyperlink r:id="rId136">
        <w:r>
          <w:rPr>
            <w:rStyle w:val="Hyperlink"/>
          </w:rPr>
          <w:t xml:space="preserve">https://arxiv.org/abs/2608.03860v1</w:t>
        </w:r>
      </w:hyperlink>
    </w:p>
    <w:bookmarkEnd w:id="137"/>
    <w:bookmarkStart w:id="139"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2026년. Available at:</w:t>
      </w:r>
      <w:r>
        <w:t xml:space="preserve"> </w:t>
      </w:r>
      <w:hyperlink r:id="rId138">
        <w:r>
          <w:rPr>
            <w:rStyle w:val="Hyperlink"/>
          </w:rPr>
          <w:t xml:space="preserve">https://arxiv.org/abs/2606.05658v1</w:t>
        </w:r>
      </w:hyperlink>
    </w:p>
    <w:bookmarkEnd w:id="139"/>
    <w:bookmarkStart w:id="141"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2026년. Available at:</w:t>
      </w:r>
      <w:r>
        <w:t xml:space="preserve"> </w:t>
      </w:r>
      <w:hyperlink r:id="rId140">
        <w:r>
          <w:rPr>
            <w:rStyle w:val="Hyperlink"/>
          </w:rPr>
          <w:t xml:space="preserve">https://arxiv.org/abs/2608.06867v1</w:t>
        </w:r>
      </w:hyperlink>
    </w:p>
    <w:bookmarkEnd w:id="141"/>
    <w:bookmarkStart w:id="143"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2026년. Available at:</w:t>
      </w:r>
      <w:r>
        <w:t xml:space="preserve"> </w:t>
      </w:r>
      <w:hyperlink r:id="rId142">
        <w:r>
          <w:rPr>
            <w:rStyle w:val="Hyperlink"/>
          </w:rPr>
          <w:t xml:space="preserve">https://arxiv.org/abs/2607.08665v1</w:t>
        </w:r>
      </w:hyperlink>
    </w:p>
    <w:bookmarkEnd w:id="143"/>
    <w:bookmarkStart w:id="145"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2026년. Available at:</w:t>
      </w:r>
      <w:r>
        <w:t xml:space="preserve"> </w:t>
      </w:r>
      <w:hyperlink r:id="rId144">
        <w:r>
          <w:rPr>
            <w:rStyle w:val="Hyperlink"/>
          </w:rPr>
          <w:t xml:space="preserve">https://arxiv.org/abs/2608.00685v1</w:t>
        </w:r>
      </w:hyperlink>
    </w:p>
    <w:bookmarkEnd w:id="145"/>
    <w:bookmarkStart w:id="147"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2026년. Available at:</w:t>
      </w:r>
      <w:r>
        <w:t xml:space="preserve"> </w:t>
      </w:r>
      <w:hyperlink r:id="rId146">
        <w:r>
          <w:rPr>
            <w:rStyle w:val="Hyperlink"/>
          </w:rPr>
          <w:t xml:space="preserve">https://arxiv.org/abs/2607.09600v2</w:t>
        </w:r>
      </w:hyperlink>
    </w:p>
    <w:bookmarkEnd w:id="147"/>
    <w:bookmarkStart w:id="149"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8">
        <w:r>
          <w:rPr>
            <w:rStyle w:val="Hyperlink"/>
          </w:rPr>
          <w:t xml:space="preserve">https://arxiv.org/abs/2408.06292v3</w:t>
        </w:r>
      </w:hyperlink>
    </w:p>
    <w:bookmarkEnd w:id="149"/>
    <w:bookmarkStart w:id="151"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50">
        <w:r>
          <w:rPr>
            <w:rStyle w:val="Hyperlink"/>
          </w:rPr>
          <w:t xml:space="preserve">https://arxiv.org/abs/2502.18864v2</w:t>
        </w:r>
      </w:hyperlink>
    </w:p>
    <w:bookmarkEnd w:id="151"/>
    <w:bookmarkStart w:id="153"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52">
        <w:r>
          <w:rPr>
            <w:rStyle w:val="Hyperlink"/>
          </w:rPr>
          <w:t xml:space="preserve">https://arxiv.org/abs/2409.05556v1</w:t>
        </w:r>
      </w:hyperlink>
    </w:p>
    <w:bookmarkEnd w:id="153"/>
    <w:bookmarkStart w:id="155"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2026년. Available at:</w:t>
      </w:r>
      <w:r>
        <w:t xml:space="preserve"> </w:t>
      </w:r>
      <w:hyperlink r:id="rId154">
        <w:r>
          <w:rPr>
            <w:rStyle w:val="Hyperlink"/>
          </w:rPr>
          <w:t xml:space="preserve">https://arxiv.org/abs/2608.04738v2</w:t>
        </w:r>
      </w:hyperlink>
    </w:p>
    <w:bookmarkEnd w:id="155"/>
    <w:bookmarkStart w:id="157"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2026년. Available at:</w:t>
      </w:r>
      <w:r>
        <w:t xml:space="preserve"> </w:t>
      </w:r>
      <w:hyperlink r:id="rId156">
        <w:r>
          <w:rPr>
            <w:rStyle w:val="Hyperlink"/>
          </w:rPr>
          <w:t xml:space="preserve">https://arxiv.org/abs/2607.12301v1</w:t>
        </w:r>
      </w:hyperlink>
    </w:p>
    <w:bookmarkEnd w:id="157"/>
    <w:bookmarkStart w:id="159"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2026년. Available at:</w:t>
      </w:r>
      <w:r>
        <w:t xml:space="preserve"> </w:t>
      </w:r>
      <w:hyperlink r:id="rId158">
        <w:r>
          <w:rPr>
            <w:rStyle w:val="Hyperlink"/>
          </w:rPr>
          <w:t xml:space="preserve">https://arxiv.org/abs/2605.26340v1</w:t>
        </w:r>
      </w:hyperlink>
    </w:p>
    <w:bookmarkEnd w:id="159"/>
    <w:bookmarkStart w:id="161"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2026년. Available at:</w:t>
      </w:r>
      <w:r>
        <w:t xml:space="preserve"> </w:t>
      </w:r>
      <w:hyperlink r:id="rId160">
        <w:r>
          <w:rPr>
            <w:rStyle w:val="Hyperlink"/>
          </w:rPr>
          <w:t xml:space="preserve">https://arxiv.org/abs/2608.03501v1</w:t>
        </w:r>
      </w:hyperlink>
    </w:p>
    <w:bookmarkEnd w:id="161"/>
    <w:bookmarkStart w:id="163"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2026년. Available at:</w:t>
      </w:r>
      <w:r>
        <w:t xml:space="preserve"> </w:t>
      </w:r>
      <w:hyperlink r:id="rId162">
        <w:r>
          <w:rPr>
            <w:rStyle w:val="Hyperlink"/>
          </w:rPr>
          <w:t xml:space="preserve">https://arxiv.org/abs/2608.01913v1</w:t>
        </w:r>
      </w:hyperlink>
    </w:p>
    <w:bookmarkEnd w:id="163"/>
    <w:bookmarkStart w:id="165"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2026년. Available at:</w:t>
      </w:r>
      <w:r>
        <w:t xml:space="preserve"> </w:t>
      </w:r>
      <w:hyperlink r:id="rId164">
        <w:r>
          <w:rPr>
            <w:rStyle w:val="Hyperlink"/>
          </w:rPr>
          <w:t xml:space="preserve">https://arxiv.org/abs/2606.07591v5</w:t>
        </w:r>
      </w:hyperlink>
    </w:p>
    <w:bookmarkEnd w:id="165"/>
    <w:bookmarkStart w:id="167"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2026년. Available at:</w:t>
      </w:r>
      <w:r>
        <w:t xml:space="preserve"> </w:t>
      </w:r>
      <w:hyperlink r:id="rId166">
        <w:r>
          <w:rPr>
            <w:rStyle w:val="Hyperlink"/>
          </w:rPr>
          <w:t xml:space="preserve">https://arxiv.org/abs/2606.11926v1</w:t>
        </w:r>
      </w:hyperlink>
    </w:p>
    <w:bookmarkEnd w:id="167"/>
    <w:bookmarkStart w:id="169"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2026년. Available at:</w:t>
      </w:r>
      <w:r>
        <w:t xml:space="preserve"> </w:t>
      </w:r>
      <w:hyperlink r:id="rId168">
        <w:r>
          <w:rPr>
            <w:rStyle w:val="Hyperlink"/>
          </w:rPr>
          <w:t xml:space="preserve">https://arxiv.org/abs/2607.09195v1</w:t>
        </w:r>
      </w:hyperlink>
    </w:p>
    <w:bookmarkEnd w:id="169"/>
    <w:bookmarkStart w:id="171"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2026년. Available at:</w:t>
      </w:r>
      <w:r>
        <w:t xml:space="preserve"> </w:t>
      </w:r>
      <w:hyperlink r:id="rId170">
        <w:r>
          <w:rPr>
            <w:rStyle w:val="Hyperlink"/>
          </w:rPr>
          <w:t xml:space="preserve">https://arxiv.org/abs/2605.09998v1</w:t>
        </w:r>
      </w:hyperlink>
    </w:p>
    <w:bookmarkEnd w:id="171"/>
    <w:bookmarkStart w:id="173"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2026년. Available at:</w:t>
      </w:r>
      <w:r>
        <w:t xml:space="preserve"> </w:t>
      </w:r>
      <w:hyperlink r:id="rId172">
        <w:r>
          <w:rPr>
            <w:rStyle w:val="Hyperlink"/>
          </w:rPr>
          <w:t xml:space="preserve">https://arxiv.org/abs/2606.28374v1</w:t>
        </w:r>
      </w:hyperlink>
    </w:p>
    <w:bookmarkEnd w:id="173"/>
    <w:bookmarkStart w:id="175"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2026년. Available at:</w:t>
      </w:r>
      <w:r>
        <w:t xml:space="preserve"> </w:t>
      </w:r>
      <w:hyperlink r:id="rId174">
        <w:r>
          <w:rPr>
            <w:rStyle w:val="Hyperlink"/>
          </w:rPr>
          <w:t xml:space="preserve">https://arxiv.org/abs/2606.10241v1</w:t>
        </w:r>
      </w:hyperlink>
    </w:p>
    <w:bookmarkEnd w:id="175"/>
    <w:bookmarkStart w:id="177"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2026년. Available at:</w:t>
      </w:r>
      <w:r>
        <w:t xml:space="preserve"> </w:t>
      </w:r>
      <w:hyperlink r:id="rId176">
        <w:r>
          <w:rPr>
            <w:rStyle w:val="Hyperlink"/>
          </w:rPr>
          <w:t xml:space="preserve">https://arxiv.org/abs/2604.15034v5</w:t>
        </w:r>
      </w:hyperlink>
    </w:p>
    <w:bookmarkEnd w:id="177"/>
    <w:bookmarkStart w:id="179"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2026년. Available at:</w:t>
      </w:r>
      <w:r>
        <w:t xml:space="preserve"> </w:t>
      </w:r>
      <w:hyperlink r:id="rId178">
        <w:r>
          <w:rPr>
            <w:rStyle w:val="Hyperlink"/>
          </w:rPr>
          <w:t xml:space="preserve">https://arxiv.org/abs/2608.09096v2</w:t>
        </w:r>
      </w:hyperlink>
    </w:p>
    <w:bookmarkEnd w:id="179"/>
    <w:bookmarkStart w:id="181"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2026년. Available at:</w:t>
      </w:r>
      <w:r>
        <w:t xml:space="preserve"> </w:t>
      </w:r>
      <w:hyperlink r:id="rId180">
        <w:r>
          <w:rPr>
            <w:rStyle w:val="Hyperlink"/>
          </w:rPr>
          <w:t xml:space="preserve">https://arxiv.org/abs/2608.06301v1</w:t>
        </w:r>
      </w:hyperlink>
    </w:p>
    <w:bookmarkEnd w:id="181"/>
    <w:bookmarkStart w:id="183"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2026년. Available at:</w:t>
      </w:r>
      <w:r>
        <w:t xml:space="preserve"> </w:t>
      </w:r>
      <w:hyperlink r:id="rId182">
        <w:r>
          <w:rPr>
            <w:rStyle w:val="Hyperlink"/>
          </w:rPr>
          <w:t xml:space="preserve">https://arxiv.org/abs/2607.12227v2</w:t>
        </w:r>
      </w:hyperlink>
    </w:p>
    <w:bookmarkEnd w:id="183"/>
    <w:bookmarkStart w:id="184" w:name="ref-minimalharness2026"/>
    <w:p>
      <w:pPr>
        <w:pStyle w:val="Bibliography"/>
      </w:pPr>
      <w:r>
        <w:t xml:space="preserve">[44]</w:t>
      </w:r>
      <w:r>
        <w:t xml:space="preserve"> </w:t>
      </w:r>
      <w:r>
        <w:t xml:space="preserve">	</w:t>
      </w:r>
      <w:r>
        <w:t xml:space="preserve">P. Project,</w:t>
      </w:r>
      <w:r>
        <w:t xml:space="preserve"> </w:t>
      </w:r>
      <w:r>
        <w:t xml:space="preserve">“A Minimal Agent Harness with Primitive Tools and Compact Context”</w:t>
      </w:r>
      <w:r>
        <w:t xml:space="preserve">. Technical Documentation and Evaluation, 2026, 2026년.</w:t>
      </w:r>
    </w:p>
    <w:bookmarkEnd w:id="184"/>
    <w:bookmarkStart w:id="186" w:name="ref-primeagent2026"/>
    <w:p>
      <w:pPr>
        <w:pStyle w:val="Bibliography"/>
      </w:pPr>
      <w:r>
        <w:t xml:space="preserve">[45]</w:t>
      </w:r>
      <w:r>
        <w:t xml:space="preserve"> </w:t>
      </w:r>
      <w:r>
        <w:t xml:space="preserve">	</w:t>
      </w:r>
      <w:r>
        <w:t xml:space="preserve">S. Karten</w:t>
      </w:r>
      <w:r>
        <w:t xml:space="preserve"> </w:t>
      </w:r>
      <w:r>
        <w:rPr>
          <w:i/>
          <w:iCs/>
        </w:rPr>
        <w:t xml:space="preserve">기타</w:t>
      </w:r>
      <w:r>
        <w:t xml:space="preserve">,</w:t>
      </w:r>
      <w:r>
        <w:t xml:space="preserve"> </w:t>
      </w:r>
      <w:r>
        <w:t xml:space="preserve">“Prime Agent: A Self-Improving RLM Harness”</w:t>
      </w:r>
      <w:r>
        <w:t xml:space="preserve">. arXiv:2608.23552v1, 2026, 2026년. Available at:</w:t>
      </w:r>
      <w:r>
        <w:t xml:space="preserve"> </w:t>
      </w:r>
      <w:hyperlink r:id="rId185">
        <w:r>
          <w:rPr>
            <w:rStyle w:val="Hyperlink"/>
          </w:rPr>
          <w:t xml:space="preserve">https://arxiv.org/abs/2608.23552</w:t>
        </w:r>
      </w:hyperlink>
    </w:p>
    <w:bookmarkEnd w:id="186"/>
    <w:bookmarkStart w:id="188"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2026년. Available at:</w:t>
      </w:r>
      <w:r>
        <w:t xml:space="preserve"> </w:t>
      </w:r>
      <w:hyperlink r:id="rId187">
        <w:r>
          <w:rPr>
            <w:rStyle w:val="Hyperlink"/>
          </w:rPr>
          <w:t xml:space="preserve">https://arxiv.org/abs/2608.25336v1</w:t>
        </w:r>
      </w:hyperlink>
    </w:p>
    <w:bookmarkEnd w:id="188"/>
    <w:bookmarkStart w:id="190"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2026년. Available at:</w:t>
      </w:r>
      <w:r>
        <w:t xml:space="preserve"> </w:t>
      </w:r>
      <w:hyperlink r:id="rId189">
        <w:r>
          <w:rPr>
            <w:rStyle w:val="Hyperlink"/>
          </w:rPr>
          <w:t xml:space="preserve">https://arxiv.org/abs/2608.18312v1</w:t>
        </w:r>
      </w:hyperlink>
    </w:p>
    <w:bookmarkEnd w:id="190"/>
    <w:bookmarkStart w:id="191" w:name="ref-controlprimitives2026"/>
    <w:p>
      <w:pPr>
        <w:pStyle w:val="Bibliography"/>
      </w:pPr>
      <w:r>
        <w:t xml:space="preserve">[48]</w:t>
      </w:r>
      <w:r>
        <w:t xml:space="preserve"> </w:t>
      </w:r>
      <w:r>
        <w:t xml:space="preserve">	</w:t>
      </w:r>
      <w:r>
        <w:t xml:space="preserve">S. K. et al</w:t>
      </w:r>
      <w:r>
        <w:t xml:space="preserve">,</w:t>
      </w:r>
      <w:r>
        <w:t xml:space="preserve"> </w:t>
      </w:r>
      <w:r>
        <w:t xml:space="preserve">“Stop Means Stop: Measuring and Repairing the Enforcement Gap in Agent Control Primitives”</w:t>
      </w:r>
      <w:r>
        <w:t xml:space="preserve">. arXiv:2607.14166v3, 2026, 2026년.</w:t>
      </w:r>
    </w:p>
    <w:bookmarkEnd w:id="191"/>
    <w:bookmarkStart w:id="192" w:name="ref-perrequestlimit2026"/>
    <w:p>
      <w:pPr>
        <w:pStyle w:val="Bibliography"/>
      </w:pPr>
      <w:r>
        <w:t xml:space="preserve">[49]</w:t>
      </w:r>
      <w:r>
        <w:t xml:space="preserve"> </w:t>
      </w:r>
      <w:r>
        <w:t xml:space="preserve">	</w:t>
      </w:r>
      <w:r>
        <w:t xml:space="preserve">M. F. et al</w:t>
      </w:r>
      <w:r>
        <w:t xml:space="preserve">,</w:t>
      </w:r>
      <w:r>
        <w:t xml:space="preserve"> </w:t>
      </w:r>
      <w:r>
        <w:t xml:space="preserve">“Agent Control Protocol: Admission Control for Agent Actions”</w:t>
      </w:r>
      <w:r>
        <w:t xml:space="preserve">. arXiv:2603.18829v10, 2026, 2026년.</w:t>
      </w:r>
    </w:p>
    <w:bookmarkEnd w:id="192"/>
    <w:bookmarkStart w:id="193" w:name="ref-openendedgroundtruth2026"/>
    <w:p>
      <w:pPr>
        <w:pStyle w:val="Bibliography"/>
      </w:pPr>
      <w:r>
        <w:t xml:space="preserve">[50]</w:t>
      </w:r>
      <w:r>
        <w:t xml:space="preserve"> </w:t>
      </w:r>
      <w:r>
        <w:t xml:space="preserve">	</w:t>
      </w:r>
      <w:r>
        <w:t xml:space="preserve">J. H. et al</w:t>
      </w:r>
      <w:r>
        <w:t xml:space="preserve">,</w:t>
      </w:r>
      <w:r>
        <w:t xml:space="preserve"> </w:t>
      </w:r>
      <w:r>
        <w:t xml:space="preserve">“From Final Artifacts to Trajectories: Retrospective Process Supervision”</w:t>
      </w:r>
      <w:r>
        <w:t xml:space="preserve">. arXiv:2608.30461v1, 2026, 2026년.</w:t>
      </w:r>
    </w:p>
    <w:bookmarkEnd w:id="193"/>
    <w:bookmarkStart w:id="194" w:name="ref-harnesslabels2026"/>
    <w:p>
      <w:pPr>
        <w:pStyle w:val="Bibliography"/>
      </w:pPr>
      <w:r>
        <w:t xml:space="preserve">[51]</w:t>
      </w:r>
      <w:r>
        <w:t xml:space="preserve"> </w:t>
      </w:r>
      <w:r>
        <w:t xml:space="preserve">	</w:t>
      </w:r>
      <w:r>
        <w:t xml:space="preserve">W. P. et al</w:t>
      </w:r>
      <w:r>
        <w:t xml:space="preserve">,</w:t>
      </w:r>
      <w:r>
        <w:t xml:space="preserve"> </w:t>
      </w:r>
      <w:r>
        <w:t xml:space="preserve">“Evolving Agents in the Dark: Retrospective Harness Optimization”</w:t>
      </w:r>
      <w:r>
        <w:t xml:space="preserve">. arXiv:2606.05922v3, 2026, 2026년.</w:t>
      </w:r>
    </w:p>
    <w:bookmarkEnd w:id="194"/>
    <w:bookmarkStart w:id="196" w:name="ref-harnessoptbench2026"/>
    <w:p>
      <w:pPr>
        <w:pStyle w:val="Bibliography"/>
      </w:pPr>
      <w:r>
        <w:t xml:space="preserve">[52]</w:t>
      </w:r>
      <w:r>
        <w:t xml:space="preserve"> </w:t>
      </w:r>
      <w:r>
        <w:t xml:space="preserve">	</w:t>
      </w:r>
      <w:r>
        <w:t xml:space="preserve">V. Ursekar</w:t>
      </w:r>
      <w:r>
        <w:t xml:space="preserve"> </w:t>
      </w:r>
      <w:r>
        <w:rPr>
          <w:i/>
          <w:iCs/>
        </w:rPr>
        <w:t xml:space="preserve">기타</w:t>
      </w:r>
      <w:r>
        <w:t xml:space="preserve">,</w:t>
      </w:r>
      <w:r>
        <w:t xml:space="preserve"> </w:t>
      </w:r>
      <w:r>
        <w:t xml:space="preserve">“HarnessOpt-Bench: Benchmarking Harness Optimization for LLM Agents”</w:t>
      </w:r>
      <w:r>
        <w:t xml:space="preserve">,</w:t>
      </w:r>
      <w:r>
        <w:t xml:space="preserve"> </w:t>
      </w:r>
      <w:r>
        <w:rPr>
          <w:i/>
          <w:iCs/>
        </w:rPr>
        <w:t xml:space="preserve">arXiv preprint arXiv:2608.06301</w:t>
      </w:r>
      <w:r>
        <w:t xml:space="preserve">, 2026, Available at:</w:t>
      </w:r>
      <w:r>
        <w:t xml:space="preserve"> </w:t>
      </w:r>
      <w:hyperlink r:id="rId195">
        <w:r>
          <w:rPr>
            <w:rStyle w:val="Hyperlink"/>
          </w:rPr>
          <w:t xml:space="preserve">https://arxiv.org/abs/2608.06301</w:t>
        </w:r>
      </w:hyperlink>
    </w:p>
    <w:bookmarkEnd w:id="196"/>
    <w:bookmarkStart w:id="198" w:name="ref-darwinx2026"/>
    <w:p>
      <w:pPr>
        <w:pStyle w:val="Bibliography"/>
      </w:pPr>
      <w:r>
        <w:t xml:space="preserve">[53]</w:t>
      </w:r>
      <w:r>
        <w:t xml:space="preserve"> </w:t>
      </w:r>
      <w:r>
        <w:t xml:space="preserve">	</w:t>
      </w:r>
      <w:r>
        <w:t xml:space="preserve">Y. Zhang</w:t>
      </w:r>
      <w:r>
        <w:t xml:space="preserve"> </w:t>
      </w:r>
      <w:r>
        <w:rPr>
          <w:i/>
          <w:iCs/>
        </w:rPr>
        <w:t xml:space="preserve">기타</w:t>
      </w:r>
      <w:r>
        <w:t xml:space="preserve">,</w:t>
      </w:r>
      <w:r>
        <w:t xml:space="preserve"> </w:t>
      </w:r>
      <w:r>
        <w:t xml:space="preserve">“DarwinX: Evolving Agent Harnesses Through Natural Selection”</w:t>
      </w:r>
      <w:r>
        <w:t xml:space="preserve">,</w:t>
      </w:r>
      <w:r>
        <w:t xml:space="preserve"> </w:t>
      </w:r>
      <w:r>
        <w:rPr>
          <w:i/>
          <w:iCs/>
        </w:rPr>
        <w:t xml:space="preserve">arXiv preprint arXiv:2608.07545</w:t>
      </w:r>
      <w:r>
        <w:t xml:space="preserve">, 2026, Available at:</w:t>
      </w:r>
      <w:r>
        <w:t xml:space="preserve"> </w:t>
      </w:r>
      <w:hyperlink r:id="rId197">
        <w:r>
          <w:rPr>
            <w:rStyle w:val="Hyperlink"/>
          </w:rPr>
          <w:t xml:space="preserve">https://arxiv.org/abs/2608.07545</w:t>
        </w:r>
      </w:hyperlink>
    </w:p>
    <w:bookmarkEnd w:id="198"/>
    <w:bookmarkStart w:id="200" w:name="ref-graphengineering2026"/>
    <w:p>
      <w:pPr>
        <w:pStyle w:val="Bibliography"/>
      </w:pPr>
      <w:r>
        <w:t xml:space="preserve">[54]</w:t>
      </w:r>
      <w:r>
        <w:t xml:space="preserve"> </w:t>
      </w:r>
      <w:r>
        <w:t xml:space="preserve">	</w:t>
      </w:r>
      <w:r>
        <w:t xml:space="preserve">Y. Feng</w:t>
      </w:r>
      <w:r>
        <w:t xml:space="preserve"> </w:t>
      </w:r>
      <w:r>
        <w:rPr>
          <w:i/>
          <w:iCs/>
        </w:rPr>
        <w:t xml:space="preserve">기타</w:t>
      </w:r>
      <w:r>
        <w:t xml:space="preserve">,</w:t>
      </w:r>
      <w:r>
        <w:t xml:space="preserve"> </w:t>
      </w:r>
      <w:r>
        <w:t xml:space="preserve">“Graph Engineering in the Era of LLM Agents: From Individual Intelligence to System Intelligence”</w:t>
      </w:r>
      <w:r>
        <w:t xml:space="preserve">,</w:t>
      </w:r>
      <w:r>
        <w:t xml:space="preserve"> </w:t>
      </w:r>
      <w:r>
        <w:rPr>
          <w:i/>
          <w:iCs/>
        </w:rPr>
        <w:t xml:space="preserve">arXiv preprint arXiv:2608.21156</w:t>
      </w:r>
      <w:r>
        <w:t xml:space="preserve">, 2026, Available at:</w:t>
      </w:r>
      <w:r>
        <w:t xml:space="preserve"> </w:t>
      </w:r>
      <w:hyperlink r:id="rId199">
        <w:r>
          <w:rPr>
            <w:rStyle w:val="Hyperlink"/>
          </w:rPr>
          <w:t xml:space="preserve">https://arxiv.org/abs/2608.21156</w:t>
        </w:r>
      </w:hyperlink>
    </w:p>
    <w:bookmarkEnd w:id="200"/>
    <w:bookmarkStart w:id="202" w:name="ref-checklistcredit2026"/>
    <w:p>
      <w:pPr>
        <w:pStyle w:val="Bibliography"/>
      </w:pPr>
      <w:r>
        <w:t xml:space="preserve">[55]</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2026년. Available at:</w:t>
      </w:r>
      <w:r>
        <w:t xml:space="preserve"> </w:t>
      </w:r>
      <w:hyperlink r:id="rId201">
        <w:r>
          <w:rPr>
            <w:rStyle w:val="Hyperlink"/>
          </w:rPr>
          <w:t xml:space="preserve">https://arxiv.org/abs/2608.27487v1</w:t>
        </w:r>
      </w:hyperlink>
    </w:p>
    <w:bookmarkEnd w:id="202"/>
    <w:bookmarkStart w:id="204" w:name="ref-solutionhacking2026"/>
    <w:p>
      <w:pPr>
        <w:pStyle w:val="Bibliography"/>
      </w:pPr>
      <w:r>
        <w:t xml:space="preserve">[56]</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2026년. Available at:</w:t>
      </w:r>
      <w:r>
        <w:t xml:space="preserve"> </w:t>
      </w:r>
      <w:hyperlink r:id="rId203">
        <w:r>
          <w:rPr>
            <w:rStyle w:val="Hyperlink"/>
          </w:rPr>
          <w:t xml:space="preserve">https://arxiv.org/abs/2608.02442v1</w:t>
        </w:r>
      </w:hyperlink>
    </w:p>
    <w:bookmarkEnd w:id="204"/>
    <w:bookmarkStart w:id="206" w:name="ref-baitbench2026"/>
    <w:p>
      <w:pPr>
        <w:pStyle w:val="Bibliography"/>
      </w:pPr>
      <w:r>
        <w:t xml:space="preserve">[57]</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2026년. Available at:</w:t>
      </w:r>
      <w:r>
        <w:t xml:space="preserve"> </w:t>
      </w:r>
      <w:hyperlink r:id="rId205">
        <w:r>
          <w:rPr>
            <w:rStyle w:val="Hyperlink"/>
          </w:rPr>
          <w:t xml:space="preserve">https://arxiv.org/abs/2608.30724v1</w:t>
        </w:r>
      </w:hyperlink>
    </w:p>
    <w:bookmarkEnd w:id="206"/>
    <w:bookmarkStart w:id="208" w:name="ref-constructvalidity2026"/>
    <w:p>
      <w:pPr>
        <w:pStyle w:val="Bibliography"/>
      </w:pPr>
      <w:r>
        <w:t xml:space="preserve">[58]</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207">
        <w:r>
          <w:rPr>
            <w:rStyle w:val="Hyperlink"/>
          </w:rPr>
          <w:t xml:space="preserve">https://arxiv.org/abs/2511.04703v1</w:t>
        </w:r>
      </w:hyperlink>
    </w:p>
    <w:bookmarkEnd w:id="208"/>
    <w:bookmarkStart w:id="210" w:name="ref-agreementaudit2026"/>
    <w:p>
      <w:pPr>
        <w:pStyle w:val="Bibliography"/>
      </w:pPr>
      <w:r>
        <w:t xml:space="preserve">[59]</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2026년. Available at:</w:t>
      </w:r>
      <w:r>
        <w:t xml:space="preserve"> </w:t>
      </w:r>
      <w:hyperlink r:id="rId209">
        <w:r>
          <w:rPr>
            <w:rStyle w:val="Hyperlink"/>
          </w:rPr>
          <w:t xml:space="preserve">https://arxiv.org/abs/2607.08065v2</w:t>
        </w:r>
      </w:hyperlink>
    </w:p>
    <w:bookmarkEnd w:id="210"/>
    <w:bookmarkStart w:id="212" w:name="ref-reliabilitywithoutvalidity2026"/>
    <w:p>
      <w:pPr>
        <w:pStyle w:val="Bibliography"/>
      </w:pPr>
      <w:r>
        <w:t xml:space="preserve">[60]</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2026년. Available at:</w:t>
      </w:r>
      <w:r>
        <w:t xml:space="preserve"> </w:t>
      </w:r>
      <w:hyperlink r:id="rId211">
        <w:r>
          <w:rPr>
            <w:rStyle w:val="Hyperlink"/>
          </w:rPr>
          <w:t xml:space="preserve">https://arxiv.org/abs/2606.19544v1</w:t>
        </w:r>
      </w:hyperlink>
    </w:p>
    <w:bookmarkEnd w:id="212"/>
    <w:bookmarkStart w:id="214" w:name="ref-compounding2026"/>
    <w:p>
      <w:pPr>
        <w:pStyle w:val="Bibliography"/>
      </w:pPr>
      <w:r>
        <w:t xml:space="preserve">[61]</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2026년. Available at:</w:t>
      </w:r>
      <w:r>
        <w:t xml:space="preserve"> </w:t>
      </w:r>
      <w:hyperlink r:id="rId213">
        <w:r>
          <w:rPr>
            <w:rStyle w:val="Hyperlink"/>
          </w:rPr>
          <w:t xml:space="preserve">https://arxiv.org/abs/2608.00794v3</w:t>
        </w:r>
      </w:hyperlink>
    </w:p>
    <w:bookmarkEnd w:id="214"/>
    <w:bookmarkStart w:id="215" w:name="ref-judgeidentification2026"/>
    <w:p>
      <w:pPr>
        <w:pStyle w:val="Bibliography"/>
      </w:pPr>
      <w:r>
        <w:t xml:space="preserve">[62]</w:t>
      </w:r>
      <w:r>
        <w:t xml:space="preserve"> </w:t>
      </w:r>
      <w:r>
        <w:t xml:space="preserve">	</w:t>
      </w:r>
      <w:r>
        <w:t xml:space="preserve">P. F. et al</w:t>
      </w:r>
      <w:r>
        <w:t xml:space="preserve">,</w:t>
      </w:r>
      <w:r>
        <w:t xml:space="preserve"> </w:t>
      </w:r>
      <w:r>
        <w:t xml:space="preserve">“Second-Order Response Laws for LLM Judges: Debiased Estimation of Prompt Effects”</w:t>
      </w:r>
      <w:r>
        <w:t xml:space="preserve">. arXiv:2608.16253v1, 2026, 2026년.</w:t>
      </w:r>
    </w:p>
    <w:bookmarkEnd w:id="215"/>
    <w:bookmarkStart w:id="216" w:name="ref-majorityhurts2026"/>
    <w:p>
      <w:pPr>
        <w:pStyle w:val="Bibliography"/>
      </w:pPr>
      <w:r>
        <w:t xml:space="preserve">[63]</w:t>
      </w:r>
      <w:r>
        <w:t xml:space="preserve"> </w:t>
      </w:r>
      <w:r>
        <w:t xml:space="preserve">	</w:t>
      </w:r>
      <w:r>
        <w:t xml:space="preserve">U. Bahuguna,</w:t>
      </w:r>
      <w:r>
        <w:t xml:space="preserve"> </w:t>
      </w:r>
      <w:r>
        <w:t xml:space="preserve">“When Self-Consistency Backfires: Majority Vote Hurts the Majority of Hard Science Problems for Small LLMs”</w:t>
      </w:r>
      <w:r>
        <w:t xml:space="preserve">. arXiv:2608.11403v2, 2026, 2026년.</w:t>
      </w:r>
    </w:p>
    <w:bookmarkEnd w:id="216"/>
    <w:bookmarkStart w:id="217" w:name="ref-wrongconsensus2026"/>
    <w:p>
      <w:pPr>
        <w:pStyle w:val="Bibliography"/>
      </w:pPr>
      <w:r>
        <w:t xml:space="preserve">[64]</w:t>
      </w:r>
      <w:r>
        <w:t xml:space="preserve"> </w:t>
      </w:r>
      <w:r>
        <w:t xml:space="preserve">	</w:t>
      </w:r>
      <w:r>
        <w:t xml:space="preserve">L. Z. et al</w:t>
      </w:r>
      <w:r>
        <w:t xml:space="preserve">,</w:t>
      </w:r>
      <w:r>
        <w:t xml:space="preserve"> </w:t>
      </w:r>
      <w:r>
        <w:t xml:space="preserve">“Decomposing Wrong-Consensus Agreement in LLM Self-Consistency”</w:t>
      </w:r>
      <w:r>
        <w:t xml:space="preserve">. arXiv:2608.18795v2, 2026, 2026년.</w:t>
      </w:r>
    </w:p>
    <w:bookmarkEnd w:id="217"/>
    <w:bookmarkStart w:id="218" w:name="ref-budgetmatched2026"/>
    <w:p>
      <w:pPr>
        <w:pStyle w:val="Bibliography"/>
      </w:pPr>
      <w:r>
        <w:t xml:space="preserve">[65]</w:t>
      </w:r>
      <w:r>
        <w:t xml:space="preserve"> </w:t>
      </w:r>
      <w:r>
        <w:t xml:space="preserve">	</w:t>
      </w:r>
      <w:r>
        <w:t xml:space="preserve">S. H. et al</w:t>
      </w:r>
      <w:r>
        <w:t xml:space="preserve">,</w:t>
      </w:r>
      <w:r>
        <w:t xml:space="preserve"> </w:t>
      </w:r>
      <w:r>
        <w:t xml:space="preserve">“Are Online Skill and Memory Modules Always Worth Their Tokens? A Budget-Constrained Re-Evaluation”</w:t>
      </w:r>
      <w:r>
        <w:t xml:space="preserve">. arXiv:2606.15017v2, 2026, 2026년.</w:t>
      </w:r>
    </w:p>
    <w:bookmarkEnd w:id="218"/>
    <w:bookmarkStart w:id="219" w:name="ref-cachecost2026"/>
    <w:p>
      <w:pPr>
        <w:pStyle w:val="Bibliography"/>
      </w:pPr>
      <w:r>
        <w:t xml:space="preserve">[66]</w:t>
      </w:r>
      <w:r>
        <w:t xml:space="preserve"> </w:t>
      </w:r>
      <w:r>
        <w:t xml:space="preserve">	</w:t>
      </w:r>
      <w:r>
        <w:t xml:space="preserve">E. L. et al</w:t>
      </w:r>
      <w:r>
        <w:t xml:space="preserve">,</w:t>
      </w:r>
      <w:r>
        <w:t xml:space="preserve"> </w:t>
      </w:r>
      <w:r>
        <w:t xml:space="preserve">“Don’t Break the Cache: An Evaluation of Prompt Caching for Long-Horizon Agentic Tasks”</w:t>
      </w:r>
      <w:r>
        <w:t xml:space="preserve">. arXiv:2601.06007v2, 2026, 2026년.</w:t>
      </w:r>
    </w:p>
    <w:bookmarkEnd w:id="219"/>
    <w:bookmarkStart w:id="220" w:name="ref-compressioncost2026"/>
    <w:p>
      <w:pPr>
        <w:pStyle w:val="Bibliography"/>
      </w:pPr>
      <w:r>
        <w:t xml:space="preserve">[67]</w:t>
      </w:r>
      <w:r>
        <w:t xml:space="preserve"> </w:t>
      </w:r>
      <w:r>
        <w:t xml:space="preserve">	</w:t>
      </w:r>
      <w:r>
        <w:t xml:space="preserve">S. L. et al</w:t>
      </w:r>
      <w:r>
        <w:t xml:space="preserve">,</w:t>
      </w:r>
      <w:r>
        <w:t xml:space="preserve"> </w:t>
      </w:r>
      <w:r>
        <w:t xml:space="preserve">“What Does Context Compression Cost an Agent? Interaction Costs Unrevealed by Task Completion”</w:t>
      </w:r>
      <w:r>
        <w:t xml:space="preserve">. arXiv:2608.16370v1, 2026, 2026년.</w:t>
      </w:r>
    </w:p>
    <w:bookmarkEnd w:id="220"/>
    <w:bookmarkStart w:id="221" w:name="ref-promptwaste2026"/>
    <w:p>
      <w:pPr>
        <w:pStyle w:val="Bibliography"/>
      </w:pPr>
      <w:r>
        <w:t xml:space="preserve">[68]</w:t>
      </w:r>
      <w:r>
        <w:t xml:space="preserve"> </w:t>
      </w:r>
      <w:r>
        <w:t xml:space="preserve">	</w:t>
      </w:r>
      <w:r>
        <w:t xml:space="preserve">S. W. et al</w:t>
      </w:r>
      <w:r>
        <w:t xml:space="preserve">,</w:t>
      </w:r>
      <w:r>
        <w:t xml:space="preserve"> </w:t>
      </w:r>
      <w:r>
        <w:t xml:space="preserve">“Prompt-Induced Waste in Coding Agents: Reasoning, Effort, Harness Design, and Energy”</w:t>
      </w:r>
      <w:r>
        <w:t xml:space="preserve">. arXiv:2608.01347v5, 2026, 2026년.</w:t>
      </w:r>
    </w:p>
    <w:bookmarkEnd w:id="221"/>
    <w:bookmarkStart w:id="222" w:name="ref-llmrandomness2026"/>
    <w:p>
      <w:pPr>
        <w:pStyle w:val="Bibliography"/>
      </w:pPr>
      <w:r>
        <w:t xml:space="preserve">[69]</w:t>
      </w:r>
      <w:r>
        <w:t xml:space="preserve"> </w:t>
      </w:r>
      <w:r>
        <w:t xml:space="preserve">	</w:t>
      </w:r>
      <w:r>
        <w:t xml:space="preserve">G. Coqueret,</w:t>
      </w:r>
      <w:r>
        <w:t xml:space="preserve"> </w:t>
      </w:r>
      <w:r>
        <w:t xml:space="preserve">“Randomness in Large Language Models: What Researchers Need to Know”</w:t>
      </w:r>
      <w:r>
        <w:t xml:space="preserve">. arXiv:2607.24372v1, 2026, 2026년.</w:t>
      </w:r>
    </w:p>
    <w:bookmarkEnd w:id="222"/>
    <w:bookmarkStart w:id="223" w:name="ref-onerunlottery2026"/>
    <w:p>
      <w:pPr>
        <w:pStyle w:val="Bibliography"/>
      </w:pPr>
      <w:r>
        <w:t xml:space="preserve">[70]</w:t>
      </w:r>
      <w:r>
        <w:t xml:space="preserve"> </w:t>
      </w:r>
      <w:r>
        <w:t xml:space="preserve">	</w:t>
      </w:r>
      <w:r>
        <w:t xml:space="preserve">J. N. et al</w:t>
      </w:r>
      <w:r>
        <w:t xml:space="preserve">,</w:t>
      </w:r>
      <w:r>
        <w:t xml:space="preserve"> </w:t>
      </w:r>
      <w:r>
        <w:t xml:space="preserve">“One Run Is Not an Idea: The Implementation Lottery in Automated Research”</w:t>
      </w:r>
      <w:r>
        <w:t xml:space="preserve">. arXiv:2607.26587v1, 2026, 2026년.</w:t>
      </w:r>
    </w:p>
    <w:bookmarkEnd w:id="223"/>
    <w:bookmarkStart w:id="224" w:name="ref-multiplerunsorder2026"/>
    <w:p>
      <w:pPr>
        <w:pStyle w:val="Bibliography"/>
      </w:pPr>
      <w:r>
        <w:t xml:space="preserve">[71]</w:t>
      </w:r>
      <w:r>
        <w:t xml:space="preserve"> </w:t>
      </w:r>
      <w:r>
        <w:t xml:space="preserve">	</w:t>
      </w:r>
      <w:r>
        <w:t xml:space="preserve">Q. Y. et al</w:t>
      </w:r>
      <w:r>
        <w:t xml:space="preserve">,</w:t>
      </w:r>
      <w:r>
        <w:t xml:space="preserve"> </w:t>
      </w:r>
      <w:r>
        <w:t xml:space="preserve">“On the Fragility of Self-Improving Agents: Variance, Task Order, and Underspecification”</w:t>
      </w:r>
      <w:r>
        <w:t xml:space="preserve">. arXiv:2608.18066v1, 2026, 2026년.</w:t>
      </w:r>
    </w:p>
    <w:bookmarkEnd w:id="224"/>
    <w:bookmarkStart w:id="225" w:name="ref-runvariance2026"/>
    <w:p>
      <w:pPr>
        <w:pStyle w:val="Bibliography"/>
      </w:pPr>
      <w:r>
        <w:t xml:space="preserve">[72]</w:t>
      </w:r>
      <w:r>
        <w:t xml:space="preserve"> </w:t>
      </w:r>
      <w:r>
        <w:t xml:space="preserve">	</w:t>
      </w:r>
      <w:r>
        <w:t xml:space="preserve">S. D. et al</w:t>
      </w:r>
      <w:r>
        <w:t xml:space="preserve">,</w:t>
      </w:r>
      <w:r>
        <w:t xml:space="preserve"> </w:t>
      </w:r>
      <w:r>
        <w:t xml:space="preserve">“Harness Engineering for Predictable Agentic Systems: An Empirical Study of Determinism”</w:t>
      </w:r>
      <w:r>
        <w:t xml:space="preserve">. arXiv:2608.26197v1, 2026, 2026년.</w:t>
      </w:r>
    </w:p>
    <w:bookmarkEnd w:id="225"/>
    <w:bookmarkStart w:id="226" w:name="ref-tokenaccounting2026"/>
    <w:p>
      <w:pPr>
        <w:pStyle w:val="Bibliography"/>
      </w:pPr>
      <w:r>
        <w:t xml:space="preserve">[73]</w:t>
      </w:r>
      <w:r>
        <w:t xml:space="preserve"> </w:t>
      </w:r>
      <w:r>
        <w:t xml:space="preserve">	</w:t>
      </w:r>
      <w:r>
        <w:t xml:space="preserve">R. B. et al</w:t>
      </w:r>
      <w:r>
        <w:t xml:space="preserve">,</w:t>
      </w:r>
      <w:r>
        <w:t xml:space="preserve"> </w:t>
      </w:r>
      <w:r>
        <w:t xml:space="preserve">“Pixels for Programs? A Cross-Provider Case Study of Input-Token Accounting for Source Code as Text and Images”</w:t>
      </w:r>
      <w:r>
        <w:t xml:space="preserve">. arXiv:2607.21672v1, 2026, 2026년.</w:t>
      </w:r>
    </w:p>
    <w:bookmarkEnd w:id="226"/>
    <w:bookmarkStart w:id="227" w:name="ref-agreementcorrectness2026"/>
    <w:p>
      <w:pPr>
        <w:pStyle w:val="Bibliography"/>
      </w:pPr>
      <w:r>
        <w:t xml:space="preserve">[74]</w:t>
      </w:r>
      <w:r>
        <w:t xml:space="preserve"> </w:t>
      </w:r>
      <w:r>
        <w:t xml:space="preserve">	</w:t>
      </w:r>
      <w:r>
        <w:t xml:space="preserve">R. K. et al</w:t>
      </w:r>
      <w:r>
        <w:t xml:space="preserve">,</w:t>
      </w:r>
      <w:r>
        <w:t xml:space="preserve"> </w:t>
      </w:r>
      <w:r>
        <w:t xml:space="preserve">“When Does Consensus Mean Correctness? Measuring the Agreement-Accuracy Coupling”</w:t>
      </w:r>
      <w:r>
        <w:t xml:space="preserve">. arXiv:2608.05670v1, 2026, 2026년.</w:t>
      </w:r>
    </w:p>
    <w:bookmarkEnd w:id="227"/>
    <w:bookmarkStart w:id="228" w:name="ref-annotationvariance2026"/>
    <w:p>
      <w:pPr>
        <w:pStyle w:val="Bibliography"/>
      </w:pPr>
      <w:r>
        <w:t xml:space="preserve">[75]</w:t>
      </w:r>
      <w:r>
        <w:t xml:space="preserve"> </w:t>
      </w:r>
      <w:r>
        <w:t xml:space="preserve">	</w:t>
      </w:r>
      <w:r>
        <w:t xml:space="preserve">L. Z. et al</w:t>
      </w:r>
      <w:r>
        <w:t xml:space="preserve">,</w:t>
      </w:r>
      <w:r>
        <w:t xml:space="preserve"> </w:t>
      </w:r>
      <w:r>
        <w:t xml:space="preserve">“Quantifying and Predicting Disagreement in Graded Human Ratings”</w:t>
      </w:r>
      <w:r>
        <w:t xml:space="preserve">. arXiv:2605.01168v1, 2026, 2026년.</w:t>
      </w:r>
    </w:p>
    <w:bookmarkEnd w:id="228"/>
    <w:bookmarkStart w:id="229" w:name="ref-boltonprovenance2026"/>
    <w:p>
      <w:pPr>
        <w:pStyle w:val="Bibliography"/>
      </w:pPr>
      <w:r>
        <w:t xml:space="preserve">[76]</w:t>
      </w:r>
      <w:r>
        <w:t xml:space="preserve"> </w:t>
      </w:r>
      <w:r>
        <w:t xml:space="preserve">	</w:t>
      </w:r>
      <w:r>
        <w:t xml:space="preserve">Y. L. et al</w:t>
      </w:r>
      <w:r>
        <w:t xml:space="preserve">,</w:t>
      </w:r>
      <w:r>
        <w:t xml:space="preserve"> </w:t>
      </w:r>
      <w:r>
        <w:t xml:space="preserve">“Bolt-on, Verifiable Provenance for LLM-Powered Data Processing”</w:t>
      </w:r>
      <w:r>
        <w:t xml:space="preserve">. arXiv:2608.25210v2, 2026, 2026년.</w:t>
      </w:r>
    </w:p>
    <w:bookmarkEnd w:id="229"/>
    <w:bookmarkStart w:id="230" w:name="ref-evidenceledger2026"/>
    <w:p>
      <w:pPr>
        <w:pStyle w:val="Bibliography"/>
      </w:pPr>
      <w:r>
        <w:t xml:space="preserve">[77]</w:t>
      </w:r>
      <w:r>
        <w:t xml:space="preserve"> </w:t>
      </w:r>
      <w:r>
        <w:t xml:space="preserve">	</w:t>
      </w:r>
      <w:r>
        <w:t xml:space="preserve">C. C. et al</w:t>
      </w:r>
      <w:r>
        <w:t xml:space="preserve">,</w:t>
      </w:r>
      <w:r>
        <w:t xml:space="preserve"> </w:t>
      </w:r>
      <w:r>
        <w:t xml:space="preserve">“Evidence-Ledger Adjudication for Claim-Evidence Traceability”</w:t>
      </w:r>
      <w:r>
        <w:t xml:space="preserve">. arXiv:2607.26512v1, 2026, 2026년.</w:t>
      </w:r>
    </w:p>
    <w:bookmarkEnd w:id="230"/>
    <w:bookmarkStart w:id="231" w:name="ref-claimreplay2026"/>
    <w:p>
      <w:pPr>
        <w:pStyle w:val="Bibliography"/>
      </w:pPr>
      <w:r>
        <w:t xml:space="preserve">[78]</w:t>
      </w:r>
      <w:r>
        <w:t xml:space="preserve"> </w:t>
      </w:r>
      <w:r>
        <w:t xml:space="preserve">	</w:t>
      </w:r>
      <w:r>
        <w:t xml:space="preserve">X. Q. et al</w:t>
      </w:r>
      <w:r>
        <w:t xml:space="preserve">,</w:t>
      </w:r>
      <w:r>
        <w:t xml:space="preserve"> </w:t>
      </w:r>
      <w:r>
        <w:t xml:space="preserve">“What Does an Evaluation License? A Commit-Bound Census of Claim Replay”</w:t>
      </w:r>
      <w:r>
        <w:t xml:space="preserve">. arXiv:2608.19269v4, 2026, 2026년.</w:t>
      </w:r>
    </w:p>
    <w:bookmarkEnd w:id="231"/>
    <w:bookmarkStart w:id="232" w:name="ref-runnableverifiable2026"/>
    <w:p>
      <w:pPr>
        <w:pStyle w:val="Bibliography"/>
      </w:pPr>
      <w:r>
        <w:t xml:space="preserve">[79]</w:t>
      </w:r>
      <w:r>
        <w:t xml:space="preserve"> </w:t>
      </w:r>
      <w:r>
        <w:t xml:space="preserve">	</w:t>
      </w:r>
      <w:r>
        <w:t xml:space="preserve">B. C. et al</w:t>
      </w:r>
      <w:r>
        <w:t xml:space="preserve">,</w:t>
      </w:r>
      <w:r>
        <w:t xml:space="preserve"> </w:t>
      </w:r>
      <w:r>
        <w:t xml:space="preserve">“From Runnable to Verifiable: An Independent Reproducibility Study of LLM/Agent Vulnerability Workflows”</w:t>
      </w:r>
      <w:r>
        <w:t xml:space="preserve">. arXiv:2608.09567v1, 2026, 2026년.</w:t>
      </w:r>
    </w:p>
    <w:bookmarkEnd w:id="232"/>
    <w:bookmarkStart w:id="233" w:name="ref-repeataudit2026"/>
    <w:p>
      <w:pPr>
        <w:pStyle w:val="Bibliography"/>
      </w:pPr>
      <w:r>
        <w:t xml:space="preserve">[80]</w:t>
      </w:r>
      <w:r>
        <w:t xml:space="preserve"> </w:t>
      </w:r>
      <w:r>
        <w:t xml:space="preserve">	</w:t>
      </w:r>
      <w:r>
        <w:t xml:space="preserve">J. N. et al</w:t>
      </w:r>
      <w:r>
        <w:t xml:space="preserve">,</w:t>
      </w:r>
      <w:r>
        <w:t xml:space="preserve"> </w:t>
      </w:r>
      <w:r>
        <w:t xml:space="preserve">“Same Agent, Different Answers: A Repeat-Aware Audit of Corpus-Induced Answer Churn”</w:t>
      </w:r>
      <w:r>
        <w:t xml:space="preserve">. arXiv:2608.22856v1, 2026, 2026년.</w:t>
      </w:r>
    </w:p>
    <w:bookmarkEnd w:id="233"/>
    <w:bookmarkStart w:id="234" w:name="ref-fidelitywithoutevidence2026"/>
    <w:p>
      <w:pPr>
        <w:pStyle w:val="Bibliography"/>
      </w:pPr>
      <w:r>
        <w:t xml:space="preserve">[81]</w:t>
      </w:r>
      <w:r>
        <w:t xml:space="preserve"> </w:t>
      </w:r>
      <w:r>
        <w:t xml:space="preserve">	</w:t>
      </w:r>
      <w:r>
        <w:t xml:space="preserve">Q. Y. et al</w:t>
      </w:r>
      <w:r>
        <w:t xml:space="preserve">,</w:t>
      </w:r>
      <w:r>
        <w:t xml:space="preserve"> </w:t>
      </w:r>
      <w:r>
        <w:t xml:space="preserve">“Fidelity Is Not Enough: Dispatch-Level Instrumentation for Agentic Data Extraction”</w:t>
      </w:r>
      <w:r>
        <w:t xml:space="preserve">. arXiv:2608.28439v1, 2026, 2026년.</w:t>
      </w:r>
    </w:p>
    <w:bookmarkEnd w:id="234"/>
    <w:bookmarkStart w:id="235" w:name="ref-implicitassumptions2026"/>
    <w:p>
      <w:pPr>
        <w:pStyle w:val="Bibliography"/>
      </w:pPr>
      <w:r>
        <w:t xml:space="preserve">[82]</w:t>
      </w:r>
      <w:r>
        <w:t xml:space="preserve"> </w:t>
      </w:r>
      <w:r>
        <w:t xml:space="preserve">	</w:t>
      </w:r>
      <w:r>
        <w:t xml:space="preserve">F. S. et al</w:t>
      </w:r>
      <w:r>
        <w:t xml:space="preserve">,</w:t>
      </w:r>
      <w:r>
        <w:t xml:space="preserve"> </w:t>
      </w:r>
      <w:r>
        <w:t xml:space="preserve">“Towards Automatically Inferring Constraints to Identify Implicit Assumptions in Data Analysis”</w:t>
      </w:r>
      <w:r>
        <w:t xml:space="preserve">. arXiv:2607.03114v1, 2026, 2026년.</w:t>
      </w:r>
    </w:p>
    <w:bookmarkEnd w:id="235"/>
    <w:bookmarkStart w:id="236" w:name="ref-partialcontracts2026"/>
    <w:p>
      <w:pPr>
        <w:pStyle w:val="Bibliography"/>
      </w:pPr>
      <w:r>
        <w:t xml:space="preserve">[83]</w:t>
      </w:r>
      <w:r>
        <w:t xml:space="preserve"> </w:t>
      </w:r>
      <w:r>
        <w:t xml:space="preserve">	</w:t>
      </w:r>
      <w:r>
        <w:t xml:space="preserve">Y. C. et al</w:t>
      </w:r>
      <w:r>
        <w:t xml:space="preserve">,</w:t>
      </w:r>
      <w:r>
        <w:t xml:space="preserve"> </w:t>
      </w:r>
      <w:r>
        <w:t xml:space="preserve">“Partial Contracts Suffice: Sound, LLM-Inferred Regression Verification”</w:t>
      </w:r>
      <w:r>
        <w:t xml:space="preserve">. arXiv:2607.10291v1, 2026, 2026년.</w:t>
      </w:r>
    </w:p>
    <w:bookmarkEnd w:id="236"/>
    <w:bookmarkStart w:id="237" w:name="ref-factcheckstages2026"/>
    <w:p>
      <w:pPr>
        <w:pStyle w:val="Bibliography"/>
      </w:pPr>
      <w:r>
        <w:t xml:space="preserve">[84]</w:t>
      </w:r>
      <w:r>
        <w:t xml:space="preserve"> </w:t>
      </w:r>
      <w:r>
        <w:t xml:space="preserve">	</w:t>
      </w:r>
      <w:r>
        <w:t xml:space="preserve">V. V. et al</w:t>
      </w:r>
      <w:r>
        <w:t xml:space="preserve">,</w:t>
      </w:r>
      <w:r>
        <w:t xml:space="preserve"> </w:t>
      </w:r>
      <w:r>
        <w:t xml:space="preserve">“A Benchmark for Open-Domain Numerical Fact-Checking Enhanced by Claim Decomposition”</w:t>
      </w:r>
      <w:r>
        <w:t xml:space="preserve">. arXiv:2510.22055v1, 2026, 2026년.</w:t>
      </w:r>
    </w:p>
    <w:bookmarkEnd w:id="237"/>
    <w:bookmarkStart w:id="238" w:name="ref-coveragebehaviour2026"/>
    <w:p>
      <w:pPr>
        <w:pStyle w:val="Bibliography"/>
      </w:pPr>
      <w:r>
        <w:t xml:space="preserve">[85]</w:t>
      </w:r>
      <w:r>
        <w:t xml:space="preserve"> </w:t>
      </w:r>
      <w:r>
        <w:t xml:space="preserve">	</w:t>
      </w:r>
      <w:r>
        <w:t xml:space="preserve">P. P. P. et al</w:t>
      </w:r>
      <w:r>
        <w:t xml:space="preserve">,</w:t>
      </w:r>
      <w:r>
        <w:t xml:space="preserve"> </w:t>
      </w:r>
      <w:r>
        <w:t xml:space="preserve">“Beyond Coverage and Kill Scores: Empirically Measuring Test Suite Behavioural Validation”</w:t>
      </w:r>
      <w:r>
        <w:t xml:space="preserve">. arXiv:2606.10417v1, 2026, 2026년.</w:t>
      </w:r>
    </w:p>
    <w:bookmarkEnd w:id="238"/>
    <w:bookmarkStart w:id="239" w:name="ref-evalblindness2026"/>
    <w:p>
      <w:pPr>
        <w:pStyle w:val="Bibliography"/>
      </w:pPr>
      <w:r>
        <w:t xml:space="preserve">[86]</w:t>
      </w:r>
      <w:r>
        <w:t xml:space="preserve"> </w:t>
      </w:r>
      <w:r>
        <w:t xml:space="preserve">	</w:t>
      </w:r>
      <w:r>
        <w:t xml:space="preserve">P. B. et al</w:t>
      </w:r>
      <w:r>
        <w:t xml:space="preserve">,</w:t>
      </w:r>
      <w:r>
        <w:t xml:space="preserve"> </w:t>
      </w:r>
      <w:r>
        <w:t xml:space="preserve">“Evaluation Blindness: How Silent Measurement Failures Corrupt AI Systems”</w:t>
      </w:r>
      <w:r>
        <w:t xml:space="preserve">. arXiv:2608.02786v1, 2026, 2026년.</w:t>
      </w:r>
    </w:p>
    <w:bookmarkEnd w:id="239"/>
    <w:bookmarkStart w:id="240" w:name="ref-metamorphicrelations2026"/>
    <w:p>
      <w:pPr>
        <w:pStyle w:val="Bibliography"/>
      </w:pPr>
      <w:r>
        <w:t xml:space="preserve">[87]</w:t>
      </w:r>
      <w:r>
        <w:t xml:space="preserve"> </w:t>
      </w:r>
      <w:r>
        <w:t xml:space="preserve">	</w:t>
      </w:r>
      <w:r>
        <w:t xml:space="preserve">Y. P. et al</w:t>
      </w:r>
      <w:r>
        <w:t xml:space="preserve">,</w:t>
      </w:r>
      <w:r>
        <w:t xml:space="preserve"> </w:t>
      </w:r>
      <w:r>
        <w:t xml:space="preserve">“Assessing Behavioral Validation in UI Component Test Suites Using Inferred Metamorphic Relations”</w:t>
      </w:r>
      <w:r>
        <w:t xml:space="preserve">. arXiv:2608.03337v1, 2026, 2026년.</w:t>
      </w:r>
    </w:p>
    <w:bookmarkEnd w:id="240"/>
    <w:bookmarkStart w:id="241" w:name="ref-oracleavailability2026"/>
    <w:p>
      <w:pPr>
        <w:pStyle w:val="Bibliography"/>
      </w:pPr>
      <w:r>
        <w:t xml:space="preserve">[88]</w:t>
      </w:r>
      <w:r>
        <w:t xml:space="preserve"> </w:t>
      </w:r>
      <w:r>
        <w:t xml:space="preserve">	</w:t>
      </w:r>
      <w:r>
        <w:t xml:space="preserve">M. J. et al</w:t>
      </w:r>
      <w:r>
        <w:t xml:space="preserve">,</w:t>
      </w:r>
      <w:r>
        <w:t xml:space="preserve"> </w:t>
      </w:r>
      <w:r>
        <w:t xml:space="preserve">“Delta Debugging in the Absence of Test Oracles Through Metamorphic Testing”</w:t>
      </w:r>
      <w:r>
        <w:t xml:space="preserve">. arXiv:2607.00929v1, 2026, 2026년.</w:t>
      </w:r>
    </w:p>
    <w:bookmarkEnd w:id="241"/>
    <w:bookmarkStart w:id="242" w:name="ref-oracleanchoring2026"/>
    <w:p>
      <w:pPr>
        <w:pStyle w:val="Bibliography"/>
      </w:pPr>
      <w:r>
        <w:t xml:space="preserve">[89]</w:t>
      </w:r>
      <w:r>
        <w:t xml:space="preserve"> </w:t>
      </w:r>
      <w:r>
        <w:t xml:space="preserve">	</w:t>
      </w:r>
      <w:r>
        <w:t xml:space="preserve">A. C. et al</w:t>
      </w:r>
      <w:r>
        <w:t xml:space="preserve">,</w:t>
      </w:r>
      <w:r>
        <w:t xml:space="preserve"> </w:t>
      </w:r>
      <w:r>
        <w:t xml:space="preserve">“Oracles That Cannot Fail: Anchoring and the Expectation That Moves With the System”</w:t>
      </w:r>
      <w:r>
        <w:t xml:space="preserve">. arXiv:2608.17214v1, 2026, 2026년.</w:t>
      </w:r>
    </w:p>
    <w:bookmarkEnd w:id="242"/>
    <w:bookmarkStart w:id="244" w:name="ref-auditaudit2026"/>
    <w:p>
      <w:pPr>
        <w:pStyle w:val="Bibliography"/>
      </w:pPr>
      <w:r>
        <w:t xml:space="preserve">[90]</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2026년. Available at:</w:t>
      </w:r>
      <w:r>
        <w:t xml:space="preserve"> </w:t>
      </w:r>
      <w:hyperlink r:id="rId243">
        <w:r>
          <w:rPr>
            <w:rStyle w:val="Hyperlink"/>
          </w:rPr>
          <w:t xml:space="preserve">https://arxiv.org/abs/2607.02586v1</w:t>
        </w:r>
      </w:hyperlink>
    </w:p>
    <w:bookmarkEnd w:id="244"/>
    <w:bookmarkStart w:id="245" w:name="ref-beyondfinalscores2026"/>
    <w:p>
      <w:pPr>
        <w:pStyle w:val="Bibliography"/>
      </w:pPr>
      <w:r>
        <w:t xml:space="preserve">[91]</w:t>
      </w:r>
      <w:r>
        <w:t xml:space="preserve"> </w:t>
      </w:r>
      <w:r>
        <w:t xml:space="preserve">	</w:t>
      </w:r>
      <w:r>
        <w:t xml:space="preserve">Y. L. et al</w:t>
      </w:r>
      <w:r>
        <w:t xml:space="preserve">,</w:t>
      </w:r>
      <w:r>
        <w:t xml:space="preserve"> </w:t>
      </w:r>
      <w:r>
        <w:t xml:space="preserve">“Beyond Final Scores: A Systematic Evaluation of Agents for Long-Horizon AI Research”</w:t>
      </w:r>
      <w:r>
        <w:t xml:space="preserve">. arXiv:2608.13417v1, 2026, 2026년.</w:t>
      </w:r>
    </w:p>
    <w:bookmarkEnd w:id="245"/>
    <w:bookmarkStart w:id="246" w:name="ref-seqmeta2026"/>
    <w:p>
      <w:pPr>
        <w:pStyle w:val="Bibliography"/>
      </w:pPr>
      <w:r>
        <w:t xml:space="preserve">[92]</w:t>
      </w:r>
      <w:r>
        <w:t xml:space="preserve"> </w:t>
      </w:r>
      <w:r>
        <w:t xml:space="preserve">	</w:t>
      </w:r>
      <w:r>
        <w:t xml:space="preserve">J. M. M. et al</w:t>
      </w:r>
      <w:r>
        <w:t xml:space="preserve">,</w:t>
      </w:r>
      <w:r>
        <w:t xml:space="preserve"> </w:t>
      </w:r>
      <w:r>
        <w:t xml:space="preserve">“The Sequential Nature of Science: Quantifying Learning from a Sequence of Studies”</w:t>
      </w:r>
      <w:r>
        <w:t xml:space="preserve">. arXiv:2511.14996v1, 2025, 2025년.</w:t>
      </w:r>
    </w:p>
    <w:bookmarkEnd w:id="246"/>
    <w:bookmarkStart w:id="247" w:name="ref-rigorai2026"/>
    <w:p>
      <w:pPr>
        <w:pStyle w:val="Bibliography"/>
      </w:pPr>
      <w:r>
        <w:t xml:space="preserve">[93]</w:t>
      </w:r>
      <w:r>
        <w:t xml:space="preserve"> </w:t>
      </w:r>
      <w:r>
        <w:t xml:space="preserve">	</w:t>
      </w:r>
      <w:r>
        <w:t xml:space="preserve">T. Nguyen,</w:t>
      </w:r>
      <w:r>
        <w:t xml:space="preserve"> </w:t>
      </w:r>
      <w:r>
        <w:t xml:space="preserve">“The Role of Rigor in Artificial Intelligence”</w:t>
      </w:r>
      <w:r>
        <w:t xml:space="preserve">. arXiv:2607.03634v1, 2026, 2026년.</w:t>
      </w:r>
    </w:p>
    <w:bookmarkEnd w:id="247"/>
    <w:bookmarkStart w:id="249" w:name="ref-prereg2026"/>
    <w:p>
      <w:pPr>
        <w:pStyle w:val="Bibliography"/>
      </w:pPr>
      <w:r>
        <w:t xml:space="preserve">[94]</w:t>
      </w:r>
      <w:r>
        <w:t xml:space="preserve"> </w:t>
      </w:r>
      <w:r>
        <w:t xml:space="preserve">	</w:t>
      </w:r>
      <w:r>
        <w:t xml:space="preserve">M. Vaccaro,</w:t>
      </w:r>
      <w:r>
        <w:t xml:space="preserve"> </w:t>
      </w:r>
      <w:r>
        <w:t xml:space="preserve">“Preregistration for Experiments with AI Agents”</w:t>
      </w:r>
      <w:r>
        <w:t xml:space="preserve">. ArXiv preprint arXiv:2606.11217v1, 2026., 2026년. Available at:</w:t>
      </w:r>
      <w:r>
        <w:t xml:space="preserve"> </w:t>
      </w:r>
      <w:hyperlink r:id="rId248">
        <w:r>
          <w:rPr>
            <w:rStyle w:val="Hyperlink"/>
          </w:rPr>
          <w:t xml:space="preserve">https://arxiv.org/abs/2606.11217v1</w:t>
        </w:r>
      </w:hyperlink>
    </w:p>
    <w:bookmarkEnd w:id="249"/>
    <w:bookmarkStart w:id="250" w:name="ref-smallscreening2026"/>
    <w:p>
      <w:pPr>
        <w:pStyle w:val="Bibliography"/>
      </w:pPr>
      <w:r>
        <w:t xml:space="preserve">[95]</w:t>
      </w:r>
      <w:r>
        <w:t xml:space="preserve"> </w:t>
      </w:r>
      <w:r>
        <w:t xml:space="preserve">	</w:t>
      </w:r>
      <w:r>
        <w:t xml:space="preserve">H. L. et al</w:t>
      </w:r>
      <w:r>
        <w:t xml:space="preserve">,</w:t>
      </w:r>
      <w:r>
        <w:t xml:space="preserve"> </w:t>
      </w:r>
      <w:r>
        <w:t xml:space="preserve">“When Representative Samples Produce Worse Outcomes: Scale-up Decisions from Small Randomized Trials”</w:t>
      </w:r>
      <w:r>
        <w:t xml:space="preserve">. arXiv:2606.13531v1, 2026, 2026년.</w:t>
      </w:r>
    </w:p>
    <w:bookmarkEnd w:id="250"/>
    <w:bookmarkStart w:id="252" w:name="ref-negativeresults2026"/>
    <w:p>
      <w:pPr>
        <w:pStyle w:val="Bibliography"/>
      </w:pPr>
      <w:r>
        <w:t xml:space="preserve">[96]</w:t>
      </w:r>
      <w:r>
        <w:t xml:space="preserve"> </w:t>
      </w:r>
      <w:r>
        <w:t xml:space="preserve">	</w:t>
      </w:r>
      <w:r>
        <w:t xml:space="preserve">S. Lee,</w:t>
      </w:r>
      <w:r>
        <w:t xml:space="preserve"> </w:t>
      </w:r>
      <w:r>
        <w:t xml:space="preserve">“LLMs Have Made Failure Worth Publishing”</w:t>
      </w:r>
      <w:r>
        <w:t xml:space="preserve">. ArXiv preprint arXiv:2604.06236v1, 2026., 2026년. Available at:</w:t>
      </w:r>
      <w:r>
        <w:t xml:space="preserve"> </w:t>
      </w:r>
      <w:hyperlink r:id="rId251">
        <w:r>
          <w:rPr>
            <w:rStyle w:val="Hyperlink"/>
          </w:rPr>
          <w:t xml:space="preserve">https://arxiv.org/abs/2604.06236v1</w:t>
        </w:r>
      </w:hyperlink>
    </w:p>
    <w:bookmarkEnd w:id="252"/>
    <w:bookmarkStart w:id="254" w:name="ref-autoresearchfail2026"/>
    <w:p>
      <w:pPr>
        <w:pStyle w:val="Bibliography"/>
      </w:pPr>
      <w:r>
        <w:t xml:space="preserve">[97]</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2026년. Available at:</w:t>
      </w:r>
      <w:r>
        <w:t xml:space="preserve"> </w:t>
      </w:r>
      <w:hyperlink r:id="rId253">
        <w:r>
          <w:rPr>
            <w:rStyle w:val="Hyperlink"/>
          </w:rPr>
          <w:t xml:space="preserve">https://arxiv.org/abs/2608.14905v3</w:t>
        </w:r>
      </w:hyperlink>
    </w:p>
    <w:bookmarkEnd w:id="254"/>
    <w:bookmarkStart w:id="256" w:name="ref-verificationcost2026"/>
    <w:p>
      <w:pPr>
        <w:pStyle w:val="Bibliography"/>
      </w:pPr>
      <w:r>
        <w:t xml:space="preserve">[98]</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2026년. Available at:</w:t>
      </w:r>
      <w:r>
        <w:t xml:space="preserve"> </w:t>
      </w:r>
      <w:hyperlink r:id="rId255">
        <w:r>
          <w:rPr>
            <w:rStyle w:val="Hyperlink"/>
          </w:rPr>
          <w:t xml:space="preserve">https://arxiv.org/abs/2608.08709v1</w:t>
        </w:r>
      </w:hyperlink>
    </w:p>
    <w:bookmarkEnd w:id="256"/>
    <w:bookmarkEnd w:id="257"/>
    <w:bookmarkEnd w:id="258"/>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83" Target="media/rId83.png" /><Relationship Type="http://schemas.openxmlformats.org/officeDocument/2006/relationships/image" Id="rId29" Target="media/rId29.png" /><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8" Target="https://arxiv.org/abs/2005.11401v4" TargetMode="External" /><Relationship Type="http://schemas.openxmlformats.org/officeDocument/2006/relationships/hyperlink" Id="rId98" Target="https://arxiv.org/abs/2210.03629v3" TargetMode="External" /><Relationship Type="http://schemas.openxmlformats.org/officeDocument/2006/relationships/hyperlink" Id="rId116" Target="https://arxiv.org/abs/2303.11366v4" TargetMode="External" /><Relationship Type="http://schemas.openxmlformats.org/officeDocument/2006/relationships/hyperlink" Id="rId104" Target="https://arxiv.org/abs/2308.08155v2" TargetMode="External" /><Relationship Type="http://schemas.openxmlformats.org/officeDocument/2006/relationships/hyperlink" Id="rId100" Target="https://arxiv.org/abs/2310.08560v2" TargetMode="External" /><Relationship Type="http://schemas.openxmlformats.org/officeDocument/2006/relationships/hyperlink" Id="rId148" Target="https://arxiv.org/abs/2408.06292v3" TargetMode="External" /><Relationship Type="http://schemas.openxmlformats.org/officeDocument/2006/relationships/hyperlink" Id="rId152" Target="https://arxiv.org/abs/2409.05556v1" TargetMode="External" /><Relationship Type="http://schemas.openxmlformats.org/officeDocument/2006/relationships/hyperlink" Id="rId106" Target="https://arxiv.org/abs/2502.00561v2" TargetMode="External" /><Relationship Type="http://schemas.openxmlformats.org/officeDocument/2006/relationships/hyperlink" Id="rId150" Target="https://arxiv.org/abs/2502.18864v2" TargetMode="External" /><Relationship Type="http://schemas.openxmlformats.org/officeDocument/2006/relationships/hyperlink" Id="rId207" Target="https://arxiv.org/abs/2511.04703v1" TargetMode="External" /><Relationship Type="http://schemas.openxmlformats.org/officeDocument/2006/relationships/hyperlink" Id="rId102" Target="https://arxiv.org/abs/2512.24601v3" TargetMode="External" /><Relationship Type="http://schemas.openxmlformats.org/officeDocument/2006/relationships/hyperlink" Id="rId251" Target="https://arxiv.org/abs/2604.06236v1" TargetMode="External" /><Relationship Type="http://schemas.openxmlformats.org/officeDocument/2006/relationships/hyperlink" Id="rId122" Target="https://arxiv.org/abs/2604.14228v2" TargetMode="External" /><Relationship Type="http://schemas.openxmlformats.org/officeDocument/2006/relationships/hyperlink" Id="rId176" Target="https://arxiv.org/abs/2604.15034v5" TargetMode="External" /><Relationship Type="http://schemas.openxmlformats.org/officeDocument/2006/relationships/hyperlink" Id="rId170" Target="https://arxiv.org/abs/2605.09998v1" TargetMode="External" /><Relationship Type="http://schemas.openxmlformats.org/officeDocument/2006/relationships/hyperlink" Id="rId120" Target="https://arxiv.org/abs/2605.18747v1" TargetMode="External" /><Relationship Type="http://schemas.openxmlformats.org/officeDocument/2006/relationships/hyperlink" Id="rId158" Target="https://arxiv.org/abs/2605.26340v1" TargetMode="External" /><Relationship Type="http://schemas.openxmlformats.org/officeDocument/2006/relationships/hyperlink" Id="rId134" Target="https://arxiv.org/abs/2606.01240v1" TargetMode="External" /><Relationship Type="http://schemas.openxmlformats.org/officeDocument/2006/relationships/hyperlink" Id="rId138" Target="https://arxiv.org/abs/2606.05658v1" TargetMode="External" /><Relationship Type="http://schemas.openxmlformats.org/officeDocument/2006/relationships/hyperlink" Id="rId164" Target="https://arxiv.org/abs/2606.07591v5" TargetMode="External" /><Relationship Type="http://schemas.openxmlformats.org/officeDocument/2006/relationships/hyperlink" Id="rId132" Target="https://arxiv.org/abs/2606.09751v2" TargetMode="External" /><Relationship Type="http://schemas.openxmlformats.org/officeDocument/2006/relationships/hyperlink" Id="rId174" Target="https://arxiv.org/abs/2606.10241v1" TargetMode="External" /><Relationship Type="http://schemas.openxmlformats.org/officeDocument/2006/relationships/hyperlink" Id="rId248" Target="https://arxiv.org/abs/2606.11217v1" TargetMode="External" /><Relationship Type="http://schemas.openxmlformats.org/officeDocument/2006/relationships/hyperlink" Id="rId166" Target="https://arxiv.org/abs/2606.11926v1" TargetMode="External" /><Relationship Type="http://schemas.openxmlformats.org/officeDocument/2006/relationships/hyperlink" Id="rId130" Target="https://arxiv.org/abs/2606.19135v1" TargetMode="External" /><Relationship Type="http://schemas.openxmlformats.org/officeDocument/2006/relationships/hyperlink" Id="rId211" Target="https://arxiv.org/abs/2606.19544v1" TargetMode="External" /><Relationship Type="http://schemas.openxmlformats.org/officeDocument/2006/relationships/hyperlink" Id="rId172" Target="https://arxiv.org/abs/2606.28374v1" TargetMode="External" /><Relationship Type="http://schemas.openxmlformats.org/officeDocument/2006/relationships/hyperlink" Id="rId243" Target="https://arxiv.org/abs/2607.02586v1" TargetMode="External" /><Relationship Type="http://schemas.openxmlformats.org/officeDocument/2006/relationships/hyperlink" Id="rId209" Target="https://arxiv.org/abs/2607.08065v2" TargetMode="External" /><Relationship Type="http://schemas.openxmlformats.org/officeDocument/2006/relationships/hyperlink" Id="rId142" Target="https://arxiv.org/abs/2607.08665v1" TargetMode="External" /><Relationship Type="http://schemas.openxmlformats.org/officeDocument/2006/relationships/hyperlink" Id="rId168" Target="https://arxiv.org/abs/2607.09195v1" TargetMode="External" /><Relationship Type="http://schemas.openxmlformats.org/officeDocument/2006/relationships/hyperlink" Id="rId146" Target="https://arxiv.org/abs/2607.09600v2" TargetMode="External" /><Relationship Type="http://schemas.openxmlformats.org/officeDocument/2006/relationships/hyperlink" Id="rId182" Target="https://arxiv.org/abs/2607.12227v2" TargetMode="External" /><Relationship Type="http://schemas.openxmlformats.org/officeDocument/2006/relationships/hyperlink" Id="rId156" Target="https://arxiv.org/abs/2607.12301v1" TargetMode="External" /><Relationship Type="http://schemas.openxmlformats.org/officeDocument/2006/relationships/hyperlink" Id="rId108" Target="https://arxiv.org/abs/2607.12790v2" TargetMode="External" /><Relationship Type="http://schemas.openxmlformats.org/officeDocument/2006/relationships/hyperlink" Id="rId110" Target="https://arxiv.org/abs/2607.24300v1" TargetMode="External" /><Relationship Type="http://schemas.openxmlformats.org/officeDocument/2006/relationships/hyperlink" Id="rId126" Target="https://arxiv.org/abs/2608.00267v2" TargetMode="External" /><Relationship Type="http://schemas.openxmlformats.org/officeDocument/2006/relationships/hyperlink" Id="rId144" Target="https://arxiv.org/abs/2608.00685v1" TargetMode="External" /><Relationship Type="http://schemas.openxmlformats.org/officeDocument/2006/relationships/hyperlink" Id="rId213" Target="https://arxiv.org/abs/2608.00794v3" TargetMode="External" /><Relationship Type="http://schemas.openxmlformats.org/officeDocument/2006/relationships/hyperlink" Id="rId162" Target="https://arxiv.org/abs/2608.01913v1" TargetMode="External" /><Relationship Type="http://schemas.openxmlformats.org/officeDocument/2006/relationships/hyperlink" Id="rId124" Target="https://arxiv.org/abs/2608.01964v1" TargetMode="External" /><Relationship Type="http://schemas.openxmlformats.org/officeDocument/2006/relationships/hyperlink" Id="rId203" Target="https://arxiv.org/abs/2608.02442v1" TargetMode="External" /><Relationship Type="http://schemas.openxmlformats.org/officeDocument/2006/relationships/hyperlink" Id="rId160" Target="https://arxiv.org/abs/2608.03501v1" TargetMode="External" /><Relationship Type="http://schemas.openxmlformats.org/officeDocument/2006/relationships/hyperlink" Id="rId136" Target="https://arxiv.org/abs/2608.03860v1" TargetMode="External" /><Relationship Type="http://schemas.openxmlformats.org/officeDocument/2006/relationships/hyperlink" Id="rId154" Target="https://arxiv.org/abs/2608.04738v2" TargetMode="External" /><Relationship Type="http://schemas.openxmlformats.org/officeDocument/2006/relationships/hyperlink" Id="rId195" Target="https://arxiv.org/abs/2608.06301" TargetMode="External" /><Relationship Type="http://schemas.openxmlformats.org/officeDocument/2006/relationships/hyperlink" Id="rId180" Target="https://arxiv.org/abs/2608.06301v1" TargetMode="External" /><Relationship Type="http://schemas.openxmlformats.org/officeDocument/2006/relationships/hyperlink" Id="rId140" Target="https://arxiv.org/abs/2608.06867v1" TargetMode="External" /><Relationship Type="http://schemas.openxmlformats.org/officeDocument/2006/relationships/hyperlink" Id="rId197" Target="https://arxiv.org/abs/2608.07545" TargetMode="External" /><Relationship Type="http://schemas.openxmlformats.org/officeDocument/2006/relationships/hyperlink" Id="rId255" Target="https://arxiv.org/abs/2608.08709v1" TargetMode="External" /><Relationship Type="http://schemas.openxmlformats.org/officeDocument/2006/relationships/hyperlink" Id="rId178" Target="https://arxiv.org/abs/2608.09096v2" TargetMode="External" /><Relationship Type="http://schemas.openxmlformats.org/officeDocument/2006/relationships/hyperlink" Id="rId114" Target="https://arxiv.org/abs/2608.10858v1" TargetMode="External" /><Relationship Type="http://schemas.openxmlformats.org/officeDocument/2006/relationships/hyperlink" Id="rId253" Target="https://arxiv.org/abs/2608.14905v3" TargetMode="External" /><Relationship Type="http://schemas.openxmlformats.org/officeDocument/2006/relationships/hyperlink" Id="rId189" Target="https://arxiv.org/abs/2608.18312v1" TargetMode="External" /><Relationship Type="http://schemas.openxmlformats.org/officeDocument/2006/relationships/hyperlink" Id="rId199" Target="https://arxiv.org/abs/2608.21156" TargetMode="External" /><Relationship Type="http://schemas.openxmlformats.org/officeDocument/2006/relationships/hyperlink" Id="rId128" Target="https://arxiv.org/abs/2608.21690v1" TargetMode="External" /><Relationship Type="http://schemas.openxmlformats.org/officeDocument/2006/relationships/hyperlink" Id="rId185" Target="https://arxiv.org/abs/2608.23552" TargetMode="External" /><Relationship Type="http://schemas.openxmlformats.org/officeDocument/2006/relationships/hyperlink" Id="rId187" Target="https://arxiv.org/abs/2608.25336v1" TargetMode="External" /><Relationship Type="http://schemas.openxmlformats.org/officeDocument/2006/relationships/hyperlink" Id="rId201" Target="https://arxiv.org/abs/2608.27487v1" TargetMode="External" /><Relationship Type="http://schemas.openxmlformats.org/officeDocument/2006/relationships/hyperlink" Id="rId205" Target="https://arxiv.org/abs/2608.30724v1" TargetMode="External" /><Relationship Type="http://schemas.openxmlformats.org/officeDocument/2006/relationships/hyperlink" Id="rId112"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