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r>
        <w:br/>
      </w: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the calibration labels that arrived were written by a language model rather than a person, and the contribution is the instrument 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labels from an anchor outside the judged pipeline,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the calibration anchor is a language model rather than a person and yields fewer decidable labels than the protocol requires.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One further check separates two very different explanations for that result. Every other</w:t>
      </w:r>
      <w:r>
        <w:t xml:space="preserve"> </w:t>
      </w:r>
      <w:r>
        <w:t xml:space="preserve">quantity recorded per episode was examined for the same thing: how much of its variance</w:t>
      </w:r>
      <w:r>
        <w:t xml:space="preserve"> </w:t>
      </w:r>
      <w:r>
        <w:t xml:space="preserve">lies between condition means. Process quantities separate the conditions sharply, with</w:t>
      </w:r>
      <w:r>
        <w:t xml:space="preserve"> </w:t>
      </w:r>
      <w:r>
        <w:t xml:space="preserve">interface calls at</w:t>
      </w:r>
      <w:r>
        <w:t xml:space="preserve"> </w:t>
      </w:r>
      <m:oMath>
        <m:r>
          <m:t>0.899</m:t>
        </m:r>
      </m:oMath>
      <w:r>
        <w:t xml:space="preserve"> </w:t>
      </w:r>
      <w:r>
        <w:t xml:space="preserve">and</w:t>
      </w:r>
      <w:r>
        <w:t xml:space="preserve"> </w:t>
      </w:r>
      <m:oMath>
        <m:r>
          <m:t>0.951</m:t>
        </m:r>
      </m:oMath>
      <w:r>
        <w:t xml:space="preserve"> </w:t>
      </w:r>
      <w:r>
        <w:t xml:space="preserve">across the two tasks and context tokens at</w:t>
      </w:r>
      <w:r>
        <w:t xml:space="preserve"> </w:t>
      </w:r>
      <m:oMath>
        <m:r>
          <m:t>0.915</m:t>
        </m:r>
      </m:oMath>
      <w:r>
        <w:t xml:space="preserve"> </w:t>
      </w:r>
      <w:r>
        <w:t xml:space="preserve">and</w:t>
      </w:r>
      <w:r>
        <w:t xml:space="preserve"> </w:t>
      </w:r>
      <m:oMath>
        <m:r>
          <m:t>0.925</m:t>
        </m:r>
      </m:oMath>
      <w:r>
        <w:t xml:space="preserve">. Artifact quantities separate them weakly, with artifact size at</w:t>
      </w:r>
      <w:r>
        <w:t xml:space="preserve"> </w:t>
      </w:r>
      <m:oMath>
        <m:r>
          <m:t>0.367</m:t>
        </m:r>
      </m:oMath>
      <w:r>
        <w:t xml:space="preserve"> </w:t>
      </w:r>
      <w:r>
        <w:t xml:space="preserve">and</w:t>
      </w:r>
      <w:r>
        <w:t xml:space="preserve"> </w:t>
      </w:r>
      <m:oMath>
        <m:r>
          <m:t>0.702</m:t>
        </m:r>
      </m:oMath>
      <w:r>
        <w:t xml:space="preserve">. Judged coverage separates them not at all.</w:t>
      </w:r>
    </w:p>
    <w:p>
      <w:pPr>
        <w:pStyle w:val="BodyText"/>
      </w:pPr>
      <w:r>
        <w:t xml:space="preserve">The process figures are close to definitional and are read as a manipulation check rather</w:t>
      </w:r>
      <w:r>
        <w:t xml:space="preserve"> </w:t>
      </w:r>
      <w:r>
        <w:t xml:space="preserve">than as an effect: a condition that supplies more context and more interface access will</w:t>
      </w:r>
      <w:r>
        <w:t xml:space="preserve"> </w:t>
      </w:r>
      <w:r>
        <w:t xml:space="preserve">make more calls and consume more tokens almost by construction. What they establish is that</w:t>
      </w:r>
      <w:r>
        <w:t xml:space="preserve"> </w:t>
      </w:r>
      <w:r>
        <w:t xml:space="preserve">the manipulation took effect, and took effect strongly. Set beside a judged endpoint that</w:t>
      </w:r>
      <w:r>
        <w:t xml:space="preserve"> </w:t>
      </w:r>
      <w:r>
        <w:t xml:space="preserve">sees nothing, this leaves two readings alive. Either the conditions do not change the</w:t>
      </w:r>
      <w:r>
        <w:t xml:space="preserve"> </w:t>
      </w:r>
      <w:r>
        <w:t xml:space="preserve">quality of the artifact, or the endpoint cannot see the change they make. This design</w:t>
      </w:r>
      <w:r>
        <w:t xml:space="preserve"> </w:t>
      </w:r>
      <w:r>
        <w:t xml:space="preserve">cannot distinguish them. The falsified retrieval filter and the near-zero condition</w:t>
      </w:r>
      <w:r>
        <w:t xml:space="preserve"> </w:t>
      </w:r>
      <w:r>
        <w:t xml:space="preserve">component both sit on the second branch, which is a reason to suspect the instrument</w:t>
      </w:r>
      <w:r>
        <w:t xml:space="preserve"> </w:t>
      </w:r>
      <w:r>
        <w:t xml:space="preserve">before concluding anything about the conditions.</w:t>
      </w:r>
    </w:p>
    <w:p>
      <w:pPr>
        <w:pStyle w:val="BodyText"/>
      </w:pPr>
      <w:r>
        <w:t xml:space="preserve">That suspicion was then acted on. The endpoint was rebuilt without the falsified retrieval</w:t>
      </w:r>
      <w:r>
        <w:t xml:space="preserve"> </w:t>
      </w:r>
      <w:r>
        <w:t xml:space="preserve">stage and with a genuine second repeat, so that within-cell variation estimates error</w:t>
      </w:r>
      <w:r>
        <w:t xml:space="preserve"> </w:t>
      </w:r>
      <w:r>
        <w:t xml:space="preserve">directly instead of being confounded with the interaction, which required judging a further</w:t>
      </w:r>
      <w:r>
        <w:t xml:space="preserve"> </w:t>
      </w:r>
      <w:r>
        <w:t xml:space="preserve">forty-two elements on the full artifact. The condition component did not appear. Its share</w:t>
      </w:r>
      <w:r>
        <w:t xml:space="preserve"> </w:t>
      </w:r>
      <w:r>
        <w:t xml:space="preserve">is</w:t>
      </w:r>
      <w:r>
        <w:t xml:space="preserve"> </w:t>
      </w:r>
      <m:oMath>
        <m:r>
          <m:t>0.026</m:t>
        </m:r>
      </m:oMath>
      <w:r>
        <w:t xml:space="preserve"> </w:t>
      </w:r>
      <w:r>
        <w:t xml:space="preserve">in the first task and a clamped zero in the second, against</w:t>
      </w:r>
      <w:r>
        <w:t xml:space="preserve"> </w:t>
      </w:r>
      <m:oMath>
        <m:r>
          <m:t>0.009</m:t>
        </m:r>
      </m:oMath>
      <w:r>
        <w:t xml:space="preserve"> </w:t>
      </w:r>
      <w:r>
        <w:t xml:space="preserve">and zero</w:t>
      </w:r>
      <w:r>
        <w:t xml:space="preserve"> </w:t>
      </w:r>
      <w:r>
        <w:t xml:space="preserve">before repair, while element difficulty and residual continue to dominate.</w:t>
      </w:r>
    </w:p>
    <w:p>
      <w:pPr>
        <w:pStyle w:val="BodyText"/>
      </w:pPr>
      <w:r>
        <w:t xml:space="preserve">This addresses the insensitive-endpoint reading on its own terms and weakens it. The</w:t>
      </w:r>
      <w:r>
        <w:t xml:space="preserve"> </w:t>
      </w:r>
      <w:r>
        <w:t xml:space="preserve">reading that survives better is that these conditions change the process a great deal</w:t>
      </w:r>
      <w:r>
        <w:t xml:space="preserve"> </w:t>
      </w:r>
      <w:r>
        <w:t xml:space="preserve">without changing what a judge sees in the artifact. It is not a null result and is not</w:t>
      </w:r>
      <w:r>
        <w:t xml:space="preserve"> </w:t>
      </w:r>
      <w:r>
        <w:t xml:space="preserve">reported as one: the second task contributed three conditions rather than four because one</w:t>
      </w:r>
      <w:r>
        <w:t xml:space="preserve"> </w:t>
      </w:r>
      <w:r>
        <w:t xml:space="preserve">episode was refused at the ceiling, both tasks rest on two repeats, and the calibration anchor is a model rather than a person, so the verdicts remain inadmissible for scoring. What has been narrowed</w:t>
      </w:r>
      <w:r>
        <w:t xml:space="preserve"> </w:t>
      </w:r>
      <w:r>
        <w:t xml:space="preserve">is which explanation is more plausible, not whether an effect exists.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calibration set 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 remains inadmissible with</w:t>
      </w:r>
      <w:r>
        <w:t xml:space="preserve"> </w:t>
      </w:r>
      <m:oMath>
        <m:r>
          <m:t>19</m:t>
        </m:r>
      </m:oMath>
      <w:r>
        <w:t xml:space="preserve"> </w:t>
      </w:r>
      <w:r>
        <w:t xml:space="preserve">of the required</w:t>
      </w:r>
      <w:r>
        <w:t xml:space="preserve"> </w:t>
      </w:r>
      <m:oMath>
        <m:r>
          <m:t>25</m:t>
        </m:r>
      </m:oMath>
      <w:r>
        <w:t xml:space="preserve"> </w:t>
      </w:r>
      <w:r>
        <w:t xml:space="preserve">decidable labels collected, and those from a model rather than a person,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 calibration set certifies an error bound. Labels were supplied during this work, but by a language model rather than a person, which is why the requirement is restated rather than discharged: a human anchor remains the one component this system cannot produce for itself.</w:t>
      </w:r>
    </w:p>
    <w:p>
      <w:pPr>
        <w:pStyle w:val="BodyText"/>
      </w:pPr>
      <w:r>
        <w:t xml:space="preserve">Those labels arrived while this work was in progress, and their nature changes what they</w:t>
      </w:r>
      <w:r>
        <w:t xml:space="preserve"> </w:t>
      </w:r>
      <w:r>
        <w:t xml:space="preserve">can support. Twenty-five items were labelled, of which</w:t>
      </w:r>
      <w:r>
        <w:t xml:space="preserve"> </w:t>
      </w:r>
      <m:oMath>
        <m:r>
          <m:t>19</m:t>
        </m:r>
      </m:oMath>
      <w:r>
        <w:t xml:space="preserve"> </w:t>
      </w:r>
      <w:r>
        <w:t xml:space="preserve">are decidable and</w:t>
      </w:r>
      <w:r>
        <w:t xml:space="preserve"> </w:t>
      </w:r>
      <m:oMath>
        <m:r>
          <m:t>6</m:t>
        </m:r>
      </m:oMath>
      <w:r>
        <w:t xml:space="preserve"> </w:t>
      </w:r>
      <w:r>
        <w:t xml:space="preserve">are</w:t>
      </w:r>
      <w:r>
        <w:t xml:space="preserve"> </w:t>
      </w:r>
      <w:r>
        <w:t xml:space="preserve">marked unclear and excluded by protocol. A blind second pass agrees on</w:t>
      </w:r>
      <w:r>
        <w:t xml:space="preserve"> </w:t>
      </w:r>
      <m:oMath>
        <m:r>
          <m:t>24</m:t>
        </m:r>
      </m:oMath>
      <w:r>
        <w:t xml:space="preserve"> </w:t>
      </w:r>
      <w:r>
        <w:t xml:space="preserve">of</w:t>
      </w:r>
      <w:r>
        <w:t xml:space="preserve"> </w:t>
      </w:r>
      <m:oMath>
        <m:r>
          <m:t>25</m:t>
        </m:r>
      </m:oMath>
      <w:r>
        <w:t xml:space="preserve"> </w:t>
      </w:r>
      <w:r>
        <w:t xml:space="preserve">items</w:t>
      </w:r>
      <w:r>
        <w:t xml:space="preserve"> </w:t>
      </w:r>
      <w:r>
        <w:t xml:space="preserve">and on</w:t>
      </w:r>
      <w:r>
        <w:t xml:space="preserve"> </w:t>
      </w:r>
      <m:oMath>
        <m:r>
          <m:t>18</m:t>
        </m:r>
      </m:oMath>
      <w:r>
        <w:t xml:space="preserve"> </w:t>
      </w:r>
      <w:r>
        <w:t xml:space="preserve">of the</w:t>
      </w:r>
      <w:r>
        <w:t xml:space="preserve"> </w:t>
      </w:r>
      <m:oMath>
        <m:r>
          <m:t>18</m:t>
        </m:r>
      </m:oMath>
      <w:r>
        <w:t xml:space="preserve"> </w:t>
      </w:r>
      <w:r>
        <w:t xml:space="preserve">pairs where neither pass says unclear. Both passes, however, were</w:t>
      </w:r>
      <w:r>
        <w:t xml:space="preserve"> </w:t>
      </w:r>
      <w:r>
        <w:t xml:space="preserve">performed by language models rather than by people. The set is therefore named a</w:t>
      </w:r>
      <w:r>
        <w:t xml:space="preserve"> </w:t>
      </w:r>
      <w:r>
        <w:t xml:space="preserve">model-anchored calibration set throughout, never a human-anchored one. Provider</w:t>
      </w:r>
      <w:r>
        <w:t xml:space="preserve"> </w:t>
      </w:r>
      <w:r>
        <w:t xml:space="preserve">independence is preserved, because the labeller is from a different provider family than</w:t>
      </w:r>
      <w:r>
        <w:t xml:space="preserve"> </w:t>
      </w:r>
      <w:r>
        <w:t xml:space="preserve">both the judges and the treatment model, but a different provider is not a different kind</w:t>
      </w:r>
      <w:r>
        <w:t xml:space="preserve"> </w:t>
      </w:r>
      <w:r>
        <w:t xml:space="preserve">of reader: systematic misreadings common to language models would be inherited rather than</w:t>
      </w:r>
      <w:r>
        <w:t xml:space="preserve"> </w:t>
      </w:r>
      <w:r>
        <w:t xml:space="preserve">detected, and an agreement figure computed between two models cannot reveal that. Judged</w:t>
      </w:r>
      <w:r>
        <w:t xml:space="preserve"> </w:t>
      </w:r>
      <w:r>
        <w:t xml:space="preserve">scoring accordingly remains inadmissible, on two separate grounds: too few decidable labels,</w:t>
      </w:r>
      <w:r>
        <w:t xml:space="preserve"> </w:t>
      </w:r>
      <w:r>
        <w:t xml:space="preserve">and an anchor that is not human.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 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the calibration labels that arrived were written by a language model rather than a person, and the contribution is the instrument discipline and its recorded failures rather than a measured effect.</vt:lpwstr>
  </property>
  <property fmtid="{D5CDD505-2E9C-101B-9397-08002B2CF9AE}" pid="3" name="date">
    <vt:lpwstr>September 2026</vt:lpwstr>
  </property>
</Properties>
</file>