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40"/>
      </w:pPr>
      <w:r>
        <w:rPr>
          <w:rFonts w:ascii="Arial" w:cs="Arial" w:eastAsia="Arial" w:hAnsi="Arial"/>
          <w:b/>
          <w:bCs/>
          <w:color w:val="888888"/>
          <w:sz w:val="44"/>
          <w:szCs w:val="44"/>
        </w:rPr>
        <w:t xml:space="preserve">AI-Built Tool</w:t>
      </w:r>
    </w:p>
    <w:p>
      <w:pPr>
        <w:spacing w:before="0" w:after="80"/>
      </w:pPr>
      <w:r>
        <w:rPr>
          <w:rFonts w:ascii="Arial" w:cs="Arial" w:eastAsia="Arial" w:hAnsi="Arial"/>
          <w:b/>
          <w:bCs/>
          <w:color w:val="6B1A29"/>
          <w:sz w:val="52"/>
          <w:szCs w:val="52"/>
        </w:rPr>
        <w:t xml:space="preserve">Code Intake</w:t>
      </w:r>
    </w:p>
    <w:p>
      <w:pPr>
        <w:spacing w:before="0" w:after="60"/>
      </w:pPr>
      <w:r>
        <w:rPr>
          <w:rFonts w:ascii="Arial" w:cs="Arial" w:eastAsia="Arial" w:hAnsi="Arial"/>
          <w:i/>
          <w:iCs/>
          <w:color w:val="555555"/>
          <w:sz w:val="22"/>
          <w:szCs w:val="22"/>
        </w:rPr>
        <w:t xml:space="preserve">Governance framework and intake specification for AI-assisted code</w:t>
      </w:r>
    </w:p>
    <w:p>
      <w:pPr>
        <w:pBdr>
          <w:bottom w:val="single" w:color="6B1A29" w:sz="8" w:space="8"/>
        </w:pBdr>
        <w:spacing w:before="0" w:after="0"/>
      </w:pPr>
      <w:r>
        <w:rPr>
          <w:rFonts w:ascii="Arial" w:cs="Arial" w:eastAsia="Arial" w:hAnsi="Arial"/>
          <w:color w:val="888888"/>
          <w:sz w:val="18"/>
          <w:szCs w:val="18"/>
        </w:rPr>
        <w:t xml:space="preserve">Zachary Rossmiller, CIO, University of Montana  ·  v1.0 Draft  ·  2026</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1A29" w:val="clear"/>
            <w:tcMar>
              <w:top w:type="dxa" w:w="100"/>
              <w:left w:type="dxa" w:w="200"/>
              <w:bottom w:type="dxa" w:w="100"/>
              <w:right w:type="dxa" w:w="200"/>
            </w:tcMar>
          </w:tcPr>
          <w:p>
            <w:pPr>
              <w:jc w:val="center"/>
            </w:pPr>
            <w:r>
              <w:rPr>
                <w:rFonts w:ascii="Arial" w:cs="Arial" w:eastAsia="Arial" w:hAnsi="Arial"/>
                <w:b/>
                <w:bCs/>
                <w:caps/>
                <w:color w:val="FFFFFF"/>
                <w:sz w:val="20"/>
                <w:szCs w:val="20"/>
              </w:rPr>
              <w:t xml:space="preserve">Part 1 — Framework</w:t>
            </w:r>
          </w:p>
        </w:tc>
      </w:tr>
    </w:tbl>
    <w:p>
      <w:pPr>
        <w:spacing w:before="16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Purpose and Framing</w:t>
      </w:r>
    </w:p>
    <w:p>
      <w:pPr>
        <w:spacing w:before="60" w:after="60"/>
      </w:pPr>
      <w:r>
        <w:rPr>
          <w:rFonts w:ascii="Arial" w:cs="Arial" w:eastAsia="Arial" w:hAnsi="Arial"/>
          <w:color w:val="1a1a1a"/>
          <w:sz w:val="20"/>
          <w:szCs w:val="20"/>
        </w:rPr>
        <w:t xml:space="preserve">This document is the governance framework and operational specification for the AI-Built Tool Code Intake process. It covers the 'why' behind the process, the intake form question by question, the routing logic that determines what review a submission receives, and the tier requirements that govern what happens before a tool goes to production.</w:t>
      </w:r>
    </w:p>
    <w:p>
      <w:pPr>
        <w:spacing w:before="60" w:after="0"/>
      </w:pPr>
      <w:r>
        <w:t xml:space="preserve"/>
      </w:r>
    </w:p>
    <w:p>
      <w:pPr>
        <w:spacing w:before="60" w:after="60"/>
      </w:pPr>
      <w:r>
        <w:rPr>
          <w:rFonts w:ascii="Arial" w:cs="Arial" w:eastAsia="Arial" w:hAnsi="Arial"/>
          <w:color w:val="1a1a1a"/>
          <w:sz w:val="20"/>
          <w:szCs w:val="20"/>
        </w:rPr>
        <w:t xml:space="preserve">The purpose of this process is to ensure that custom AI-assisted code meets campus security standards, follows best practice coding principles, and satisfies WCAG 2.1 AA accessibility requirements before reaching production. It is similar in intent to a software requisition process — but for custom-built code rather than purchased software.</w:t>
      </w:r>
    </w:p>
    <w:p>
      <w:pPr>
        <w:spacing w:before="60" w:after="0"/>
      </w:pPr>
      <w:r>
        <w:t xml:space="preserve"/>
      </w:r>
    </w:p>
    <w:p>
      <w:pPr>
        <w:spacing w:before="60" w:after="60"/>
      </w:pPr>
      <w:r>
        <w:rPr>
          <w:rFonts w:ascii="Arial" w:cs="Arial" w:eastAsia="Arial" w:hAnsi="Arial"/>
          <w:color w:val="1a1a1a"/>
          <w:sz w:val="20"/>
          <w:szCs w:val="20"/>
        </w:rPr>
        <w:t xml:space="preserve">This document walks through the intake form question by question, explains the routing logic behind each section, and defines how submissions are scored, triaged, and routed into the appropriate review pipeline.</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Quick Start</w:t>
      </w:r>
    </w:p>
    <w:p>
      <w:pPr>
        <w:spacing w:before="60" w:after="60"/>
      </w:pPr>
      <w:r>
        <w:rPr>
          <w:rFonts w:ascii="Arial" w:cs="Arial" w:eastAsia="Arial" w:hAnsi="Arial"/>
          <w:color w:val="1a1a1a"/>
          <w:sz w:val="20"/>
          <w:szCs w:val="20"/>
        </w:rPr>
        <w:t xml:space="preserve">If you built a tool with AI assistance and want to share it beyond yourself, here is what you need to do:</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Complete the intake form in Part 2 of this document. Your answers determine your score and routing tier.</w:t>
      </w:r>
    </w:p>
    <w:p>
      <w:pPr>
        <w:pStyle w:val="ListParagraph"/>
        <w:numPr>
          <w:ilvl w:val="0"/>
          <w:numId w:val="2"/>
        </w:numPr>
        <w:spacing w:before="40" w:after="40"/>
      </w:pPr>
      <w:r>
        <w:rPr>
          <w:rFonts w:ascii="Arial" w:cs="Arial" w:eastAsia="Arial" w:hAnsi="Arial"/>
          <w:b w:val="false"/>
          <w:bCs w:val="false"/>
          <w:color w:val="1a1a1a"/>
          <w:sz w:val="20"/>
          <w:szCs w:val="20"/>
        </w:rPr>
        <w:t xml:space="preserve">Check whether any Escalation Conditions apply. If any do, stop and contact IT regardless of your score.</w:t>
      </w:r>
    </w:p>
    <w:p>
      <w:pPr>
        <w:pStyle w:val="ListParagraph"/>
        <w:numPr>
          <w:ilvl w:val="0"/>
          <w:numId w:val="2"/>
        </w:numPr>
        <w:spacing w:before="40" w:after="40"/>
      </w:pPr>
      <w:r>
        <w:rPr>
          <w:rFonts w:ascii="Arial" w:cs="Arial" w:eastAsia="Arial" w:hAnsi="Arial"/>
          <w:b w:val="false"/>
          <w:bCs w:val="false"/>
          <w:color w:val="1a1a1a"/>
          <w:sz w:val="20"/>
          <w:szCs w:val="20"/>
        </w:rPr>
        <w:t xml:space="preserve">Find your tier in the Score Summary table and follow the requirements for that tier.</w:t>
      </w:r>
    </w:p>
    <w:p>
      <w:pPr>
        <w:spacing w:before="80" w:after="0"/>
      </w:pPr>
      <w:r>
        <w:t xml:space="preserve"/>
      </w:r>
    </w:p>
    <w:p>
      <w:pPr>
        <w:spacing w:before="60" w:after="60"/>
      </w:pPr>
      <w:r>
        <w:rPr>
          <w:rFonts w:ascii="Arial" w:cs="Arial" w:eastAsia="Arial" w:hAnsi="Arial"/>
          <w:i/>
          <w:iCs/>
          <w:color w:val="1a1a1a"/>
          <w:sz w:val="20"/>
          <w:szCs w:val="20"/>
        </w:rPr>
        <w:t xml:space="preserve">That is the whole process. All submitted code goes through the automated review pipeline regardless of track. The track determines what human oversight layer sits on top of the automated review. Part 1 explains why the framework is structured this way and where it comes from. You do not need to read all of it to use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Weighted Score</w:t>
            </w:r>
          </w:p>
        </w:tc>
        <w:tc>
          <w:tcPr>
            <w:tcW w:type="dxa" w:w="18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596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What Happens Next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1800"/>
            <w:tcBorders>
              <w:top w:val="single" w:color="CCCCCC" w:sz="2"/>
              <w:left w:val="single" w:color="CCCCCC" w:sz="2"/>
              <w:bottom w:val="single" w:color="CCCCCC" w:sz="2"/>
              <w:right w:val="single" w:color="CCCCCC" w:sz="2"/>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Track 1</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Acknowledge findings and register.</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1800"/>
            <w:tcBorders>
              <w:top w:val="single" w:color="CCCCCC" w:sz="2"/>
              <w:left w:val="single" w:color="CCCCCC" w:sz="2"/>
              <w:bottom w:val="single" w:color="CCCCCC" w:sz="2"/>
              <w:right w:val="single" w:color="CCCCCC" w:sz="2"/>
            </w:tcBorders>
            <w:shd w:fill="FFF8E1" w:val="clear"/>
            <w:tcMar>
              <w:top w:type="dxa" w:w="80"/>
              <w:left w:type="dxa" w:w="100"/>
              <w:bottom w:type="dxa" w:w="80"/>
              <w:right w:type="dxa" w:w="100"/>
            </w:tcMar>
          </w:tcPr>
          <w:p>
            <w:r>
              <w:rPr>
                <w:rFonts w:ascii="Arial" w:cs="Arial" w:eastAsia="Arial" w:hAnsi="Arial"/>
                <w:b/>
                <w:bCs/>
                <w:color w:val="B8860B"/>
                <w:sz w:val="18"/>
                <w:szCs w:val="18"/>
              </w:rPr>
              <w:t xml:space="preserve">Track 2</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Complete Self-Assessment and self-certify.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1800"/>
            <w:tcBorders>
              <w:top w:val="single" w:color="CCCCCC" w:sz="2"/>
              <w:left w:val="single" w:color="CCCCCC" w:sz="2"/>
              <w:bottom w:val="single" w:color="CCCCCC" w:sz="2"/>
              <w:right w:val="single" w:color="CCCCCC" w:sz="2"/>
            </w:tcBorders>
            <w:shd w:fill="FFF3E0" w:val="clear"/>
            <w:tcMar>
              <w:top w:type="dxa" w:w="80"/>
              <w:left w:type="dxa" w:w="100"/>
              <w:bottom w:type="dxa" w:w="80"/>
              <w:right w:type="dxa" w:w="100"/>
            </w:tcMar>
          </w:tcPr>
          <w:p>
            <w:r>
              <w:rPr>
                <w:rFonts w:ascii="Arial" w:cs="Arial" w:eastAsia="Arial" w:hAnsi="Arial"/>
                <w:b/>
                <w:bCs/>
                <w:color w:val="E65100"/>
                <w:sz w:val="18"/>
                <w:szCs w:val="18"/>
              </w:rPr>
              <w:t xml:space="preserve">Track 3</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IT reviews findings and issues sign-off.</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Very High or any escalation condition</w:t>
            </w:r>
          </w:p>
        </w:tc>
        <w:tc>
          <w:tcPr>
            <w:tcW w:type="dxa" w:w="1800"/>
            <w:tcBorders>
              <w:top w:val="single" w:color="CCCCCC" w:sz="2"/>
              <w:left w:val="single" w:color="CCCCCC" w:sz="2"/>
              <w:bottom w:val="single" w:color="CCCCCC" w:sz="2"/>
              <w:right w:val="single" w:color="CCCCCC" w:sz="2"/>
            </w:tcBorders>
            <w:shd w:fill="FFEBEE" w:val="clear"/>
            <w:tcMar>
              <w:top w:type="dxa" w:w="80"/>
              <w:left w:type="dxa" w:w="100"/>
              <w:bottom w:type="dxa" w:w="80"/>
              <w:right w:type="dxa" w:w="100"/>
            </w:tcMar>
          </w:tcPr>
          <w:p>
            <w:r>
              <w:rPr>
                <w:rFonts w:ascii="Arial" w:cs="Arial" w:eastAsia="Arial" w:hAnsi="Arial"/>
                <w:b/>
                <w:bCs/>
                <w:color w:val="B71C1C"/>
                <w:sz w:val="18"/>
                <w:szCs w:val="18"/>
              </w:rPr>
              <w:t xml:space="preserve">Track 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Stop. Formal IT project required before production.</w:t>
            </w:r>
          </w:p>
        </w:tc>
      </w:tr>
    </w:tbl>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Framework Lineage and Basis</w:t>
      </w:r>
    </w:p>
    <w:p>
      <w:pPr>
        <w:spacing w:before="60" w:after="60"/>
      </w:pPr>
      <w:r>
        <w:rPr>
          <w:rFonts w:ascii="Arial" w:cs="Arial" w:eastAsia="Arial" w:hAnsi="Arial"/>
          <w:color w:val="1a1a1a"/>
          <w:sz w:val="20"/>
          <w:szCs w:val="20"/>
        </w:rPr>
        <w:t xml:space="preserve">This framework synthesizes established patterns from multiple recognized sources, adapted for the realities of AI-assisted development in higher education:</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NIST AI Risk Management Framework (AI RMF 1.0, 2023): risk-tiered routing where scrutiny is proportional to impact rather than applied uniformly</w:t>
      </w:r>
    </w:p>
    <w:p>
      <w:pPr>
        <w:pStyle w:val="ListParagraph"/>
        <w:numPr>
          <w:ilvl w:val="0"/>
          <w:numId w:val="2"/>
        </w:numPr>
        <w:spacing w:before="40" w:after="40"/>
      </w:pPr>
      <w:r>
        <w:rPr>
          <w:rFonts w:ascii="Arial" w:cs="Arial" w:eastAsia="Arial" w:hAnsi="Arial"/>
          <w:b w:val="false"/>
          <w:bCs w:val="false"/>
          <w:color w:val="1a1a1a"/>
          <w:sz w:val="20"/>
          <w:szCs w:val="20"/>
        </w:rPr>
        <w:t xml:space="preserve">ITIL Change Management: classification of changes into standard, normal, and emergency tiers based on risk and complexity</w:t>
      </w:r>
    </w:p>
    <w:p>
      <w:pPr>
        <w:pStyle w:val="ListParagraph"/>
        <w:numPr>
          <w:ilvl w:val="0"/>
          <w:numId w:val="2"/>
        </w:numPr>
        <w:spacing w:before="40" w:after="40"/>
      </w:pPr>
      <w:r>
        <w:rPr>
          <w:rFonts w:ascii="Arial" w:cs="Arial" w:eastAsia="Arial" w:hAnsi="Arial"/>
          <w:b w:val="false"/>
          <w:bCs w:val="false"/>
          <w:color w:val="1a1a1a"/>
          <w:sz w:val="20"/>
          <w:szCs w:val="20"/>
        </w:rPr>
        <w:t xml:space="preserve">WitnessAI Agentic Governance Framework: end-to-end lifecycle governance including agent identity, human-in-the-loop controls, access restrictions, and auditability</w:t>
      </w:r>
    </w:p>
    <w:p>
      <w:pPr>
        <w:pStyle w:val="ListParagraph"/>
        <w:numPr>
          <w:ilvl w:val="0"/>
          <w:numId w:val="2"/>
        </w:numPr>
        <w:spacing w:before="40" w:after="40"/>
      </w:pPr>
      <w:r>
        <w:rPr>
          <w:rFonts w:ascii="Arial" w:cs="Arial" w:eastAsia="Arial" w:hAnsi="Arial"/>
          <w:b w:val="false"/>
          <w:bCs w:val="false"/>
          <w:color w:val="1a1a1a"/>
          <w:sz w:val="20"/>
          <w:szCs w:val="20"/>
        </w:rPr>
        <w:t xml:space="preserve">REI Systems Public Sector Agentic AI Lifecycle: phased approach to AI autonomy with escalating risk-based controls and dynamic oversight</w:t>
      </w:r>
    </w:p>
    <w:p>
      <w:pPr>
        <w:pStyle w:val="ListParagraph"/>
        <w:numPr>
          <w:ilvl w:val="0"/>
          <w:numId w:val="2"/>
        </w:numPr>
        <w:spacing w:before="40" w:after="40"/>
      </w:pPr>
      <w:r>
        <w:rPr>
          <w:rFonts w:ascii="Arial" w:cs="Arial" w:eastAsia="Arial" w:hAnsi="Arial"/>
          <w:b w:val="false"/>
          <w:bCs w:val="false"/>
          <w:color w:val="1a1a1a"/>
          <w:sz w:val="20"/>
          <w:szCs w:val="20"/>
        </w:rPr>
        <w:t xml:space="preserve">Agentic Trust Framework (ATF, Cloud Security Alliance): Zero Trust principles applied to AI agents and alignment with OWASP standards</w:t>
      </w:r>
    </w:p>
    <w:p>
      <w:pPr>
        <w:pStyle w:val="ListParagraph"/>
        <w:numPr>
          <w:ilvl w:val="0"/>
          <w:numId w:val="2"/>
        </w:numPr>
        <w:spacing w:before="40" w:after="40"/>
      </w:pPr>
      <w:r>
        <w:rPr>
          <w:rFonts w:ascii="Arial" w:cs="Arial" w:eastAsia="Arial" w:hAnsi="Arial"/>
          <w:b w:val="false"/>
          <w:bCs w:val="false"/>
          <w:color w:val="1a1a1a"/>
          <w:sz w:val="20"/>
          <w:szCs w:val="20"/>
        </w:rPr>
        <w:t xml:space="preserve">KPMG Agentic AI Framework: layered security, rollback protocols, and scope constraints on data access and decision authority</w:t>
      </w:r>
    </w:p>
    <w:p>
      <w:pPr>
        <w:pStyle w:val="ListParagraph"/>
        <w:numPr>
          <w:ilvl w:val="0"/>
          <w:numId w:val="2"/>
        </w:numPr>
        <w:spacing w:before="40" w:after="40"/>
      </w:pPr>
      <w:r>
        <w:rPr>
          <w:rFonts w:ascii="Arial" w:cs="Arial" w:eastAsia="Arial" w:hAnsi="Arial"/>
          <w:b w:val="false"/>
          <w:bCs w:val="false"/>
          <w:color w:val="1a1a1a"/>
          <w:sz w:val="20"/>
          <w:szCs w:val="20"/>
        </w:rPr>
        <w:t xml:space="preserve">EDUCAUSE AI Governance Action Plan (2024): three-part institutional structure of governance, operations, and pedagogy; dynamic oversight principles for higher education</w:t>
      </w:r>
    </w:p>
    <w:p>
      <w:pPr>
        <w:pStyle w:val="ListParagraph"/>
        <w:numPr>
          <w:ilvl w:val="0"/>
          <w:numId w:val="2"/>
        </w:numPr>
        <w:spacing w:before="40" w:after="40"/>
      </w:pPr>
      <w:r>
        <w:rPr>
          <w:rFonts w:ascii="Arial" w:cs="Arial" w:eastAsia="Arial" w:hAnsi="Arial"/>
          <w:b w:val="false"/>
          <w:bCs w:val="false"/>
          <w:color w:val="1a1a1a"/>
          <w:sz w:val="20"/>
          <w:szCs w:val="20"/>
        </w:rPr>
        <w:t xml:space="preserve">EDUCAUSE AI Ethical Guidelines (2025): Beneficence, Respect for Autonomy, Transparency and Explainability, and Accountability; emphasis on avoiding black-box systems</w:t>
      </w:r>
    </w:p>
    <w:p>
      <w:pPr>
        <w:spacing w:before="80" w:after="0"/>
      </w:pPr>
      <w:r>
        <w:t xml:space="preserve"/>
      </w:r>
    </w:p>
    <w:p>
      <w:pPr>
        <w:spacing w:before="60" w:after="60"/>
      </w:pPr>
      <w:r>
        <w:rPr>
          <w:rFonts w:ascii="Arial" w:cs="Arial" w:eastAsia="Arial" w:hAnsi="Arial"/>
          <w:color w:val="1a1a1a"/>
          <w:sz w:val="20"/>
          <w:szCs w:val="20"/>
        </w:rPr>
        <w:t xml:space="preserve">Only 9% of higher education institutions report that their existing cybersecurity and privacy policies are adequate for AI risks (EDTech Magazine / EDUCAUSE, 2026). This framework is a direct response to that gap.</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Guiding Ethical Principles</w:t>
      </w:r>
    </w:p>
    <w:p>
      <w:pPr>
        <w:spacing w:before="60" w:after="60"/>
      </w:pPr>
      <w:r>
        <w:rPr>
          <w:rFonts w:ascii="Arial" w:cs="Arial" w:eastAsia="Arial" w:hAnsi="Arial"/>
          <w:color w:val="1a1a1a"/>
          <w:sz w:val="20"/>
          <w:szCs w:val="20"/>
        </w:rPr>
        <w:t xml:space="preserve">This framework adopts the EDUCAUSE AI Ethical Guidelines (2025) as its normative foundation. Each principle is mapped to specific intake questions, scoring dimensions, and review checkpoints.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Principle</w:t>
            </w:r>
          </w:p>
        </w:tc>
        <w:tc>
          <w:tcPr>
            <w:tcW w:type="dxa" w:w="24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What It Means</w:t>
            </w:r>
          </w:p>
        </w:tc>
        <w:tc>
          <w:tcPr>
            <w:tcW w:type="dxa" w:w="268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Review Question</w:t>
            </w:r>
          </w:p>
        </w:tc>
        <w:tc>
          <w:tcPr>
            <w:tcW w:type="dxa" w:w="268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Where It Applies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1a1a1a"/>
                <w:sz w:val="16"/>
                <w:szCs w:val="16"/>
              </w:rPr>
              <w:t xml:space="preserve">Beneficence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The tool must produce genuine benefit for students, staff, or the institution — not just convenience for the builder.</w:t>
            </w:r>
          </w:p>
        </w:tc>
        <w:tc>
          <w:tcPr>
            <w:tcW w:type="dxa" w:w="26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Who benefits from this tool, and is that benefit real and equitable?</w:t>
            </w:r>
          </w:p>
        </w:tc>
        <w:tc>
          <w:tcPr>
            <w:tcW w:type="dxa" w:w="26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Self-Assessment: intended beneficiaries and measurable outcomes; Track 3 review: equity check. Note: Blast Radius measures reach, not benefit.</w:t>
            </w:r>
          </w:p>
        </w:tc>
      </w:tr>
      <w:tr>
        <w:tc>
          <w:tcPr>
            <w:tcW w:type="dxa" w:w="160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bCs/>
                <w:color w:val="1a1a1a"/>
                <w:sz w:val="16"/>
                <w:szCs w:val="16"/>
              </w:rPr>
              <w:t xml:space="preserve">Respect for Autonomy</w:t>
            </w:r>
          </w:p>
        </w:tc>
        <w:tc>
          <w:tcPr>
            <w:tcW w:type="dxa" w:w="240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People affected by the tool must know it exists, understand what it does, and retain meaningful agency over decisions it influences.</w:t>
            </w:r>
          </w:p>
        </w:tc>
        <w:tc>
          <w:tcPr>
            <w:tcW w:type="dxa" w:w="268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Do affected people know this tool exists and what it does to or for them?</w:t>
            </w:r>
          </w:p>
        </w:tc>
        <w:tc>
          <w:tcPr>
            <w:tcW w:type="dxa" w:w="268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Pedagogy escalation conditions (student awareness); Track 3 review includes user disclosure assessment; post-production monitoring requires user-facing documentation.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1a1a1a"/>
                <w:sz w:val="16"/>
                <w:szCs w:val="16"/>
              </w:rPr>
              <w:t xml:space="preserve">Transparency and Explainability</w:t>
            </w:r>
          </w:p>
        </w:tc>
        <w:tc>
          <w:tcPr>
            <w:tcW w:type="dxa" w:w="2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The tool's logic, data sources, and outputs must be explainable to a non-technical reviewer. Black-box systems are not acceptable in production.</w:t>
            </w:r>
          </w:p>
        </w:tc>
        <w:tc>
          <w:tcPr>
            <w:tcW w:type="dxa" w:w="26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Can someone other than the builder explain how this tool reaches its outputs?</w:t>
            </w:r>
          </w:p>
        </w:tc>
        <w:tc>
          <w:tcPr>
            <w:tcW w:type="dxa" w:w="26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6"/>
                <w:szCs w:val="16"/>
              </w:rPr>
              <w:t xml:space="preserve">Builder Comprehension dimension (0-3); plain-language explanation required at Pilot and above; score of 3 routes to Track 4 via weighted total.</w:t>
            </w:r>
          </w:p>
        </w:tc>
      </w:tr>
      <w:tr>
        <w:tc>
          <w:tcPr>
            <w:tcW w:type="dxa" w:w="160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bCs/>
                <w:color w:val="1a1a1a"/>
                <w:sz w:val="16"/>
                <w:szCs w:val="16"/>
              </w:rPr>
              <w:t xml:space="preserve">Accountability and Responsibility</w:t>
            </w:r>
          </w:p>
        </w:tc>
        <w:tc>
          <w:tcPr>
            <w:tcW w:type="dxa" w:w="240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A named individual or team must be explicitly responsible for the tool's behavior, impacts, and ongoing maintenance.</w:t>
            </w:r>
          </w:p>
        </w:tc>
        <w:tc>
          <w:tcPr>
            <w:tcW w:type="dxa" w:w="268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If this tool causes harm, who is responsible and how would we know?</w:t>
            </w:r>
          </w:p>
        </w:tc>
        <w:tc>
          <w:tcPr>
            <w:tcW w:type="dxa" w:w="2680"/>
            <w:tcBorders>
              <w:top w:val="single" w:color="CCCCCC" w:sz="2"/>
              <w:left w:val="single" w:color="CCCCCC" w:sz="2"/>
              <w:bottom w:val="single" w:color="CCCCCC" w:sz="2"/>
              <w:right w:val="single" w:color="CCCCCC" w:sz="2"/>
            </w:tcBorders>
            <w:shd w:fill="F5F5F5" w:val="clear"/>
            <w:tcMar>
              <w:top w:type="dxa" w:w="80"/>
              <w:left w:type="dxa" w:w="100"/>
              <w:bottom w:type="dxa" w:w="80"/>
              <w:right w:type="dxa" w:w="100"/>
            </w:tcMar>
          </w:tcPr>
          <w:p>
            <w:r>
              <w:rPr>
                <w:rFonts w:ascii="Arial" w:cs="Arial" w:eastAsia="Arial" w:hAnsi="Arial"/>
                <w:b w:val="false"/>
                <w:bCs w:val="false"/>
                <w:color w:val="1a1a1a"/>
                <w:sz w:val="16"/>
                <w:szCs w:val="16"/>
              </w:rPr>
              <w:t xml:space="preserve">Ownership transfer requirement (all tiers); version-specific sign-off; tool registry with designated owner; 30-day grace period on ownership lapse.</w:t>
            </w:r>
          </w:p>
        </w:tc>
      </w:tr>
    </w:tbl>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Existing Tools and the Onboarding Path</w:t>
      </w:r>
    </w:p>
    <w:p>
      <w:pPr>
        <w:spacing w:before="60" w:after="60"/>
      </w:pPr>
      <w:r>
        <w:rPr>
          <w:rFonts w:ascii="Arial" w:cs="Arial" w:eastAsia="Arial" w:hAnsi="Arial"/>
          <w:color w:val="1a1a1a"/>
          <w:sz w:val="20"/>
          <w:szCs w:val="20"/>
        </w:rPr>
        <w:t xml:space="preserve">Tools are already in production at most institutions without formal review. Institutions adopting this framework should establish a 90-day onboarding window during which owners of existing tools self-register and complete a retrospective triage using the same intake form.</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Track 1 score: registration only. No further action required.</w:t>
      </w:r>
    </w:p>
    <w:p>
      <w:pPr>
        <w:pStyle w:val="ListParagraph"/>
        <w:numPr>
          <w:ilvl w:val="0"/>
          <w:numId w:val="2"/>
        </w:numPr>
        <w:spacing w:before="40" w:after="40"/>
      </w:pPr>
      <w:r>
        <w:rPr>
          <w:rFonts w:ascii="Arial" w:cs="Arial" w:eastAsia="Arial" w:hAnsi="Arial"/>
          <w:b w:val="false"/>
          <w:bCs w:val="false"/>
          <w:color w:val="1a1a1a"/>
          <w:sz w:val="20"/>
          <w:szCs w:val="20"/>
        </w:rPr>
        <w:t xml:space="preserve">Track 2 score: complete the Self-Assessment within 90 days or be suspended from production use.</w:t>
      </w:r>
    </w:p>
    <w:p>
      <w:pPr>
        <w:pStyle w:val="ListParagraph"/>
        <w:numPr>
          <w:ilvl w:val="0"/>
          <w:numId w:val="2"/>
        </w:numPr>
        <w:spacing w:before="40" w:after="40"/>
      </w:pPr>
      <w:r>
        <w:rPr>
          <w:rFonts w:ascii="Arial" w:cs="Arial" w:eastAsia="Arial" w:hAnsi="Arial"/>
          <w:b w:val="false"/>
          <w:bCs w:val="false"/>
          <w:color w:val="1a1a1a"/>
          <w:sz w:val="20"/>
          <w:szCs w:val="20"/>
        </w:rPr>
        <w:t xml:space="preserve">Track 3 or Track 4 score: report to IT immediately. Remediation timeline agreed between owner and IT. Tool may remain in limited use during remediation at IT's discretion with documented acknowledgment of risk.</w:t>
      </w:r>
    </w:p>
    <w:p>
      <w:pPr>
        <w:pStyle w:val="ListParagraph"/>
        <w:numPr>
          <w:ilvl w:val="0"/>
          <w:numId w:val="2"/>
        </w:numPr>
        <w:spacing w:before="40" w:after="40"/>
      </w:pPr>
      <w:r>
        <w:rPr>
          <w:rFonts w:ascii="Arial" w:cs="Arial" w:eastAsia="Arial" w:hAnsi="Arial"/>
          <w:b w:val="false"/>
          <w:bCs w:val="false"/>
          <w:color w:val="1a1a1a"/>
          <w:sz w:val="20"/>
          <w:szCs w:val="20"/>
        </w:rPr>
        <w:t xml:space="preserve">No identifiable owner: flagged for IT review. If no owner identified within 30 days, tool is suspended.</w:t>
      </w:r>
    </w:p>
    <w:p>
      <w:pPr>
        <w:spacing w:before="80" w:after="0"/>
      </w:pPr>
      <w:r>
        <w:t xml:space="preserve"/>
      </w:r>
    </w:p>
    <w:p>
      <w:pPr>
        <w:spacing w:before="60" w:after="60"/>
      </w:pPr>
      <w:r>
        <w:rPr>
          <w:rFonts w:ascii="Arial" w:cs="Arial" w:eastAsia="Arial" w:hAnsi="Arial"/>
          <w:i/>
          <w:iCs/>
          <w:color w:val="1a1a1a"/>
          <w:sz w:val="20"/>
          <w:szCs w:val="20"/>
        </w:rPr>
        <w:t xml:space="preserve">Tools discovered after the 90-day window closes are subject to the standard framework immediately and without grace period. Any such tool must be suspended from production until it completes the appropriate tier review, regardless of the reason for late discovery.</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Multi-Tool and Agentic Pipeline Composition</w:t>
      </w:r>
    </w:p>
    <w:p>
      <w:pPr>
        <w:spacing w:before="60" w:after="60"/>
      </w:pPr>
      <w:r>
        <w:rPr>
          <w:rFonts w:ascii="Arial" w:cs="Arial" w:eastAsia="Arial" w:hAnsi="Arial"/>
          <w:color w:val="1a1a1a"/>
          <w:sz w:val="20"/>
          <w:szCs w:val="20"/>
        </w:rPr>
        <w:t xml:space="preserve">The intake form assesses individual tools. It does not automatically account for tools that operate as part of a connected pipeline. Three tools that each score Track 2 may collectively create a system that accesses sensitive data, serves a broad user population, and makes automated decisions — warranting Track 3 or Track 4 when assessed as a system.</w:t>
      </w:r>
    </w:p>
    <w:p>
      <w:pPr>
        <w:spacing w:before="60" w:after="0"/>
      </w:pPr>
      <w:r>
        <w:t xml:space="preserve"/>
      </w:r>
    </w:p>
    <w:p>
      <w:pPr>
        <w:spacing w:before="60" w:after="60"/>
      </w:pPr>
      <w:r>
        <w:rPr>
          <w:rFonts w:ascii="Arial" w:cs="Arial" w:eastAsia="Arial" w:hAnsi="Arial"/>
          <w:color w:val="1a1a1a"/>
          <w:sz w:val="20"/>
          <w:szCs w:val="20"/>
        </w:rPr>
        <w:t xml:space="preserve">This is the defining risk of agentic AI architectures. The WitnessAI, KPMG, and Agentic Trust Frameworks all address multi-agent coordination as a governance challenge distinct from single-agent risk.</w:t>
      </w:r>
    </w:p>
    <w:p>
      <w:pPr>
        <w:spacing w:before="60" w:after="0"/>
      </w:pPr>
      <w:r>
        <w:t xml:space="preserve"/>
      </w:r>
    </w:p>
    <w:p>
      <w:pPr>
        <w:spacing w:before="60" w:after="60"/>
      </w:pPr>
      <w:r>
        <w:rPr>
          <w:rFonts w:ascii="Arial" w:cs="Arial" w:eastAsia="Arial" w:hAnsi="Arial"/>
          <w:color w:val="1a1a1a"/>
          <w:sz w:val="20"/>
          <w:szCs w:val="20"/>
        </w:rPr>
        <w:t xml:space="preserve">For this framework: tools intentionally designed to operate together, share data, or coordinate actions should be assessed as a system at the point of integration. When a builder connects two or more tools into a pipeline, they should re-run the intake for the pipeline as a whole. The higher score governs.</w:t>
      </w:r>
    </w:p>
    <w:p>
      <w:pPr>
        <w:spacing w:before="60" w:after="0"/>
      </w:pPr>
      <w:r>
        <w:t xml:space="preserve"/>
      </w:r>
    </w:p>
    <w:p>
      <w:pPr>
        <w:spacing w:before="60" w:after="60"/>
      </w:pPr>
      <w:r>
        <w:rPr>
          <w:rFonts w:ascii="Arial" w:cs="Arial" w:eastAsia="Arial" w:hAnsi="Arial"/>
          <w:color w:val="1a1a1a"/>
          <w:sz w:val="20"/>
          <w:szCs w:val="20"/>
        </w:rPr>
        <w:t xml:space="preserve">Definition: a pipeline exists when two or more tools share data, pass outputs to one another, or coordinate actions in a way that creates a combined capability not present in any individual tool. This includes shared databases, API integrations, MCP connections, and regular manual data handoffs. When in doubt, contact IT for a determination.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1A29" w:val="clear"/>
            <w:tcMar>
              <w:top w:type="dxa" w:w="100"/>
              <w:left w:type="dxa" w:w="200"/>
              <w:bottom w:type="dxa" w:w="100"/>
              <w:right w:type="dxa" w:w="200"/>
            </w:tcMar>
          </w:tcPr>
          <w:p>
            <w:pPr>
              <w:jc w:val="center"/>
            </w:pPr>
            <w:r>
              <w:rPr>
                <w:rFonts w:ascii="Arial" w:cs="Arial" w:eastAsia="Arial" w:hAnsi="Arial"/>
                <w:b/>
                <w:bCs/>
                <w:caps/>
                <w:color w:val="FFFFFF"/>
                <w:sz w:val="20"/>
                <w:szCs w:val="20"/>
              </w:rPr>
              <w:t xml:space="preserve">Part 2 — Intake Form</w:t>
            </w:r>
          </w:p>
        </w:tc>
      </w:tr>
    </w:tbl>
    <w:p>
      <w:pPr>
        <w:spacing w:before="16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What Happens After You Submit</w:t>
      </w:r>
    </w:p>
    <w:p>
      <w:pPr>
        <w:spacing w:before="60" w:after="60"/>
      </w:pPr>
      <w:r>
        <w:rPr>
          <w:rFonts w:ascii="Arial" w:cs="Arial" w:eastAsia="Arial" w:hAnsi="Arial"/>
          <w:color w:val="1a1a1a"/>
          <w:sz w:val="20"/>
          <w:szCs w:val="20"/>
        </w:rPr>
        <w:t xml:space="preserve">When you complete and submit the intake form, the following occurs automatically:</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Your answers are scored using a weighted dimension matrix. The artifact type you select (Q1) sets the weight profile for each dimension.</w:t>
      </w:r>
    </w:p>
    <w:p>
      <w:pPr>
        <w:pStyle w:val="ListParagraph"/>
        <w:numPr>
          <w:ilvl w:val="0"/>
          <w:numId w:val="2"/>
        </w:numPr>
        <w:spacing w:before="40" w:after="40"/>
      </w:pPr>
      <w:r>
        <w:rPr>
          <w:rFonts w:ascii="Arial" w:cs="Arial" w:eastAsia="Arial" w:hAnsi="Arial"/>
          <w:b w:val="false"/>
          <w:bCs w:val="false"/>
          <w:color w:val="1a1a1a"/>
          <w:sz w:val="20"/>
          <w:szCs w:val="20"/>
        </w:rPr>
        <w:t xml:space="preserve">Categorical escalation checks run independently of the score. Any escalation condition routes your tool to Track 4 regardless of score.</w:t>
      </w:r>
    </w:p>
    <w:p>
      <w:pPr>
        <w:pStyle w:val="ListParagraph"/>
        <w:numPr>
          <w:ilvl w:val="0"/>
          <w:numId w:val="2"/>
        </w:numPr>
        <w:spacing w:before="40" w:after="40"/>
      </w:pPr>
      <w:r>
        <w:rPr>
          <w:rFonts w:ascii="Arial" w:cs="Arial" w:eastAsia="Arial" w:hAnsi="Arial"/>
          <w:b w:val="false"/>
          <w:bCs w:val="false"/>
          <w:color w:val="1a1a1a"/>
          <w:sz w:val="20"/>
          <w:szCs w:val="20"/>
        </w:rPr>
        <w:t xml:space="preserve">Your weighted score maps to a track: Track 1, Track 2, Track 3, or Track 4. All tracks run the automated review pipeline — the track determines what human oversight is required on top of that.</w:t>
      </w:r>
    </w:p>
    <w:p>
      <w:pPr>
        <w:pStyle w:val="ListParagraph"/>
        <w:numPr>
          <w:ilvl w:val="0"/>
          <w:numId w:val="2"/>
        </w:numPr>
        <w:spacing w:before="40" w:after="40"/>
      </w:pPr>
      <w:r>
        <w:rPr>
          <w:rFonts w:ascii="Arial" w:cs="Arial" w:eastAsia="Arial" w:hAnsi="Arial"/>
          <w:b w:val="false"/>
          <w:bCs w:val="false"/>
          <w:color w:val="1a1a1a"/>
          <w:sz w:val="20"/>
          <w:szCs w:val="20"/>
        </w:rPr>
        <w:t xml:space="preserve">The agentic review pipeline runs automatically for all submissions: Code/Security Agent, Accessibility Agent, HECVAT-Lite Agent, and Documentation Agent run in parallel.</w:t>
      </w:r>
    </w:p>
    <w:p>
      <w:pPr>
        <w:pStyle w:val="ListParagraph"/>
        <w:numPr>
          <w:ilvl w:val="0"/>
          <w:numId w:val="2"/>
        </w:numPr>
        <w:spacing w:before="40" w:after="40"/>
      </w:pPr>
      <w:r>
        <w:rPr>
          <w:rFonts w:ascii="Arial" w:cs="Arial" w:eastAsia="Arial" w:hAnsi="Arial"/>
          <w:b w:val="false"/>
          <w:bCs w:val="false"/>
          <w:color w:val="1a1a1a"/>
          <w:sz w:val="20"/>
          <w:szCs w:val="20"/>
        </w:rPr>
        <w:t xml:space="preserve">The Documentation Agent writes a user guide and admin guide to the campus documentation platform and generates a findings report delivered to the submitter and to IT.</w:t>
      </w:r>
    </w:p>
    <w:p>
      <w:pPr>
        <w:pStyle w:val="ListParagraph"/>
        <w:numPr>
          <w:ilvl w:val="0"/>
          <w:numId w:val="2"/>
        </w:numPr>
        <w:spacing w:before="40" w:after="40"/>
      </w:pPr>
      <w:r>
        <w:rPr>
          <w:rFonts w:ascii="Arial" w:cs="Arial" w:eastAsia="Arial" w:hAnsi="Arial"/>
          <w:b w:val="false"/>
          <w:bCs w:val="false"/>
          <w:color w:val="1a1a1a"/>
          <w:sz w:val="20"/>
          <w:szCs w:val="20"/>
        </w:rPr>
        <w:t xml:space="preserve">You receive a routing decision, a findings report, and a checklist of what is required before production approval is granted.</w:t>
      </w:r>
    </w:p>
    <w:p>
      <w:pPr>
        <w:spacing w:before="80" w:after="0"/>
      </w:pPr>
      <w:r>
        <w:t xml:space="preserve"/>
      </w:r>
    </w:p>
    <w:p>
      <w:pPr>
        <w:spacing w:before="60" w:after="60"/>
      </w:pPr>
      <w:r>
        <w:rPr>
          <w:rFonts w:ascii="Arial" w:cs="Arial" w:eastAsia="Arial" w:hAnsi="Arial"/>
          <w:b/>
          <w:bCs/>
          <w:color w:val="1a1a1a"/>
          <w:sz w:val="20"/>
          <w:szCs w:val="20"/>
        </w:rPr>
        <w:t xml:space="preserve">Code for all approved tools is hosted in the campus code repository. Production deployment occurs on campus IT infrastructure. These are conditions of approval, not optional.</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565C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E3F0FB" w:val="clear"/>
            <w:tcMar>
              <w:top w:type="dxa" w:w="120"/>
              <w:left w:type="dxa" w:w="200"/>
              <w:bottom w:type="dxa" w:w="120"/>
              <w:right w:type="dxa" w:w="160"/>
            </w:tcMar>
          </w:tcPr>
          <w:p>
            <w:pPr>
              <w:spacing w:before="0" w:after="20"/>
            </w:pPr>
            <w:r>
              <w:rPr>
                <w:rFonts w:ascii="Arial" w:cs="Arial" w:eastAsia="Arial" w:hAnsi="Arial"/>
                <w:b/>
                <w:bCs/>
                <w:color w:val="1565C0"/>
                <w:sz w:val="24"/>
                <w:szCs w:val="24"/>
              </w:rPr>
              <w:t xml:space="preserve">What Did You Build?</w:t>
            </w:r>
          </w:p>
          <w:p>
            <w:pPr>
              <w:spacing w:before="0" w:after="0"/>
            </w:pPr>
            <w:r>
              <w:rPr>
                <w:rFonts w:ascii="Arial" w:cs="Arial" w:eastAsia="Arial" w:hAnsi="Arial"/>
                <w:i/>
                <w:iCs/>
                <w:color w:val="555555"/>
                <w:sz w:val="18"/>
                <w:szCs w:val="18"/>
              </w:rPr>
              <w:t xml:space="preserve">Classifies the artifact type and sets the dimension weight profile</w:t>
            </w:r>
          </w:p>
        </w:tc>
      </w:tr>
    </w:tbl>
    <w:p>
      <w:pPr>
        <w:spacing w:before="12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What best describes what you built?</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Public-facing website or web application (accessible on the open internet without authentication)</w:t>
            </w:r>
          </w:p>
          <w:p>
            <w:pPr>
              <w:pStyle w:val="ListParagraph"/>
              <w:numPr>
                <w:ilvl w:val="0"/>
                <w:numId w:val="2"/>
              </w:numPr>
              <w:spacing w:before="16" w:after="16"/>
            </w:pPr>
            <w:r>
              <w:rPr>
                <w:rFonts w:ascii="Arial" w:cs="Arial" w:eastAsia="Arial" w:hAnsi="Arial"/>
                <w:color w:val="1a1a1a"/>
                <w:sz w:val="18"/>
                <w:szCs w:val="18"/>
              </w:rPr>
              <w:t xml:space="preserve">Internal web application (requires authentication; campus or VPN access only)</w:t>
            </w:r>
          </w:p>
          <w:p>
            <w:pPr>
              <w:pStyle w:val="ListParagraph"/>
              <w:numPr>
                <w:ilvl w:val="0"/>
                <w:numId w:val="2"/>
              </w:numPr>
              <w:spacing w:before="16" w:after="16"/>
            </w:pPr>
            <w:r>
              <w:rPr>
                <w:rFonts w:ascii="Arial" w:cs="Arial" w:eastAsia="Arial" w:hAnsi="Arial"/>
                <w:color w:val="1a1a1a"/>
                <w:sz w:val="18"/>
                <w:szCs w:val="18"/>
              </w:rPr>
              <w:t xml:space="preserve">Script or automation (runs on a server or scheduled task; no user-facing interface)</w:t>
            </w:r>
          </w:p>
          <w:p>
            <w:pPr>
              <w:pStyle w:val="ListParagraph"/>
              <w:numPr>
                <w:ilvl w:val="0"/>
                <w:numId w:val="2"/>
              </w:numPr>
              <w:spacing w:before="16" w:after="16"/>
            </w:pPr>
            <w:r>
              <w:rPr>
                <w:rFonts w:ascii="Arial" w:cs="Arial" w:eastAsia="Arial" w:hAnsi="Arial"/>
                <w:color w:val="1a1a1a"/>
                <w:sz w:val="18"/>
                <w:szCs w:val="18"/>
              </w:rPr>
              <w:t xml:space="preserve">API or system integration (connects two or more systems; no direct user interface)</w:t>
            </w:r>
          </w:p>
          <w:p>
            <w:pPr>
              <w:pStyle w:val="ListParagraph"/>
              <w:numPr>
                <w:ilvl w:val="0"/>
                <w:numId w:val="2"/>
              </w:numPr>
              <w:spacing w:before="16" w:after="16"/>
            </w:pPr>
            <w:r>
              <w:rPr>
                <w:rFonts w:ascii="Arial" w:cs="Arial" w:eastAsia="Arial" w:hAnsi="Arial"/>
                <w:color w:val="1a1a1a"/>
                <w:sz w:val="18"/>
                <w:szCs w:val="18"/>
              </w:rPr>
              <w:t xml:space="preserve">AI-powered tool or agent (uses an LLM or AI model as a core component of its function)</w:t>
            </w:r>
          </w:p>
          <w:p>
            <w:pPr>
              <w:pStyle w:val="ListParagraph"/>
              <w:numPr>
                <w:ilvl w:val="0"/>
                <w:numId w:val="2"/>
              </w:numPr>
              <w:spacing w:before="16" w:after="16"/>
            </w:pPr>
            <w:r>
              <w:rPr>
                <w:rFonts w:ascii="Arial" w:cs="Arial" w:eastAsia="Arial" w:hAnsi="Arial"/>
                <w:color w:val="1a1a1a"/>
                <w:sz w:val="18"/>
                <w:szCs w:val="18"/>
              </w:rPr>
              <w:t xml:space="preserve">Data pipeline or reporting tool (moves, transforms, or visualizes institutional data)</w:t>
            </w:r>
          </w:p>
          <w:p>
            <w:pPr>
              <w:pStyle w:val="ListParagraph"/>
              <w:numPr>
                <w:ilvl w:val="0"/>
                <w:numId w:val="2"/>
              </w:numPr>
              <w:spacing w:before="16" w:after="16"/>
            </w:pPr>
            <w:r>
              <w:rPr>
                <w:rFonts w:ascii="Arial" w:cs="Arial" w:eastAsia="Arial" w:hAnsi="Arial"/>
                <w:color w:val="1a1a1a"/>
                <w:sz w:val="18"/>
                <w:szCs w:val="18"/>
              </w:rPr>
              <w:t xml:space="preserve">Something else — describe below</w:t>
            </w:r>
          </w:p>
          <w:p>
            <w:pPr>
              <w:spacing w:before="40" w:after="0"/>
            </w:pPr>
            <w:r>
              <w:t xml:space="preserve"/>
            </w:r>
          </w:p>
          <w:p>
            <w:pPr>
              <w:spacing w:before="0" w:after="0"/>
            </w:pPr>
            <w:r>
              <w:rPr>
                <w:rFonts w:ascii="Arial" w:cs="Arial" w:eastAsia="Arial" w:hAnsi="Arial"/>
                <w:i/>
                <w:iCs/>
                <w:color w:val="1565C0"/>
                <w:sz w:val="17"/>
                <w:szCs w:val="17"/>
              </w:rPr>
              <w:t xml:space="preserve">Routing logic: Sets the dimension weight profile for scoring. Public-facing website activates Critical weight on Security and Accessibility. AI agent activates Critical weight on Autonomy and Builder Comprehension.</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Q2</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Is this tool already in production?</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No — this is new and not yet in use by anyone</w:t>
            </w:r>
          </w:p>
          <w:p>
            <w:pPr>
              <w:pStyle w:val="ListParagraph"/>
              <w:numPr>
                <w:ilvl w:val="0"/>
                <w:numId w:val="2"/>
              </w:numPr>
              <w:spacing w:before="16" w:after="16"/>
            </w:pPr>
            <w:r>
              <w:rPr>
                <w:rFonts w:ascii="Arial" w:cs="Arial" w:eastAsia="Arial" w:hAnsi="Arial"/>
                <w:color w:val="1a1a1a"/>
                <w:sz w:val="18"/>
                <w:szCs w:val="18"/>
              </w:rPr>
              <w:t xml:space="preserve">Yes — it is already being used by others</w:t>
            </w:r>
          </w:p>
          <w:p>
            <w:pPr>
              <w:pStyle w:val="ListParagraph"/>
              <w:numPr>
                <w:ilvl w:val="0"/>
                <w:numId w:val="2"/>
              </w:numPr>
              <w:spacing w:before="16" w:after="16"/>
            </w:pPr>
            <w:r>
              <w:rPr>
                <w:rFonts w:ascii="Arial" w:cs="Arial" w:eastAsia="Arial" w:hAnsi="Arial"/>
                <w:color w:val="1a1a1a"/>
                <w:sz w:val="18"/>
                <w:szCs w:val="18"/>
              </w:rPr>
              <w:t xml:space="preserve">Partially — I am using it but have not shared it yet</w:t>
            </w:r>
          </w:p>
          <w:p>
            <w:pPr>
              <w:spacing w:before="40" w:after="0"/>
            </w:pPr>
            <w:r>
              <w:t xml:space="preserve"/>
            </w:r>
          </w:p>
          <w:p>
            <w:pPr>
              <w:spacing w:before="0" w:after="0"/>
            </w:pPr>
            <w:r>
              <w:rPr>
                <w:rFonts w:ascii="Arial" w:cs="Arial" w:eastAsia="Arial" w:hAnsi="Arial"/>
                <w:i/>
                <w:iCs/>
                <w:color w:val="1565C0"/>
                <w:sz w:val="17"/>
                <w:szCs w:val="17"/>
              </w:rPr>
              <w:t xml:space="preserve">Routing logic: Already in production routes through retroactive triage path. Tool may remain in limited use during review at IT's discretion with documented acknowledgment of risk.</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Q3</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Who will use this tool?</w:t>
            </w:r>
          </w:p>
          <w:p>
            <w:pPr>
              <w:spacing w:before="0" w:after="60"/>
            </w:pPr>
            <w:r>
              <w:rPr>
                <w:rFonts w:ascii="Arial" w:cs="Arial" w:eastAsia="Arial" w:hAnsi="Arial"/>
                <w:i/>
                <w:iCs/>
                <w:color w:val="666666"/>
                <w:sz w:val="16"/>
                <w:szCs w:val="16"/>
              </w:rPr>
              <w:t xml:space="preserve">Input: Select all that apply</w:t>
            </w:r>
          </w:p>
          <w:p>
            <w:pPr>
              <w:pStyle w:val="ListParagraph"/>
              <w:numPr>
                <w:ilvl w:val="0"/>
                <w:numId w:val="2"/>
              </w:numPr>
              <w:spacing w:before="16" w:after="16"/>
            </w:pPr>
            <w:r>
              <w:rPr>
                <w:rFonts w:ascii="Arial" w:cs="Arial" w:eastAsia="Arial" w:hAnsi="Arial"/>
                <w:color w:val="1a1a1a"/>
                <w:sz w:val="18"/>
                <w:szCs w:val="18"/>
              </w:rPr>
              <w:t xml:space="preserve">Just me (the builder)</w:t>
            </w:r>
          </w:p>
          <w:p>
            <w:pPr>
              <w:pStyle w:val="ListParagraph"/>
              <w:numPr>
                <w:ilvl w:val="0"/>
                <w:numId w:val="2"/>
              </w:numPr>
              <w:spacing w:before="16" w:after="16"/>
            </w:pPr>
            <w:r>
              <w:rPr>
                <w:rFonts w:ascii="Arial" w:cs="Arial" w:eastAsia="Arial" w:hAnsi="Arial"/>
                <w:color w:val="1a1a1a"/>
                <w:sz w:val="18"/>
                <w:szCs w:val="18"/>
              </w:rPr>
              <w:t xml:space="preserve">My immediate team (fewer than 10 people)</w:t>
            </w:r>
          </w:p>
          <w:p>
            <w:pPr>
              <w:pStyle w:val="ListParagraph"/>
              <w:numPr>
                <w:ilvl w:val="0"/>
                <w:numId w:val="2"/>
              </w:numPr>
              <w:spacing w:before="16" w:after="16"/>
            </w:pPr>
            <w:r>
              <w:rPr>
                <w:rFonts w:ascii="Arial" w:cs="Arial" w:eastAsia="Arial" w:hAnsi="Arial"/>
                <w:color w:val="1a1a1a"/>
                <w:sz w:val="18"/>
                <w:szCs w:val="18"/>
              </w:rPr>
              <w:t xml:space="preserve">A department or unit</w:t>
            </w:r>
          </w:p>
          <w:p>
            <w:pPr>
              <w:pStyle w:val="ListParagraph"/>
              <w:numPr>
                <w:ilvl w:val="0"/>
                <w:numId w:val="2"/>
              </w:numPr>
              <w:spacing w:before="16" w:after="16"/>
            </w:pPr>
            <w:r>
              <w:rPr>
                <w:rFonts w:ascii="Arial" w:cs="Arial" w:eastAsia="Arial" w:hAnsi="Arial"/>
                <w:color w:val="1a1a1a"/>
                <w:sz w:val="18"/>
                <w:szCs w:val="18"/>
              </w:rPr>
              <w:t xml:space="preserve">Students</w:t>
            </w:r>
          </w:p>
          <w:p>
            <w:pPr>
              <w:pStyle w:val="ListParagraph"/>
              <w:numPr>
                <w:ilvl w:val="0"/>
                <w:numId w:val="2"/>
              </w:numPr>
              <w:spacing w:before="16" w:after="16"/>
            </w:pPr>
            <w:r>
              <w:rPr>
                <w:rFonts w:ascii="Arial" w:cs="Arial" w:eastAsia="Arial" w:hAnsi="Arial"/>
                <w:color w:val="1a1a1a"/>
                <w:sz w:val="18"/>
                <w:szCs w:val="18"/>
              </w:rPr>
              <w:t xml:space="preserve">The general public (including people outside UM)</w:t>
            </w:r>
          </w:p>
          <w:p>
            <w:pPr>
              <w:pStyle w:val="ListParagraph"/>
              <w:numPr>
                <w:ilvl w:val="0"/>
                <w:numId w:val="2"/>
              </w:numPr>
              <w:spacing w:before="16" w:after="16"/>
            </w:pPr>
            <w:r>
              <w:rPr>
                <w:rFonts w:ascii="Arial" w:cs="Arial" w:eastAsia="Arial" w:hAnsi="Arial"/>
                <w:color w:val="1a1a1a"/>
                <w:sz w:val="18"/>
                <w:szCs w:val="18"/>
              </w:rPr>
              <w:t xml:space="preserve">Other institutions or external partners</w:t>
            </w:r>
          </w:p>
          <w:p>
            <w:pPr>
              <w:spacing w:before="40" w:after="0"/>
            </w:pPr>
            <w:r>
              <w:t xml:space="preserve"/>
            </w:r>
          </w:p>
          <w:p>
            <w:pPr>
              <w:spacing w:before="0" w:after="0"/>
            </w:pPr>
            <w:r>
              <w:rPr>
                <w:rFonts w:ascii="Arial" w:cs="Arial" w:eastAsia="Arial" w:hAnsi="Arial"/>
                <w:i/>
                <w:iCs/>
                <w:color w:val="1565C0"/>
                <w:sz w:val="17"/>
                <w:szCs w:val="17"/>
              </w:rPr>
              <w:t xml:space="preserve">Routing logic: Informs Blast Radius dimension weight. Student or public use activates elevated review regardless of score.</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Q4</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Briefly describe what this tool does and what problem it solves.</w:t>
            </w:r>
          </w:p>
          <w:p>
            <w:pPr>
              <w:spacing w:before="0" w:after="60"/>
            </w:pPr>
            <w:r>
              <w:rPr>
                <w:rFonts w:ascii="Arial" w:cs="Arial" w:eastAsia="Arial" w:hAnsi="Arial"/>
                <w:i/>
                <w:iCs/>
                <w:color w:val="666666"/>
                <w:sz w:val="16"/>
                <w:szCs w:val="16"/>
              </w:rPr>
              <w:t xml:space="preserve">Input: Free text (3-5 sentences minimum)</w:t>
            </w:r>
          </w:p>
          <w:p>
            <w:pPr>
              <w:spacing w:before="40" w:after="0"/>
            </w:pPr>
            <w:r>
              <w:t xml:space="preserve"/>
            </w:r>
          </w:p>
          <w:p>
            <w:pPr>
              <w:spacing w:before="0" w:after="0"/>
            </w:pPr>
            <w:r>
              <w:rPr>
                <w:rFonts w:ascii="Arial" w:cs="Arial" w:eastAsia="Arial" w:hAnsi="Arial"/>
                <w:i/>
                <w:iCs/>
                <w:color w:val="1565C0"/>
                <w:sz w:val="17"/>
                <w:szCs w:val="17"/>
              </w:rPr>
              <w:t xml:space="preserve">Routing logic: Used by the Documentation Agent to generate user guide and admin guide. Also used to assess Beneficence — what specific problem does this solve, and how would you know if it stopped solving it?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E8F5E9" w:val="clear"/>
            <w:tcMar>
              <w:top w:type="dxa" w:w="120"/>
              <w:left w:type="dxa" w:w="200"/>
              <w:bottom w:type="dxa" w:w="120"/>
              <w:right w:type="dxa" w:w="160"/>
            </w:tcMar>
          </w:tcPr>
          <w:p>
            <w:pPr>
              <w:spacing w:before="0" w:after="20"/>
            </w:pPr>
            <w:r>
              <w:rPr>
                <w:rFonts w:ascii="Arial" w:cs="Arial" w:eastAsia="Arial" w:hAnsi="Arial"/>
                <w:b/>
                <w:bCs/>
                <w:color w:val="2E7D32"/>
                <w:sz w:val="24"/>
                <w:szCs w:val="24"/>
              </w:rPr>
              <w:t xml:space="preserve">Deployment and Access</w:t>
            </w:r>
          </w:p>
          <w:p>
            <w:pPr>
              <w:spacing w:before="0" w:after="0"/>
            </w:pPr>
            <w:r>
              <w:rPr>
                <w:rFonts w:ascii="Arial" w:cs="Arial" w:eastAsia="Arial" w:hAnsi="Arial"/>
                <w:i/>
                <w:iCs/>
                <w:color w:val="555555"/>
                <w:sz w:val="18"/>
                <w:szCs w:val="18"/>
              </w:rPr>
              <w:t xml:space="preserve">How and where the tool will run, and who can reach it</w:t>
            </w:r>
          </w:p>
        </w:tc>
      </w:tr>
    </w:tbl>
    <w:p>
      <w:pPr>
        <w:spacing w:before="12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Q5</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Where will this tool be accessible?</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Public internet — anyone can access it without authentication</w:t>
            </w:r>
          </w:p>
          <w:p>
            <w:pPr>
              <w:pStyle w:val="ListParagraph"/>
              <w:numPr>
                <w:ilvl w:val="0"/>
                <w:numId w:val="2"/>
              </w:numPr>
              <w:spacing w:before="16" w:after="16"/>
            </w:pPr>
            <w:r>
              <w:rPr>
                <w:rFonts w:ascii="Arial" w:cs="Arial" w:eastAsia="Arial" w:hAnsi="Arial"/>
                <w:color w:val="1a1a1a"/>
                <w:sz w:val="18"/>
                <w:szCs w:val="18"/>
              </w:rPr>
              <w:t xml:space="preserve">Public internet — but requires authentication to use</w:t>
            </w:r>
          </w:p>
          <w:p>
            <w:pPr>
              <w:pStyle w:val="ListParagraph"/>
              <w:numPr>
                <w:ilvl w:val="0"/>
                <w:numId w:val="2"/>
              </w:numPr>
              <w:spacing w:before="16" w:after="16"/>
            </w:pPr>
            <w:r>
              <w:rPr>
                <w:rFonts w:ascii="Arial" w:cs="Arial" w:eastAsia="Arial" w:hAnsi="Arial"/>
                <w:color w:val="1a1a1a"/>
                <w:sz w:val="18"/>
                <w:szCs w:val="18"/>
              </w:rPr>
              <w:t xml:space="preserve">Campus network or VPN only</w:t>
            </w:r>
          </w:p>
          <w:p>
            <w:pPr>
              <w:pStyle w:val="ListParagraph"/>
              <w:numPr>
                <w:ilvl w:val="0"/>
                <w:numId w:val="2"/>
              </w:numPr>
              <w:spacing w:before="16" w:after="16"/>
            </w:pPr>
            <w:r>
              <w:rPr>
                <w:rFonts w:ascii="Arial" w:cs="Arial" w:eastAsia="Arial" w:hAnsi="Arial"/>
                <w:color w:val="1a1a1a"/>
                <w:sz w:val="18"/>
                <w:szCs w:val="18"/>
              </w:rPr>
              <w:t xml:space="preserve">Internal server — no browser interface</w:t>
            </w:r>
          </w:p>
          <w:p>
            <w:pPr>
              <w:pStyle w:val="ListParagraph"/>
              <w:numPr>
                <w:ilvl w:val="0"/>
                <w:numId w:val="2"/>
              </w:numPr>
              <w:spacing w:before="16" w:after="16"/>
            </w:pPr>
            <w:r>
              <w:rPr>
                <w:rFonts w:ascii="Arial" w:cs="Arial" w:eastAsia="Arial" w:hAnsi="Arial"/>
                <w:color w:val="1a1a1a"/>
                <w:sz w:val="18"/>
                <w:szCs w:val="18"/>
              </w:rPr>
              <w:t xml:space="preserve">Not yet determined</w:t>
            </w:r>
          </w:p>
          <w:p>
            <w:pPr>
              <w:spacing w:before="40" w:after="0"/>
            </w:pPr>
            <w:r>
              <w:t xml:space="preserve"/>
            </w:r>
          </w:p>
          <w:p>
            <w:pPr>
              <w:spacing w:before="0" w:after="0"/>
            </w:pPr>
            <w:r>
              <w:rPr>
                <w:rFonts w:ascii="Arial" w:cs="Arial" w:eastAsia="Arial" w:hAnsi="Arial"/>
                <w:i/>
                <w:iCs/>
                <w:color w:val="1565C0"/>
                <w:sz w:val="17"/>
                <w:szCs w:val="17"/>
              </w:rPr>
              <w:t xml:space="preserve">Routing logic: Public internet (unauthenticated) activates Critical weight on Security and Accessibility regardless of score. Public + non-public data = Track 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71C1C" w:val="clear"/>
            <w:tcMar>
              <w:top w:type="dxa" w:w="100"/>
              <w:left w:type="dxa" w:w="120"/>
              <w:bottom w:type="dxa" w:w="100"/>
              <w:right w:type="dxa" w:w="0"/>
            </w:tcMar>
            <w:vAlign w:val="center"/>
          </w:tcPr>
          <w:p>
            <w:pPr>
              <w:jc w:val="center"/>
            </w:pPr>
            <w:r>
              <w:rPr>
                <w:rFonts w:ascii="Arial" w:cs="Arial" w:eastAsia="Arial" w:hAnsi="Arial"/>
                <w:b/>
                <w:bCs/>
                <w:color w:val="FFFFFF"/>
                <w:sz w:val="24"/>
                <w:szCs w:val="24"/>
              </w:rPr>
              <w:t xml:space="preserve">!</w:t>
            </w:r>
          </w:p>
        </w:tc>
        <w:tc>
          <w:tcPr>
            <w:tcW w:type="dxa" w:w="896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r>
              <w:rPr>
                <w:rFonts w:ascii="Arial" w:cs="Arial" w:eastAsia="Arial" w:hAnsi="Arial"/>
                <w:color w:val="B71C1C"/>
                <w:sz w:val="18"/>
                <w:szCs w:val="18"/>
              </w:rPr>
              <w:t xml:space="preserve">ESCALATE: Public-facing tool that handles non-public campus data routes to Track 4 regardless of score.</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Q6</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Does this tool require or use institutional authentication (campus SSO)?</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Yes — uses campus SSO</w:t>
            </w:r>
          </w:p>
          <w:p>
            <w:pPr>
              <w:pStyle w:val="ListParagraph"/>
              <w:numPr>
                <w:ilvl w:val="0"/>
                <w:numId w:val="2"/>
              </w:numPr>
              <w:spacing w:before="16" w:after="16"/>
            </w:pPr>
            <w:r>
              <w:rPr>
                <w:rFonts w:ascii="Arial" w:cs="Arial" w:eastAsia="Arial" w:hAnsi="Arial"/>
                <w:color w:val="1a1a1a"/>
                <w:sz w:val="18"/>
                <w:szCs w:val="18"/>
              </w:rPr>
              <w:t xml:space="preserve">No — no authentication required</w:t>
            </w:r>
          </w:p>
          <w:p>
            <w:pPr>
              <w:pStyle w:val="ListParagraph"/>
              <w:numPr>
                <w:ilvl w:val="0"/>
                <w:numId w:val="2"/>
              </w:numPr>
              <w:spacing w:before="16" w:after="16"/>
            </w:pPr>
            <w:r>
              <w:rPr>
                <w:rFonts w:ascii="Arial" w:cs="Arial" w:eastAsia="Arial" w:hAnsi="Arial"/>
                <w:color w:val="1a1a1a"/>
                <w:sz w:val="18"/>
                <w:szCs w:val="18"/>
              </w:rPr>
              <w:t xml:space="preserve">No — uses a custom or third-party authentication system</w:t>
            </w:r>
          </w:p>
          <w:p>
            <w:pPr>
              <w:pStyle w:val="ListParagraph"/>
              <w:numPr>
                <w:ilvl w:val="0"/>
                <w:numId w:val="2"/>
              </w:numPr>
              <w:spacing w:before="16" w:after="16"/>
            </w:pPr>
            <w:r>
              <w:rPr>
                <w:rFonts w:ascii="Arial" w:cs="Arial" w:eastAsia="Arial" w:hAnsi="Arial"/>
                <w:color w:val="1a1a1a"/>
                <w:sz w:val="18"/>
                <w:szCs w:val="18"/>
              </w:rPr>
              <w:t xml:space="preserve">Authentication not yet implemented</w:t>
            </w:r>
          </w:p>
          <w:p>
            <w:pPr>
              <w:spacing w:before="40" w:after="0"/>
            </w:pPr>
            <w:r>
              <w:t xml:space="preserve"/>
            </w:r>
          </w:p>
          <w:p>
            <w:pPr>
              <w:spacing w:before="0" w:after="0"/>
            </w:pPr>
            <w:r>
              <w:rPr>
                <w:rFonts w:ascii="Arial" w:cs="Arial" w:eastAsia="Arial" w:hAnsi="Arial"/>
                <w:i/>
                <w:iCs/>
                <w:color w:val="1565C0"/>
                <w:sz w:val="17"/>
                <w:szCs w:val="17"/>
              </w:rPr>
              <w:t xml:space="preserve">Routing logic: Custom or third-party auth without campus SSO is an escalation condition. No auth on a tool handling non-public data is an escalation condition.</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Q7</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What infrastructure does this tool require?</w:t>
            </w:r>
          </w:p>
          <w:p>
            <w:pPr>
              <w:spacing w:before="0" w:after="60"/>
            </w:pPr>
            <w:r>
              <w:rPr>
                <w:rFonts w:ascii="Arial" w:cs="Arial" w:eastAsia="Arial" w:hAnsi="Arial"/>
                <w:i/>
                <w:iCs/>
                <w:color w:val="666666"/>
                <w:sz w:val="16"/>
                <w:szCs w:val="16"/>
              </w:rPr>
              <w:t xml:space="preserve">Input: Select all that apply</w:t>
            </w:r>
          </w:p>
          <w:p>
            <w:pPr>
              <w:pStyle w:val="ListParagraph"/>
              <w:numPr>
                <w:ilvl w:val="0"/>
                <w:numId w:val="2"/>
              </w:numPr>
              <w:spacing w:before="16" w:after="16"/>
            </w:pPr>
            <w:r>
              <w:rPr>
                <w:rFonts w:ascii="Arial" w:cs="Arial" w:eastAsia="Arial" w:hAnsi="Arial"/>
                <w:color w:val="1a1a1a"/>
                <w:sz w:val="18"/>
                <w:szCs w:val="18"/>
              </w:rPr>
              <w:t xml:space="preserve">Web hosting (static or dynamic site)</w:t>
            </w:r>
          </w:p>
          <w:p>
            <w:pPr>
              <w:pStyle w:val="ListParagraph"/>
              <w:numPr>
                <w:ilvl w:val="0"/>
                <w:numId w:val="2"/>
              </w:numPr>
              <w:spacing w:before="16" w:after="16"/>
            </w:pPr>
            <w:r>
              <w:rPr>
                <w:rFonts w:ascii="Arial" w:cs="Arial" w:eastAsia="Arial" w:hAnsi="Arial"/>
                <w:color w:val="1a1a1a"/>
                <w:sz w:val="18"/>
                <w:szCs w:val="18"/>
              </w:rPr>
              <w:t xml:space="preserve">Server-side application runtime (Node, Python, PHP, etc.)</w:t>
            </w:r>
          </w:p>
          <w:p>
            <w:pPr>
              <w:pStyle w:val="ListParagraph"/>
              <w:numPr>
                <w:ilvl w:val="0"/>
                <w:numId w:val="2"/>
              </w:numPr>
              <w:spacing w:before="16" w:after="16"/>
            </w:pPr>
            <w:r>
              <w:rPr>
                <w:rFonts w:ascii="Arial" w:cs="Arial" w:eastAsia="Arial" w:hAnsi="Arial"/>
                <w:color w:val="1a1a1a"/>
                <w:sz w:val="18"/>
                <w:szCs w:val="18"/>
              </w:rPr>
              <w:t xml:space="preserve">Database</w:t>
            </w:r>
          </w:p>
          <w:p>
            <w:pPr>
              <w:pStyle w:val="ListParagraph"/>
              <w:numPr>
                <w:ilvl w:val="0"/>
                <w:numId w:val="2"/>
              </w:numPr>
              <w:spacing w:before="16" w:after="16"/>
            </w:pPr>
            <w:r>
              <w:rPr>
                <w:rFonts w:ascii="Arial" w:cs="Arial" w:eastAsia="Arial" w:hAnsi="Arial"/>
                <w:color w:val="1a1a1a"/>
                <w:sz w:val="18"/>
                <w:szCs w:val="18"/>
              </w:rPr>
              <w:t xml:space="preserve">Scheduled jobs or cron tasks</w:t>
            </w:r>
          </w:p>
          <w:p>
            <w:pPr>
              <w:pStyle w:val="ListParagraph"/>
              <w:numPr>
                <w:ilvl w:val="0"/>
                <w:numId w:val="2"/>
              </w:numPr>
              <w:spacing w:before="16" w:after="16"/>
            </w:pPr>
            <w:r>
              <w:rPr>
                <w:rFonts w:ascii="Arial" w:cs="Arial" w:eastAsia="Arial" w:hAnsi="Arial"/>
                <w:color w:val="1a1a1a"/>
                <w:sz w:val="18"/>
                <w:szCs w:val="18"/>
              </w:rPr>
              <w:t xml:space="preserve">API endpoints</w:t>
            </w:r>
          </w:p>
          <w:p>
            <w:pPr>
              <w:pStyle w:val="ListParagraph"/>
              <w:numPr>
                <w:ilvl w:val="0"/>
                <w:numId w:val="2"/>
              </w:numPr>
              <w:spacing w:before="16" w:after="16"/>
            </w:pPr>
            <w:r>
              <w:rPr>
                <w:rFonts w:ascii="Arial" w:cs="Arial" w:eastAsia="Arial" w:hAnsi="Arial"/>
                <w:color w:val="1a1a1a"/>
                <w:sz w:val="18"/>
                <w:szCs w:val="18"/>
              </w:rPr>
              <w:t xml:space="preserve">File storage</w:t>
            </w:r>
          </w:p>
          <w:p>
            <w:pPr>
              <w:pStyle w:val="ListParagraph"/>
              <w:numPr>
                <w:ilvl w:val="0"/>
                <w:numId w:val="2"/>
              </w:numPr>
              <w:spacing w:before="16" w:after="16"/>
            </w:pPr>
            <w:r>
              <w:rPr>
                <w:rFonts w:ascii="Arial" w:cs="Arial" w:eastAsia="Arial" w:hAnsi="Arial"/>
                <w:color w:val="1a1a1a"/>
                <w:sz w:val="18"/>
                <w:szCs w:val="18"/>
              </w:rPr>
              <w:t xml:space="preserve">Email or notification services</w:t>
            </w:r>
          </w:p>
          <w:p>
            <w:pPr>
              <w:pStyle w:val="ListParagraph"/>
              <w:numPr>
                <w:ilvl w:val="0"/>
                <w:numId w:val="2"/>
              </w:numPr>
              <w:spacing w:before="16" w:after="16"/>
            </w:pPr>
            <w:r>
              <w:rPr>
                <w:rFonts w:ascii="Arial" w:cs="Arial" w:eastAsia="Arial" w:hAnsi="Arial"/>
                <w:color w:val="1a1a1a"/>
                <w:sz w:val="18"/>
                <w:szCs w:val="18"/>
              </w:rPr>
              <w:t xml:space="preserve">Third-party services or external APIs</w:t>
            </w:r>
          </w:p>
          <w:p>
            <w:pPr>
              <w:pStyle w:val="ListParagraph"/>
              <w:numPr>
                <w:ilvl w:val="0"/>
                <w:numId w:val="2"/>
              </w:numPr>
              <w:spacing w:before="16" w:after="16"/>
            </w:pPr>
            <w:r>
              <w:rPr>
                <w:rFonts w:ascii="Arial" w:cs="Arial" w:eastAsia="Arial" w:hAnsi="Arial"/>
                <w:color w:val="1a1a1a"/>
                <w:sz w:val="18"/>
                <w:szCs w:val="18"/>
              </w:rPr>
              <w:t xml:space="preserve">Unknown — I need help figuring this out</w:t>
            </w:r>
          </w:p>
          <w:p>
            <w:pPr>
              <w:spacing w:before="40" w:after="0"/>
            </w:pPr>
            <w:r>
              <w:t xml:space="preserve"/>
            </w:r>
          </w:p>
          <w:p>
            <w:pPr>
              <w:spacing w:before="0" w:after="0"/>
            </w:pPr>
            <w:r>
              <w:rPr>
                <w:rFonts w:ascii="Arial" w:cs="Arial" w:eastAsia="Arial" w:hAnsi="Arial"/>
                <w:i/>
                <w:iCs/>
                <w:color w:val="1565C0"/>
                <w:sz w:val="17"/>
                <w:szCs w:val="17"/>
              </w:rPr>
              <w:t xml:space="preserve">Routing logic: Third-party services flag for DPA review. 'Unknown' routes to IT consultation before formal review.</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Q8</w:t>
            </w:r>
          </w:p>
          <w:p>
            <w:pPr>
              <w:jc w:val="center"/>
            </w:pPr>
            <w:r>
              <w:rPr>
                <w:rFonts w:ascii="Arial" w:cs="Arial" w:eastAsia="Arial" w:hAnsi="Arial"/>
                <w:color w:val="888888"/>
                <w:sz w:val="14"/>
                <w:szCs w:val="14"/>
              </w:rPr>
              <w:t xml:space="preserve">optional</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What is the expected number of users?</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Fewer than 50 users, infrequent use</w:t>
            </w:r>
          </w:p>
          <w:p>
            <w:pPr>
              <w:pStyle w:val="ListParagraph"/>
              <w:numPr>
                <w:ilvl w:val="0"/>
                <w:numId w:val="2"/>
              </w:numPr>
              <w:spacing w:before="16" w:after="16"/>
            </w:pPr>
            <w:r>
              <w:rPr>
                <w:rFonts w:ascii="Arial" w:cs="Arial" w:eastAsia="Arial" w:hAnsi="Arial"/>
                <w:color w:val="1a1a1a"/>
                <w:sz w:val="18"/>
                <w:szCs w:val="18"/>
              </w:rPr>
              <w:t xml:space="preserve">50 to 500 users, regular use</w:t>
            </w:r>
          </w:p>
          <w:p>
            <w:pPr>
              <w:pStyle w:val="ListParagraph"/>
              <w:numPr>
                <w:ilvl w:val="0"/>
                <w:numId w:val="2"/>
              </w:numPr>
              <w:spacing w:before="16" w:after="16"/>
            </w:pPr>
            <w:r>
              <w:rPr>
                <w:rFonts w:ascii="Arial" w:cs="Arial" w:eastAsia="Arial" w:hAnsi="Arial"/>
                <w:color w:val="1a1a1a"/>
                <w:sz w:val="18"/>
                <w:szCs w:val="18"/>
              </w:rPr>
              <w:t xml:space="preserve">More than 500 users or high-frequency automated requests</w:t>
            </w:r>
          </w:p>
          <w:p>
            <w:pPr>
              <w:pStyle w:val="ListParagraph"/>
              <w:numPr>
                <w:ilvl w:val="0"/>
                <w:numId w:val="2"/>
              </w:numPr>
              <w:spacing w:before="16" w:after="16"/>
            </w:pPr>
            <w:r>
              <w:rPr>
                <w:rFonts w:ascii="Arial" w:cs="Arial" w:eastAsia="Arial" w:hAnsi="Arial"/>
                <w:color w:val="1a1a1a"/>
                <w:sz w:val="18"/>
                <w:szCs w:val="18"/>
              </w:rPr>
              <w:t xml:space="preserve">Unknown</w:t>
            </w:r>
          </w:p>
          <w:p>
            <w:pPr>
              <w:spacing w:before="40" w:after="0"/>
            </w:pPr>
            <w:r>
              <w:t xml:space="preserve"/>
            </w:r>
          </w:p>
          <w:p>
            <w:pPr>
              <w:spacing w:before="0" w:after="0"/>
            </w:pPr>
            <w:r>
              <w:rPr>
                <w:rFonts w:ascii="Arial" w:cs="Arial" w:eastAsia="Arial" w:hAnsi="Arial"/>
                <w:i/>
                <w:iCs/>
                <w:color w:val="1565C0"/>
                <w:sz w:val="17"/>
                <w:szCs w:val="17"/>
              </w:rPr>
              <w:t xml:space="preserve">Routing logic: Informs Blast Radius scoring and infrastructure planning.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FFFDE7" w:val="clear"/>
            <w:tcMar>
              <w:top w:type="dxa" w:w="120"/>
              <w:left w:type="dxa" w:w="200"/>
              <w:bottom w:type="dxa" w:w="120"/>
              <w:right w:type="dxa" w:w="160"/>
            </w:tcMar>
          </w:tcPr>
          <w:p>
            <w:pPr>
              <w:spacing w:before="0" w:after="20"/>
            </w:pPr>
            <w:r>
              <w:rPr>
                <w:rFonts w:ascii="Arial" w:cs="Arial" w:eastAsia="Arial" w:hAnsi="Arial"/>
                <w:b/>
                <w:bCs/>
                <w:color w:val="B8860B"/>
                <w:sz w:val="24"/>
                <w:szCs w:val="24"/>
              </w:rPr>
              <w:t xml:space="preserve">Data</w:t>
            </w:r>
          </w:p>
          <w:p>
            <w:pPr>
              <w:spacing w:before="0" w:after="0"/>
            </w:pPr>
            <w:r>
              <w:rPr>
                <w:rFonts w:ascii="Arial" w:cs="Arial" w:eastAsia="Arial" w:hAnsi="Arial"/>
                <w:i/>
                <w:iCs/>
                <w:color w:val="555555"/>
                <w:sz w:val="18"/>
                <w:szCs w:val="18"/>
              </w:rPr>
              <w:t xml:space="preserve">What data the tool handles, where it lives, and whether it leaves campus</w:t>
            </w:r>
          </w:p>
        </w:tc>
      </w:tr>
    </w:tbl>
    <w:p>
      <w:pPr>
        <w:spacing w:before="12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Q9</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Does this tool collect, store, access, process, or transmit any data?</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No — the tool generates outputs only and does not handle any input data</w:t>
            </w:r>
          </w:p>
          <w:p>
            <w:pPr>
              <w:pStyle w:val="ListParagraph"/>
              <w:numPr>
                <w:ilvl w:val="0"/>
                <w:numId w:val="2"/>
              </w:numPr>
              <w:spacing w:before="16" w:after="16"/>
            </w:pPr>
            <w:r>
              <w:rPr>
                <w:rFonts w:ascii="Arial" w:cs="Arial" w:eastAsia="Arial" w:hAnsi="Arial"/>
                <w:color w:val="1a1a1a"/>
                <w:sz w:val="18"/>
                <w:szCs w:val="18"/>
              </w:rPr>
              <w:t xml:space="preserve">Yes — it handles data of some kind</w:t>
            </w:r>
          </w:p>
          <w:p>
            <w:pPr>
              <w:spacing w:before="40" w:after="0"/>
            </w:pPr>
            <w:r>
              <w:t xml:space="preserve"/>
            </w:r>
          </w:p>
          <w:p>
            <w:pPr>
              <w:spacing w:before="0" w:after="0"/>
            </w:pPr>
            <w:r>
              <w:rPr>
                <w:rFonts w:ascii="Arial" w:cs="Arial" w:eastAsia="Arial" w:hAnsi="Arial"/>
                <w:i/>
                <w:iCs/>
                <w:color w:val="1565C0"/>
                <w:sz w:val="17"/>
                <w:szCs w:val="17"/>
              </w:rPr>
              <w:t xml:space="preserve">Routing logic: If No, data dimensions are removed from scoring. If Yes, continue to Q10-Q13.</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Q10</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What kind of data does this tool handle?</w:t>
            </w:r>
          </w:p>
          <w:p>
            <w:pPr>
              <w:spacing w:before="0" w:after="60"/>
            </w:pPr>
            <w:r>
              <w:rPr>
                <w:rFonts w:ascii="Arial" w:cs="Arial" w:eastAsia="Arial" w:hAnsi="Arial"/>
                <w:i/>
                <w:iCs/>
                <w:color w:val="666666"/>
                <w:sz w:val="16"/>
                <w:szCs w:val="16"/>
              </w:rPr>
              <w:t xml:space="preserve">Input: Select all that apply</w:t>
            </w:r>
          </w:p>
          <w:p>
            <w:pPr>
              <w:pStyle w:val="ListParagraph"/>
              <w:numPr>
                <w:ilvl w:val="0"/>
                <w:numId w:val="2"/>
              </w:numPr>
              <w:spacing w:before="16" w:after="16"/>
            </w:pPr>
            <w:r>
              <w:rPr>
                <w:rFonts w:ascii="Arial" w:cs="Arial" w:eastAsia="Arial" w:hAnsi="Arial"/>
                <w:color w:val="1a1a1a"/>
                <w:sz w:val="18"/>
                <w:szCs w:val="18"/>
              </w:rPr>
              <w:t xml:space="preserve">Publicly available or non-sensitive information</w:t>
            </w:r>
          </w:p>
          <w:p>
            <w:pPr>
              <w:pStyle w:val="ListParagraph"/>
              <w:numPr>
                <w:ilvl w:val="0"/>
                <w:numId w:val="2"/>
              </w:numPr>
              <w:spacing w:before="16" w:after="16"/>
            </w:pPr>
            <w:r>
              <w:rPr>
                <w:rFonts w:ascii="Arial" w:cs="Arial" w:eastAsia="Arial" w:hAnsi="Arial"/>
                <w:color w:val="1a1a1a"/>
                <w:sz w:val="18"/>
                <w:szCs w:val="18"/>
              </w:rPr>
              <w:t xml:space="preserve">Internal institutional data (directories, schedules, operational records)</w:t>
            </w:r>
          </w:p>
          <w:p>
            <w:pPr>
              <w:pStyle w:val="ListParagraph"/>
              <w:numPr>
                <w:ilvl w:val="0"/>
                <w:numId w:val="2"/>
              </w:numPr>
              <w:spacing w:before="16" w:after="16"/>
            </w:pPr>
            <w:r>
              <w:rPr>
                <w:rFonts w:ascii="Arial" w:cs="Arial" w:eastAsia="Arial" w:hAnsi="Arial"/>
                <w:color w:val="1a1a1a"/>
                <w:sz w:val="18"/>
                <w:szCs w:val="18"/>
              </w:rPr>
              <w:t xml:space="preserve">Student records or FERPA-covered data</w:t>
            </w:r>
          </w:p>
          <w:p>
            <w:pPr>
              <w:pStyle w:val="ListParagraph"/>
              <w:numPr>
                <w:ilvl w:val="0"/>
                <w:numId w:val="2"/>
              </w:numPr>
              <w:spacing w:before="16" w:after="16"/>
            </w:pPr>
            <w:r>
              <w:rPr>
                <w:rFonts w:ascii="Arial" w:cs="Arial" w:eastAsia="Arial" w:hAnsi="Arial"/>
                <w:color w:val="1a1a1a"/>
                <w:sz w:val="18"/>
                <w:szCs w:val="18"/>
              </w:rPr>
              <w:t xml:space="preserve">Employee or HR data</w:t>
            </w:r>
          </w:p>
          <w:p>
            <w:pPr>
              <w:pStyle w:val="ListParagraph"/>
              <w:numPr>
                <w:ilvl w:val="0"/>
                <w:numId w:val="2"/>
              </w:numPr>
              <w:spacing w:before="16" w:after="16"/>
            </w:pPr>
            <w:r>
              <w:rPr>
                <w:rFonts w:ascii="Arial" w:cs="Arial" w:eastAsia="Arial" w:hAnsi="Arial"/>
                <w:color w:val="1a1a1a"/>
                <w:sz w:val="18"/>
                <w:szCs w:val="18"/>
              </w:rPr>
              <w:t xml:space="preserve">Health or medical data (HIPAA-covered)</w:t>
            </w:r>
          </w:p>
          <w:p>
            <w:pPr>
              <w:pStyle w:val="ListParagraph"/>
              <w:numPr>
                <w:ilvl w:val="0"/>
                <w:numId w:val="2"/>
              </w:numPr>
              <w:spacing w:before="16" w:after="16"/>
            </w:pPr>
            <w:r>
              <w:rPr>
                <w:rFonts w:ascii="Arial" w:cs="Arial" w:eastAsia="Arial" w:hAnsi="Arial"/>
                <w:color w:val="1a1a1a"/>
                <w:sz w:val="18"/>
                <w:szCs w:val="18"/>
              </w:rPr>
              <w:t xml:space="preserve">Research data (IRB-approved studies, human subjects data)</w:t>
            </w:r>
          </w:p>
          <w:p>
            <w:pPr>
              <w:pStyle w:val="ListParagraph"/>
              <w:numPr>
                <w:ilvl w:val="0"/>
                <w:numId w:val="2"/>
              </w:numPr>
              <w:spacing w:before="16" w:after="16"/>
            </w:pPr>
            <w:r>
              <w:rPr>
                <w:rFonts w:ascii="Arial" w:cs="Arial" w:eastAsia="Arial" w:hAnsi="Arial"/>
                <w:color w:val="1a1a1a"/>
                <w:sz w:val="18"/>
                <w:szCs w:val="18"/>
              </w:rPr>
              <w:t xml:space="preserve">Export-controlled data or controlled unclassified information</w:t>
            </w:r>
          </w:p>
          <w:p>
            <w:pPr>
              <w:pStyle w:val="ListParagraph"/>
              <w:numPr>
                <w:ilvl w:val="0"/>
                <w:numId w:val="2"/>
              </w:numPr>
              <w:spacing w:before="16" w:after="16"/>
            </w:pPr>
            <w:r>
              <w:rPr>
                <w:rFonts w:ascii="Arial" w:cs="Arial" w:eastAsia="Arial" w:hAnsi="Arial"/>
                <w:color w:val="1a1a1a"/>
                <w:sz w:val="18"/>
                <w:szCs w:val="18"/>
              </w:rPr>
              <w:t xml:space="preserve">Tribal or indigenous community data</w:t>
            </w:r>
          </w:p>
          <w:p>
            <w:pPr>
              <w:pStyle w:val="ListParagraph"/>
              <w:numPr>
                <w:ilvl w:val="0"/>
                <w:numId w:val="2"/>
              </w:numPr>
              <w:spacing w:before="16" w:after="16"/>
            </w:pPr>
            <w:r>
              <w:rPr>
                <w:rFonts w:ascii="Arial" w:cs="Arial" w:eastAsia="Arial" w:hAnsi="Arial"/>
                <w:color w:val="1a1a1a"/>
                <w:sz w:val="18"/>
                <w:szCs w:val="18"/>
              </w:rPr>
              <w:t xml:space="preserve">Payment, financial, or banking data</w:t>
            </w:r>
          </w:p>
          <w:p>
            <w:pPr>
              <w:pStyle w:val="ListParagraph"/>
              <w:numPr>
                <w:ilvl w:val="0"/>
                <w:numId w:val="2"/>
              </w:numPr>
              <w:spacing w:before="16" w:after="16"/>
            </w:pPr>
            <w:r>
              <w:rPr>
                <w:rFonts w:ascii="Arial" w:cs="Arial" w:eastAsia="Arial" w:hAnsi="Arial"/>
                <w:color w:val="1a1a1a"/>
                <w:sz w:val="18"/>
                <w:szCs w:val="18"/>
              </w:rPr>
              <w:t xml:space="preserve">Authentication credentials or identity data</w:t>
            </w:r>
          </w:p>
          <w:p>
            <w:pPr>
              <w:pStyle w:val="ListParagraph"/>
              <w:numPr>
                <w:ilvl w:val="0"/>
                <w:numId w:val="2"/>
              </w:numPr>
              <w:spacing w:before="16" w:after="16"/>
            </w:pPr>
            <w:r>
              <w:rPr>
                <w:rFonts w:ascii="Arial" w:cs="Arial" w:eastAsia="Arial" w:hAnsi="Arial"/>
                <w:color w:val="1a1a1a"/>
                <w:sz w:val="18"/>
                <w:szCs w:val="18"/>
              </w:rPr>
              <w:t xml:space="preserve">Behavioral, engagement, or performance data about individuals</w:t>
            </w:r>
          </w:p>
          <w:p>
            <w:pPr>
              <w:spacing w:before="40" w:after="0"/>
            </w:pPr>
            <w:r>
              <w:t xml:space="preserve"/>
            </w:r>
          </w:p>
          <w:p>
            <w:pPr>
              <w:spacing w:before="0" w:after="0"/>
            </w:pPr>
            <w:r>
              <w:rPr>
                <w:rFonts w:ascii="Arial" w:cs="Arial" w:eastAsia="Arial" w:hAnsi="Arial"/>
                <w:i/>
                <w:iCs/>
                <w:color w:val="1565C0"/>
                <w:sz w:val="17"/>
                <w:szCs w:val="17"/>
              </w:rPr>
              <w:t xml:space="preserve">Routing logic: HIPAA, IRB human subjects, export-controlled, or tribal data = Track 4 immediately. FERPA + public-facing = Track 4. All others inform Data Sensitivity dimension weight.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71C1C" w:val="clear"/>
            <w:tcMar>
              <w:top w:type="dxa" w:w="100"/>
              <w:left w:type="dxa" w:w="120"/>
              <w:bottom w:type="dxa" w:w="100"/>
              <w:right w:type="dxa" w:w="0"/>
            </w:tcMar>
            <w:vAlign w:val="center"/>
          </w:tcPr>
          <w:p>
            <w:pPr>
              <w:jc w:val="center"/>
            </w:pPr>
            <w:r>
              <w:rPr>
                <w:rFonts w:ascii="Arial" w:cs="Arial" w:eastAsia="Arial" w:hAnsi="Arial"/>
                <w:b/>
                <w:bCs/>
                <w:color w:val="FFFFFF"/>
                <w:sz w:val="24"/>
                <w:szCs w:val="24"/>
              </w:rPr>
              <w:t xml:space="preserve">!</w:t>
            </w:r>
          </w:p>
        </w:tc>
        <w:tc>
          <w:tcPr>
            <w:tcW w:type="dxa" w:w="896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r>
              <w:rPr>
                <w:rFonts w:ascii="Arial" w:cs="Arial" w:eastAsia="Arial" w:hAnsi="Arial"/>
                <w:color w:val="B71C1C"/>
                <w:sz w:val="18"/>
                <w:szCs w:val="18"/>
              </w:rPr>
              <w:t xml:space="preserve">ESCALATE: HIPAA, IRB human subjects, export-controlled, or tribal/indigenous data routes to Track 4 regardless of all other scores.</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Q11</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Where does the data live?</w:t>
            </w:r>
          </w:p>
          <w:p>
            <w:pPr>
              <w:spacing w:before="0" w:after="60"/>
            </w:pPr>
            <w:r>
              <w:rPr>
                <w:rFonts w:ascii="Arial" w:cs="Arial" w:eastAsia="Arial" w:hAnsi="Arial"/>
                <w:i/>
                <w:iCs/>
                <w:color w:val="666666"/>
                <w:sz w:val="16"/>
                <w:szCs w:val="16"/>
              </w:rPr>
              <w:t xml:space="preserve">Input: Select all that apply</w:t>
            </w:r>
          </w:p>
          <w:p>
            <w:pPr>
              <w:pStyle w:val="ListParagraph"/>
              <w:numPr>
                <w:ilvl w:val="0"/>
                <w:numId w:val="2"/>
              </w:numPr>
              <w:spacing w:before="16" w:after="16"/>
            </w:pPr>
            <w:r>
              <w:rPr>
                <w:rFonts w:ascii="Arial" w:cs="Arial" w:eastAsia="Arial" w:hAnsi="Arial"/>
                <w:color w:val="1a1a1a"/>
                <w:sz w:val="18"/>
                <w:szCs w:val="18"/>
              </w:rPr>
              <w:t xml:space="preserve">Entirely within campus IT-managed infrastructure</w:t>
            </w:r>
          </w:p>
          <w:p>
            <w:pPr>
              <w:pStyle w:val="ListParagraph"/>
              <w:numPr>
                <w:ilvl w:val="0"/>
                <w:numId w:val="2"/>
              </w:numPr>
              <w:spacing w:before="16" w:after="16"/>
            </w:pPr>
            <w:r>
              <w:rPr>
                <w:rFonts w:ascii="Arial" w:cs="Arial" w:eastAsia="Arial" w:hAnsi="Arial"/>
                <w:color w:val="1a1a1a"/>
                <w:sz w:val="18"/>
                <w:szCs w:val="18"/>
              </w:rPr>
              <w:t xml:space="preserve">Third-party platform covered by an approved campus data processing agreement (DPA)</w:t>
            </w:r>
          </w:p>
          <w:p>
            <w:pPr>
              <w:pStyle w:val="ListParagraph"/>
              <w:numPr>
                <w:ilvl w:val="0"/>
                <w:numId w:val="2"/>
              </w:numPr>
              <w:spacing w:before="16" w:after="16"/>
            </w:pPr>
            <w:r>
              <w:rPr>
                <w:rFonts w:ascii="Arial" w:cs="Arial" w:eastAsia="Arial" w:hAnsi="Arial"/>
                <w:color w:val="1a1a1a"/>
                <w:sz w:val="18"/>
                <w:szCs w:val="18"/>
              </w:rPr>
              <w:t xml:space="preserve">Third-party platform — DPA status unknown or not yet reviewed</w:t>
            </w:r>
          </w:p>
          <w:p>
            <w:pPr>
              <w:pStyle w:val="ListParagraph"/>
              <w:numPr>
                <w:ilvl w:val="0"/>
                <w:numId w:val="2"/>
              </w:numPr>
              <w:spacing w:before="16" w:after="16"/>
            </w:pPr>
            <w:r>
              <w:rPr>
                <w:rFonts w:ascii="Arial" w:cs="Arial" w:eastAsia="Arial" w:hAnsi="Arial"/>
                <w:color w:val="1a1a1a"/>
                <w:sz w:val="18"/>
                <w:szCs w:val="18"/>
              </w:rPr>
              <w:t xml:space="preserve">Personal accounts or services (personal Google Drive, personal AWS, Dropbox, etc.)</w:t>
            </w:r>
          </w:p>
          <w:p>
            <w:pPr>
              <w:pStyle w:val="ListParagraph"/>
              <w:numPr>
                <w:ilvl w:val="0"/>
                <w:numId w:val="2"/>
              </w:numPr>
              <w:spacing w:before="16" w:after="16"/>
            </w:pPr>
            <w:r>
              <w:rPr>
                <w:rFonts w:ascii="Arial" w:cs="Arial" w:eastAsia="Arial" w:hAnsi="Arial"/>
                <w:color w:val="1a1a1a"/>
                <w:sz w:val="18"/>
                <w:szCs w:val="18"/>
              </w:rPr>
              <w:t xml:space="preserve">The tool does not persist data — it processes and discards</w:t>
            </w:r>
          </w:p>
          <w:p>
            <w:pPr>
              <w:spacing w:before="40" w:after="0"/>
            </w:pPr>
            <w:r>
              <w:t xml:space="preserve"/>
            </w:r>
          </w:p>
          <w:p>
            <w:pPr>
              <w:spacing w:before="0" w:after="0"/>
            </w:pPr>
            <w:r>
              <w:rPr>
                <w:rFonts w:ascii="Arial" w:cs="Arial" w:eastAsia="Arial" w:hAnsi="Arial"/>
                <w:i/>
                <w:iCs/>
                <w:color w:val="1565C0"/>
                <w:sz w:val="17"/>
                <w:szCs w:val="17"/>
              </w:rPr>
              <w:t xml:space="preserve">Routing logic: Personal accounts storing campus data = Track 4. Unknown DPA status = mandatory review.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71C1C" w:val="clear"/>
            <w:tcMar>
              <w:top w:type="dxa" w:w="100"/>
              <w:left w:type="dxa" w:w="120"/>
              <w:bottom w:type="dxa" w:w="100"/>
              <w:right w:type="dxa" w:w="0"/>
            </w:tcMar>
            <w:vAlign w:val="center"/>
          </w:tcPr>
          <w:p>
            <w:pPr>
              <w:jc w:val="center"/>
            </w:pPr>
            <w:r>
              <w:rPr>
                <w:rFonts w:ascii="Arial" w:cs="Arial" w:eastAsia="Arial" w:hAnsi="Arial"/>
                <w:b/>
                <w:bCs/>
                <w:color w:val="FFFFFF"/>
                <w:sz w:val="24"/>
                <w:szCs w:val="24"/>
              </w:rPr>
              <w:t xml:space="preserve">!</w:t>
            </w:r>
          </w:p>
        </w:tc>
        <w:tc>
          <w:tcPr>
            <w:tcW w:type="dxa" w:w="896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r>
              <w:rPr>
                <w:rFonts w:ascii="Arial" w:cs="Arial" w:eastAsia="Arial" w:hAnsi="Arial"/>
                <w:color w:val="B71C1C"/>
                <w:sz w:val="18"/>
                <w:szCs w:val="18"/>
              </w:rPr>
              <w:t xml:space="preserve">ESCALATE: Institutional data stored in personal accounts or unapproved services without an approved DPA routes to Track 4.</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Q12</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Does any data leave campus to be processed by an AI model?</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No — no data is sent to an external AI model</w:t>
            </w:r>
          </w:p>
          <w:p>
            <w:pPr>
              <w:pStyle w:val="ListParagraph"/>
              <w:numPr>
                <w:ilvl w:val="0"/>
                <w:numId w:val="2"/>
              </w:numPr>
              <w:spacing w:before="16" w:after="16"/>
            </w:pPr>
            <w:r>
              <w:rPr>
                <w:rFonts w:ascii="Arial" w:cs="Arial" w:eastAsia="Arial" w:hAnsi="Arial"/>
                <w:color w:val="1a1a1a"/>
                <w:sz w:val="18"/>
                <w:szCs w:val="18"/>
              </w:rPr>
              <w:t xml:space="preserve">Yes — to an approved provider with a campus data processing agreement (e.g., Anthropic, Microsoft Azure OpenAI)</w:t>
            </w:r>
          </w:p>
          <w:p>
            <w:pPr>
              <w:pStyle w:val="ListParagraph"/>
              <w:numPr>
                <w:ilvl w:val="0"/>
                <w:numId w:val="2"/>
              </w:numPr>
              <w:spacing w:before="16" w:after="16"/>
            </w:pPr>
            <w:r>
              <w:rPr>
                <w:rFonts w:ascii="Arial" w:cs="Arial" w:eastAsia="Arial" w:hAnsi="Arial"/>
                <w:color w:val="1a1a1a"/>
                <w:sz w:val="18"/>
                <w:szCs w:val="18"/>
              </w:rPr>
              <w:t xml:space="preserve">Yes — to a provider whose DPA status is unknown or not yet reviewed</w:t>
            </w:r>
          </w:p>
          <w:p>
            <w:pPr>
              <w:pStyle w:val="ListParagraph"/>
              <w:numPr>
                <w:ilvl w:val="0"/>
                <w:numId w:val="2"/>
              </w:numPr>
              <w:spacing w:before="16" w:after="16"/>
            </w:pPr>
            <w:r>
              <w:rPr>
                <w:rFonts w:ascii="Arial" w:cs="Arial" w:eastAsia="Arial" w:hAnsi="Arial"/>
                <w:color w:val="1a1a1a"/>
                <w:sz w:val="18"/>
                <w:szCs w:val="18"/>
              </w:rPr>
              <w:t xml:space="preserve">Yes — to a provider with no DPA</w:t>
            </w:r>
          </w:p>
          <w:p>
            <w:pPr>
              <w:spacing w:before="40" w:after="0"/>
            </w:pPr>
            <w:r>
              <w:t xml:space="preserve"/>
            </w:r>
          </w:p>
          <w:p>
            <w:pPr>
              <w:spacing w:before="0" w:after="0"/>
            </w:pPr>
            <w:r>
              <w:rPr>
                <w:rFonts w:ascii="Arial" w:cs="Arial" w:eastAsia="Arial" w:hAnsi="Arial"/>
                <w:i/>
                <w:iCs/>
                <w:color w:val="1565C0"/>
                <w:sz w:val="17"/>
                <w:szCs w:val="17"/>
              </w:rPr>
              <w:t xml:space="preserve">Routing logic: No DPA or unknown DPA status = Track 4. Approved provider with DPA informs AI-specific dimension scoring.</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Q13</w:t>
            </w:r>
          </w:p>
          <w:p>
            <w:pPr>
              <w:jc w:val="center"/>
            </w:pPr>
            <w:r>
              <w:rPr>
                <w:rFonts w:ascii="Arial" w:cs="Arial" w:eastAsia="Arial" w:hAnsi="Arial"/>
                <w:color w:val="888888"/>
                <w:sz w:val="14"/>
                <w:szCs w:val="14"/>
              </w:rPr>
              <w:t xml:space="preserve">optional</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If this tool uses an AI model via API, which provider and model?</w:t>
            </w:r>
          </w:p>
          <w:p>
            <w:pPr>
              <w:spacing w:before="0" w:after="60"/>
            </w:pPr>
            <w:r>
              <w:rPr>
                <w:rFonts w:ascii="Arial" w:cs="Arial" w:eastAsia="Arial" w:hAnsi="Arial"/>
                <w:i/>
                <w:iCs/>
                <w:color w:val="666666"/>
                <w:sz w:val="16"/>
                <w:szCs w:val="16"/>
              </w:rPr>
              <w:t xml:space="preserve">Input: Free text</w:t>
            </w:r>
          </w:p>
          <w:p>
            <w:pPr>
              <w:spacing w:before="40" w:after="0"/>
            </w:pPr>
            <w:r>
              <w:t xml:space="preserve"/>
            </w:r>
          </w:p>
          <w:p>
            <w:pPr>
              <w:spacing w:before="0" w:after="0"/>
            </w:pPr>
            <w:r>
              <w:rPr>
                <w:rFonts w:ascii="Arial" w:cs="Arial" w:eastAsia="Arial" w:hAnsi="Arial"/>
                <w:i/>
                <w:iCs/>
                <w:color w:val="1565C0"/>
                <w:sz w:val="17"/>
                <w:szCs w:val="17"/>
              </w:rPr>
              <w:t xml:space="preserve">Routing logic: Used to assess model drift risk. Tool owner is responsible for monitoring provider changelogs for updates that alter model behavior. Required for all AI-powered tools.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B1A29"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FFF0F0" w:val="clear"/>
            <w:tcMar>
              <w:top w:type="dxa" w:w="120"/>
              <w:left w:type="dxa" w:w="200"/>
              <w:bottom w:type="dxa" w:w="120"/>
              <w:right w:type="dxa" w:w="160"/>
            </w:tcMar>
          </w:tcPr>
          <w:p>
            <w:pPr>
              <w:spacing w:before="0" w:after="20"/>
            </w:pPr>
            <w:r>
              <w:rPr>
                <w:rFonts w:ascii="Arial" w:cs="Arial" w:eastAsia="Arial" w:hAnsi="Arial"/>
                <w:b/>
                <w:bCs/>
                <w:color w:val="6B1A29"/>
                <w:sz w:val="24"/>
                <w:szCs w:val="24"/>
              </w:rPr>
              <w:t xml:space="preserve">Maintenance and Ownership</w:t>
            </w:r>
          </w:p>
          <w:p>
            <w:pPr>
              <w:spacing w:before="0" w:after="0"/>
            </w:pPr>
            <w:r>
              <w:rPr>
                <w:rFonts w:ascii="Arial" w:cs="Arial" w:eastAsia="Arial" w:hAnsi="Arial"/>
                <w:i/>
                <w:iCs/>
                <w:color w:val="555555"/>
                <w:sz w:val="18"/>
                <w:szCs w:val="18"/>
              </w:rPr>
              <w:t xml:space="preserve">Who owns this tool, what happens when you leave, and how it will be supported</w:t>
            </w:r>
          </w:p>
        </w:tc>
      </w:tr>
    </w:tbl>
    <w:p>
      <w:pPr>
        <w:spacing w:before="80" w:after="0"/>
      </w:pPr>
      <w:r>
        <w:t xml:space="preserve"/>
      </w:r>
    </w:p>
    <w:p>
      <w:pPr>
        <w:spacing w:before="60" w:after="60"/>
      </w:pPr>
      <w:r>
        <w:rPr>
          <w:rFonts w:ascii="Arial" w:cs="Arial" w:eastAsia="Arial" w:hAnsi="Arial"/>
          <w:i/>
          <w:iCs/>
          <w:color w:val="1a1a1a"/>
          <w:sz w:val="20"/>
          <w:szCs w:val="20"/>
        </w:rPr>
        <w:t xml:space="preserve">All approved tools are hosted in the campus code repository and deployed on campus IT infrastructure. This section determines whether IT can accept operational responsibility and what the ongoing support model looks like.</w:t>
      </w:r>
    </w:p>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Q14</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Who owns this tool?</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I built it and I am the owner</w:t>
            </w:r>
          </w:p>
          <w:p>
            <w:pPr>
              <w:pStyle w:val="ListParagraph"/>
              <w:numPr>
                <w:ilvl w:val="0"/>
                <w:numId w:val="2"/>
              </w:numPr>
              <w:spacing w:before="16" w:after="16"/>
            </w:pPr>
            <w:r>
              <w:rPr>
                <w:rFonts w:ascii="Arial" w:cs="Arial" w:eastAsia="Arial" w:hAnsi="Arial"/>
                <w:color w:val="1a1a1a"/>
                <w:sz w:val="18"/>
                <w:szCs w:val="18"/>
              </w:rPr>
              <w:t xml:space="preserve">I built it on behalf of a department or unit (department is the owner)</w:t>
            </w:r>
          </w:p>
          <w:p>
            <w:pPr>
              <w:pStyle w:val="ListParagraph"/>
              <w:numPr>
                <w:ilvl w:val="0"/>
                <w:numId w:val="2"/>
              </w:numPr>
              <w:spacing w:before="16" w:after="16"/>
            </w:pPr>
            <w:r>
              <w:rPr>
                <w:rFonts w:ascii="Arial" w:cs="Arial" w:eastAsia="Arial" w:hAnsi="Arial"/>
                <w:color w:val="1a1a1a"/>
                <w:sz w:val="18"/>
                <w:szCs w:val="18"/>
              </w:rPr>
              <w:t xml:space="preserve">A vendor or contractor built it</w:t>
            </w:r>
          </w:p>
          <w:p>
            <w:pPr>
              <w:pStyle w:val="ListParagraph"/>
              <w:numPr>
                <w:ilvl w:val="0"/>
                <w:numId w:val="2"/>
              </w:numPr>
              <w:spacing w:before="16" w:after="16"/>
            </w:pPr>
            <w:r>
              <w:rPr>
                <w:rFonts w:ascii="Arial" w:cs="Arial" w:eastAsia="Arial" w:hAnsi="Arial"/>
                <w:color w:val="1a1a1a"/>
                <w:sz w:val="18"/>
                <w:szCs w:val="18"/>
              </w:rPr>
              <w:t xml:space="preserve">Ownership is unclear or shared informally</w:t>
            </w:r>
          </w:p>
          <w:p>
            <w:pPr>
              <w:spacing w:before="40" w:after="0"/>
            </w:pPr>
            <w:r>
              <w:t xml:space="preserve"/>
            </w:r>
          </w:p>
          <w:p>
            <w:pPr>
              <w:spacing w:before="0" w:after="0"/>
            </w:pPr>
            <w:r>
              <w:rPr>
                <w:rFonts w:ascii="Arial" w:cs="Arial" w:eastAsia="Arial" w:hAnsi="Arial"/>
                <w:i/>
                <w:iCs/>
                <w:color w:val="1565C0"/>
                <w:sz w:val="17"/>
                <w:szCs w:val="17"/>
              </w:rPr>
              <w:t xml:space="preserve">Routing logic: Unclear ownership requires IT consultation before review. Vendor-built requires additional vendor review and data handling assessment.</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Q15</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Is the code currently in version control?</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Yes — already in the campus code repository</w:t>
            </w:r>
          </w:p>
          <w:p>
            <w:pPr>
              <w:pStyle w:val="ListParagraph"/>
              <w:numPr>
                <w:ilvl w:val="0"/>
                <w:numId w:val="2"/>
              </w:numPr>
              <w:spacing w:before="16" w:after="16"/>
            </w:pPr>
            <w:r>
              <w:rPr>
                <w:rFonts w:ascii="Arial" w:cs="Arial" w:eastAsia="Arial" w:hAnsi="Arial"/>
                <w:color w:val="1a1a1a"/>
                <w:sz w:val="18"/>
                <w:szCs w:val="18"/>
              </w:rPr>
              <w:t xml:space="preserve">Yes — in my personal GitHub or GitLab</w:t>
            </w:r>
          </w:p>
          <w:p>
            <w:pPr>
              <w:pStyle w:val="ListParagraph"/>
              <w:numPr>
                <w:ilvl w:val="0"/>
                <w:numId w:val="2"/>
              </w:numPr>
              <w:spacing w:before="16" w:after="16"/>
            </w:pPr>
            <w:r>
              <w:rPr>
                <w:rFonts w:ascii="Arial" w:cs="Arial" w:eastAsia="Arial" w:hAnsi="Arial"/>
                <w:color w:val="1a1a1a"/>
                <w:sz w:val="18"/>
                <w:szCs w:val="18"/>
              </w:rPr>
              <w:t xml:space="preserve">Yes — in a department or project repository outside campus IT</w:t>
            </w:r>
          </w:p>
          <w:p>
            <w:pPr>
              <w:pStyle w:val="ListParagraph"/>
              <w:numPr>
                <w:ilvl w:val="0"/>
                <w:numId w:val="2"/>
              </w:numPr>
              <w:spacing w:before="16" w:after="16"/>
            </w:pPr>
            <w:r>
              <w:rPr>
                <w:rFonts w:ascii="Arial" w:cs="Arial" w:eastAsia="Arial" w:hAnsi="Arial"/>
                <w:color w:val="1a1a1a"/>
                <w:sz w:val="18"/>
                <w:szCs w:val="18"/>
              </w:rPr>
              <w:t xml:space="preserve">No version control</w:t>
            </w:r>
          </w:p>
          <w:p>
            <w:pPr>
              <w:spacing w:before="40" w:after="0"/>
            </w:pPr>
            <w:r>
              <w:t xml:space="preserve"/>
            </w:r>
          </w:p>
          <w:p>
            <w:pPr>
              <w:spacing w:before="0" w:after="0"/>
            </w:pPr>
            <w:r>
              <w:rPr>
                <w:rFonts w:ascii="Arial" w:cs="Arial" w:eastAsia="Arial" w:hAnsi="Arial"/>
                <w:i/>
                <w:iCs/>
                <w:color w:val="1565C0"/>
                <w:sz w:val="17"/>
                <w:szCs w:val="17"/>
              </w:rPr>
              <w:t xml:space="preserve">Routing logic: All approved tools must be in the campus code repository as a condition of production approval. No version control blocks approval at Track 2 and above.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71C1C" w:val="clear"/>
            <w:tcMar>
              <w:top w:type="dxa" w:w="100"/>
              <w:left w:type="dxa" w:w="120"/>
              <w:bottom w:type="dxa" w:w="100"/>
              <w:right w:type="dxa" w:w="0"/>
            </w:tcMar>
            <w:vAlign w:val="center"/>
          </w:tcPr>
          <w:p>
            <w:pPr>
              <w:jc w:val="center"/>
            </w:pPr>
            <w:r>
              <w:rPr>
                <w:rFonts w:ascii="Arial" w:cs="Arial" w:eastAsia="Arial" w:hAnsi="Arial"/>
                <w:b/>
                <w:bCs/>
                <w:color w:val="FFFFFF"/>
                <w:sz w:val="24"/>
                <w:szCs w:val="24"/>
              </w:rPr>
              <w:t xml:space="preserve">!</w:t>
            </w:r>
          </w:p>
        </w:tc>
        <w:tc>
          <w:tcPr>
            <w:tcW w:type="dxa" w:w="8960"/>
            <w:tcBorders>
              <w:top w:val="none" w:color="FFFFFF" w:sz="0"/>
              <w:left w:val="none" w:color="FFFFFF" w:sz="0"/>
              <w:bottom w:val="none" w:color="FFFFFF" w:sz="0"/>
              <w:right w:val="none" w:color="FFFFFF" w:sz="0"/>
            </w:tcBorders>
            <w:shd w:fill="FFEBEE" w:val="clear"/>
            <w:tcMar>
              <w:top w:type="dxa" w:w="100"/>
              <w:left w:type="dxa" w:w="160"/>
              <w:bottom w:type="dxa" w:w="100"/>
              <w:right w:type="dxa" w:w="160"/>
            </w:tcMar>
          </w:tcPr>
          <w:p>
            <w:r>
              <w:rPr>
                <w:rFonts w:ascii="Arial" w:cs="Arial" w:eastAsia="Arial" w:hAnsi="Arial"/>
                <w:color w:val="B71C1C"/>
                <w:sz w:val="18"/>
                <w:szCs w:val="18"/>
              </w:rPr>
              <w:t xml:space="preserve">ESCALATE: No version control at Track 2 or above blocks production approval until code is committed to the campus code repository.</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Q16</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If you left the university tomorrow, what would happen to this tool?</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There is a designated successor or team who understands the codebase and can maintain it</w:t>
            </w:r>
          </w:p>
          <w:p>
            <w:pPr>
              <w:pStyle w:val="ListParagraph"/>
              <w:numPr>
                <w:ilvl w:val="0"/>
                <w:numId w:val="2"/>
              </w:numPr>
              <w:spacing w:before="16" w:after="16"/>
            </w:pPr>
            <w:r>
              <w:rPr>
                <w:rFonts w:ascii="Arial" w:cs="Arial" w:eastAsia="Arial" w:hAnsi="Arial"/>
                <w:color w:val="1a1a1a"/>
                <w:sz w:val="18"/>
                <w:szCs w:val="18"/>
              </w:rPr>
              <w:t xml:space="preserve">The code is documented well enough that someone else could pick it up</w:t>
            </w:r>
          </w:p>
          <w:p>
            <w:pPr>
              <w:pStyle w:val="ListParagraph"/>
              <w:numPr>
                <w:ilvl w:val="0"/>
                <w:numId w:val="2"/>
              </w:numPr>
              <w:spacing w:before="16" w:after="16"/>
            </w:pPr>
            <w:r>
              <w:rPr>
                <w:rFonts w:ascii="Arial" w:cs="Arial" w:eastAsia="Arial" w:hAnsi="Arial"/>
                <w:color w:val="1a1a1a"/>
                <w:sz w:val="18"/>
                <w:szCs w:val="18"/>
              </w:rPr>
              <w:t xml:space="preserve">Honestly, nobody else knows how it works</w:t>
            </w:r>
          </w:p>
          <w:p>
            <w:pPr>
              <w:pStyle w:val="ListParagraph"/>
              <w:numPr>
                <w:ilvl w:val="0"/>
                <w:numId w:val="2"/>
              </w:numPr>
              <w:spacing w:before="16" w:after="16"/>
            </w:pPr>
            <w:r>
              <w:rPr>
                <w:rFonts w:ascii="Arial" w:cs="Arial" w:eastAsia="Arial" w:hAnsi="Arial"/>
                <w:color w:val="1a1a1a"/>
                <w:sz w:val="18"/>
                <w:szCs w:val="18"/>
              </w:rPr>
              <w:t xml:space="preserve">It would probably stop being maintained</w:t>
            </w:r>
          </w:p>
          <w:p>
            <w:pPr>
              <w:spacing w:before="40" w:after="0"/>
            </w:pPr>
            <w:r>
              <w:t xml:space="preserve"/>
            </w:r>
          </w:p>
          <w:p>
            <w:pPr>
              <w:spacing w:before="0" w:after="0"/>
            </w:pPr>
            <w:r>
              <w:rPr>
                <w:rFonts w:ascii="Arial" w:cs="Arial" w:eastAsia="Arial" w:hAnsi="Arial"/>
                <w:i/>
                <w:iCs/>
                <w:color w:val="1565C0"/>
                <w:sz w:val="17"/>
                <w:szCs w:val="17"/>
              </w:rPr>
              <w:t xml:space="preserve">Routing logic: 'Nobody else knows how it works' + any user population above builder-only = mandatory supportability plan required. Blocks Track 3 and above until resolved.</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Q17</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What is the expected maintenance model?</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Set and forget — minimal changes expected after launch</w:t>
            </w:r>
          </w:p>
          <w:p>
            <w:pPr>
              <w:pStyle w:val="ListParagraph"/>
              <w:numPr>
                <w:ilvl w:val="0"/>
                <w:numId w:val="2"/>
              </w:numPr>
              <w:spacing w:before="16" w:after="16"/>
            </w:pPr>
            <w:r>
              <w:rPr>
                <w:rFonts w:ascii="Arial" w:cs="Arial" w:eastAsia="Arial" w:hAnsi="Arial"/>
                <w:color w:val="1a1a1a"/>
                <w:sz w:val="18"/>
                <w:szCs w:val="18"/>
              </w:rPr>
              <w:t xml:space="preserve">Occasional updates (bug fixes, content changes, dependency patches)</w:t>
            </w:r>
          </w:p>
          <w:p>
            <w:pPr>
              <w:pStyle w:val="ListParagraph"/>
              <w:numPr>
                <w:ilvl w:val="0"/>
                <w:numId w:val="2"/>
              </w:numPr>
              <w:spacing w:before="16" w:after="16"/>
            </w:pPr>
            <w:r>
              <w:rPr>
                <w:rFonts w:ascii="Arial" w:cs="Arial" w:eastAsia="Arial" w:hAnsi="Arial"/>
                <w:color w:val="1a1a1a"/>
                <w:sz w:val="18"/>
                <w:szCs w:val="18"/>
              </w:rPr>
              <w:t xml:space="preserve">Active development — features being added regularly</w:t>
            </w:r>
          </w:p>
          <w:p>
            <w:pPr>
              <w:pStyle w:val="ListParagraph"/>
              <w:numPr>
                <w:ilvl w:val="0"/>
                <w:numId w:val="2"/>
              </w:numPr>
              <w:spacing w:before="16" w:after="16"/>
            </w:pPr>
            <w:r>
              <w:rPr>
                <w:rFonts w:ascii="Arial" w:cs="Arial" w:eastAsia="Arial" w:hAnsi="Arial"/>
                <w:color w:val="1a1a1a"/>
                <w:sz w:val="18"/>
                <w:szCs w:val="18"/>
              </w:rPr>
              <w:t xml:space="preserve">Dependent on a third-party service that could change or be discontinued</w:t>
            </w:r>
          </w:p>
          <w:p>
            <w:pPr>
              <w:spacing w:before="40" w:after="0"/>
            </w:pPr>
            <w:r>
              <w:t xml:space="preserve"/>
            </w:r>
          </w:p>
          <w:p>
            <w:pPr>
              <w:spacing w:before="0" w:after="0"/>
            </w:pPr>
            <w:r>
              <w:rPr>
                <w:rFonts w:ascii="Arial" w:cs="Arial" w:eastAsia="Arial" w:hAnsi="Arial"/>
                <w:i/>
                <w:iCs/>
                <w:color w:val="1565C0"/>
                <w:sz w:val="17"/>
                <w:szCs w:val="17"/>
              </w:rPr>
              <w:t xml:space="preserve">Routing logic: Active development flags for re-review cadence discussion. Third-party dependency triggers continuity risk assessment.</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Q18</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If this tool breaks or has a security issue, who fixes it?</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Me — I am available and able to respond</w:t>
            </w:r>
          </w:p>
          <w:p>
            <w:pPr>
              <w:pStyle w:val="ListParagraph"/>
              <w:numPr>
                <w:ilvl w:val="0"/>
                <w:numId w:val="2"/>
              </w:numPr>
              <w:spacing w:before="16" w:after="16"/>
            </w:pPr>
            <w:r>
              <w:rPr>
                <w:rFonts w:ascii="Arial" w:cs="Arial" w:eastAsia="Arial" w:hAnsi="Arial"/>
                <w:color w:val="1a1a1a"/>
                <w:sz w:val="18"/>
                <w:szCs w:val="18"/>
              </w:rPr>
              <w:t xml:space="preserve">A team with documented processes and runbooks</w:t>
            </w:r>
          </w:p>
          <w:p>
            <w:pPr>
              <w:pStyle w:val="ListParagraph"/>
              <w:numPr>
                <w:ilvl w:val="0"/>
                <w:numId w:val="2"/>
              </w:numPr>
              <w:spacing w:before="16" w:after="16"/>
            </w:pPr>
            <w:r>
              <w:rPr>
                <w:rFonts w:ascii="Arial" w:cs="Arial" w:eastAsia="Arial" w:hAnsi="Arial"/>
                <w:color w:val="1a1a1a"/>
                <w:sz w:val="18"/>
                <w:szCs w:val="18"/>
              </w:rPr>
              <w:t xml:space="preserve">Me — but I am the only one who knows how it works</w:t>
            </w:r>
          </w:p>
          <w:p>
            <w:pPr>
              <w:pStyle w:val="ListParagraph"/>
              <w:numPr>
                <w:ilvl w:val="0"/>
                <w:numId w:val="2"/>
              </w:numPr>
              <w:spacing w:before="16" w:after="16"/>
            </w:pPr>
            <w:r>
              <w:rPr>
                <w:rFonts w:ascii="Arial" w:cs="Arial" w:eastAsia="Arial" w:hAnsi="Arial"/>
                <w:color w:val="1a1a1a"/>
                <w:sz w:val="18"/>
                <w:szCs w:val="18"/>
              </w:rPr>
              <w:t xml:space="preserve">Unknown</w:t>
            </w:r>
          </w:p>
          <w:p>
            <w:pPr>
              <w:spacing w:before="40" w:after="0"/>
            </w:pPr>
            <w:r>
              <w:t xml:space="preserve"/>
            </w:r>
          </w:p>
          <w:p>
            <w:pPr>
              <w:spacing w:before="0" w:after="0"/>
            </w:pPr>
            <w:r>
              <w:rPr>
                <w:rFonts w:ascii="Arial" w:cs="Arial" w:eastAsia="Arial" w:hAnsi="Arial"/>
                <w:i/>
                <w:iCs/>
                <w:color w:val="1565C0"/>
                <w:sz w:val="17"/>
                <w:szCs w:val="17"/>
              </w:rPr>
              <w:t xml:space="preserve">Routing logic: 'Only I know how it works' + Track 3 or Track 4 = supportability plan and knowledge transfer required before approval.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565C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E3F0FB" w:val="clear"/>
            <w:tcMar>
              <w:top w:type="dxa" w:w="120"/>
              <w:left w:type="dxa" w:w="200"/>
              <w:bottom w:type="dxa" w:w="120"/>
              <w:right w:type="dxa" w:w="160"/>
            </w:tcMar>
          </w:tcPr>
          <w:p>
            <w:pPr>
              <w:spacing w:before="0" w:after="20"/>
            </w:pPr>
            <w:r>
              <w:rPr>
                <w:rFonts w:ascii="Arial" w:cs="Arial" w:eastAsia="Arial" w:hAnsi="Arial"/>
                <w:b/>
                <w:bCs/>
                <w:color w:val="1565C0"/>
                <w:sz w:val="24"/>
                <w:szCs w:val="24"/>
              </w:rPr>
              <w:t xml:space="preserve">AI-Specific Questions</w:t>
            </w:r>
          </w:p>
          <w:p>
            <w:pPr>
              <w:spacing w:before="0" w:after="0"/>
            </w:pPr>
            <w:r>
              <w:rPr>
                <w:rFonts w:ascii="Arial" w:cs="Arial" w:eastAsia="Arial" w:hAnsi="Arial"/>
                <w:i/>
                <w:iCs/>
                <w:color w:val="555555"/>
                <w:sz w:val="18"/>
                <w:szCs w:val="18"/>
              </w:rPr>
              <w:t xml:space="preserve">Shown only when Q1 = AI-powered tool/agent, or Q12 = data sent to external AI model</w:t>
            </w:r>
          </w:p>
        </w:tc>
      </w:tr>
    </w:tbl>
    <w:p>
      <w:pPr>
        <w:spacing w:before="80" w:after="0"/>
      </w:pPr>
      <w:r>
        <w:t xml:space="preserve"/>
      </w:r>
    </w:p>
    <w:p>
      <w:pPr>
        <w:spacing w:before="60" w:after="60"/>
      </w:pPr>
      <w:r>
        <w:rPr>
          <w:rFonts w:ascii="Arial" w:cs="Arial" w:eastAsia="Arial" w:hAnsi="Arial"/>
          <w:i/>
          <w:iCs/>
          <w:color w:val="1a1a1a"/>
          <w:sz w:val="20"/>
          <w:szCs w:val="20"/>
        </w:rPr>
        <w:t xml:space="preserve">This section appears only for tools where an AI model is a core component, or where campus data is sent to an AI model for processing.</w:t>
      </w:r>
    </w:p>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Q19</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Can you explain in plain language what this tool does and what happens when it fails?</w:t>
            </w:r>
          </w:p>
          <w:p>
            <w:pPr>
              <w:spacing w:before="0" w:after="60"/>
            </w:pPr>
            <w:r>
              <w:rPr>
                <w:rFonts w:ascii="Arial" w:cs="Arial" w:eastAsia="Arial" w:hAnsi="Arial"/>
                <w:i/>
                <w:iCs/>
                <w:color w:val="666666"/>
                <w:sz w:val="16"/>
                <w:szCs w:val="16"/>
              </w:rPr>
              <w:t xml:space="preserve">Input: Free text — required for AI-powered tools</w:t>
            </w:r>
          </w:p>
          <w:p>
            <w:pPr>
              <w:spacing w:before="40" w:after="0"/>
            </w:pPr>
            <w:r>
              <w:t xml:space="preserve"/>
            </w:r>
          </w:p>
          <w:p>
            <w:pPr>
              <w:spacing w:before="0" w:after="0"/>
            </w:pPr>
            <w:r>
              <w:rPr>
                <w:rFonts w:ascii="Arial" w:cs="Arial" w:eastAsia="Arial" w:hAnsi="Arial"/>
                <w:i/>
                <w:iCs/>
                <w:color w:val="1565C0"/>
                <w:sz w:val="17"/>
                <w:szCs w:val="17"/>
              </w:rPr>
              <w:t xml:space="preserve">Routing logic: This is the Builder Comprehension check. The submitter must walk a non-technical reviewer through what the tool does, what data it touches, and what happens when it produces incorrect or unexpected output. Inability to explain = score of 3 on Builder Comprehension = contributes to Track 4 routing.</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Q20</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What decisions does this tool make or influence, and is there a human reviewer at the point of decision?</w:t>
            </w:r>
          </w:p>
          <w:p>
            <w:pPr>
              <w:spacing w:before="0" w:after="60"/>
            </w:pPr>
            <w:r>
              <w:rPr>
                <w:rFonts w:ascii="Arial" w:cs="Arial" w:eastAsia="Arial" w:hAnsi="Arial"/>
                <w:i/>
                <w:iCs/>
                <w:color w:val="666666"/>
                <w:sz w:val="16"/>
                <w:szCs w:val="16"/>
              </w:rPr>
              <w:t xml:space="preserve">Input: Free text</w:t>
            </w:r>
          </w:p>
          <w:p>
            <w:pPr>
              <w:spacing w:before="40" w:after="0"/>
            </w:pPr>
            <w:r>
              <w:t xml:space="preserve"/>
            </w:r>
          </w:p>
          <w:p>
            <w:pPr>
              <w:spacing w:before="0" w:after="0"/>
            </w:pPr>
            <w:r>
              <w:rPr>
                <w:rFonts w:ascii="Arial" w:cs="Arial" w:eastAsia="Arial" w:hAnsi="Arial"/>
                <w:i/>
                <w:iCs/>
                <w:color w:val="1565C0"/>
                <w:sz w:val="17"/>
                <w:szCs w:val="17"/>
              </w:rPr>
              <w:t xml:space="preserve">Routing logic: Informs Autonomy dimension scoring. Autonomous decisions affecting grades, enrollment, employment, financial aid, or student standing without human review = Track 4.</w:t>
            </w:r>
          </w:p>
        </w:tc>
      </w:tr>
    </w:tbl>
    <w:p>
      <w:pPr>
        <w:spacing w:before="80" w:after="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8E8" w:val="clear"/>
            <w:tcMar>
              <w:top w:type="dxa" w:w="100"/>
              <w:left w:type="dxa" w:w="120"/>
              <w:bottom w:type="dxa" w:w="100"/>
              <w:right w:type="dxa" w:w="120"/>
            </w:tcMar>
            <w:vAlign w:val="center"/>
          </w:tcPr>
          <w:p>
            <w:pPr>
              <w:jc w:val="center"/>
            </w:pPr>
            <w:r>
              <w:rPr>
                <w:rFonts w:ascii="Arial" w:cs="Arial" w:eastAsia="Arial" w:hAnsi="Arial"/>
                <w:b/>
                <w:bCs/>
                <w:color w:val="555555"/>
                <w:sz w:val="18"/>
                <w:szCs w:val="18"/>
              </w:rPr>
              <w:t xml:space="preserve">Q21</w:t>
            </w:r>
          </w:p>
          <w:p>
            <w:pPr>
              <w:jc w:val="center"/>
            </w:pPr>
            <w:r>
              <w:rPr>
                <w:rFonts w:ascii="Arial" w:cs="Arial" w:eastAsia="Arial" w:hAnsi="Arial"/>
                <w:color w:val="B71C1C"/>
                <w:sz w:val="14"/>
                <w:szCs w:val="14"/>
              </w:rPr>
              <w:t xml:space="preserve">REQUIRED</w:t>
            </w:r>
          </w:p>
        </w:tc>
        <w:tc>
          <w:tcPr>
            <w:tcW w:type="dxa" w:w="8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pPr>
              <w:spacing w:before="0" w:after="60"/>
            </w:pPr>
            <w:r>
              <w:rPr>
                <w:rFonts w:ascii="Arial" w:cs="Arial" w:eastAsia="Arial" w:hAnsi="Arial"/>
                <w:b/>
                <w:bCs/>
                <w:color w:val="1a1a1a"/>
                <w:sz w:val="20"/>
                <w:szCs w:val="20"/>
              </w:rPr>
              <w:t xml:space="preserve">Will users know they are interacting with or being evaluated by an AI system?</w:t>
            </w:r>
          </w:p>
          <w:p>
            <w:pPr>
              <w:spacing w:before="0" w:after="60"/>
            </w:pPr>
            <w:r>
              <w:rPr>
                <w:rFonts w:ascii="Arial" w:cs="Arial" w:eastAsia="Arial" w:hAnsi="Arial"/>
                <w:i/>
                <w:iCs/>
                <w:color w:val="666666"/>
                <w:sz w:val="16"/>
                <w:szCs w:val="16"/>
              </w:rPr>
              <w:t xml:space="preserve">Input: Single select</w:t>
            </w:r>
          </w:p>
          <w:p>
            <w:pPr>
              <w:pStyle w:val="ListParagraph"/>
              <w:numPr>
                <w:ilvl w:val="0"/>
                <w:numId w:val="2"/>
              </w:numPr>
              <w:spacing w:before="16" w:after="16"/>
            </w:pPr>
            <w:r>
              <w:rPr>
                <w:rFonts w:ascii="Arial" w:cs="Arial" w:eastAsia="Arial" w:hAnsi="Arial"/>
                <w:color w:val="1a1a1a"/>
                <w:sz w:val="18"/>
                <w:szCs w:val="18"/>
              </w:rPr>
              <w:t xml:space="preserve">Yes — clearly disclosed</w:t>
            </w:r>
          </w:p>
          <w:p>
            <w:pPr>
              <w:pStyle w:val="ListParagraph"/>
              <w:numPr>
                <w:ilvl w:val="0"/>
                <w:numId w:val="2"/>
              </w:numPr>
              <w:spacing w:before="16" w:after="16"/>
            </w:pPr>
            <w:r>
              <w:rPr>
                <w:rFonts w:ascii="Arial" w:cs="Arial" w:eastAsia="Arial" w:hAnsi="Arial"/>
                <w:color w:val="1a1a1a"/>
                <w:sz w:val="18"/>
                <w:szCs w:val="18"/>
              </w:rPr>
              <w:t xml:space="preserve">No — users will not know</w:t>
            </w:r>
          </w:p>
          <w:p>
            <w:pPr>
              <w:pStyle w:val="ListParagraph"/>
              <w:numPr>
                <w:ilvl w:val="0"/>
                <w:numId w:val="2"/>
              </w:numPr>
              <w:spacing w:before="16" w:after="16"/>
            </w:pPr>
            <w:r>
              <w:rPr>
                <w:rFonts w:ascii="Arial" w:cs="Arial" w:eastAsia="Arial" w:hAnsi="Arial"/>
                <w:color w:val="1a1a1a"/>
                <w:sz w:val="18"/>
                <w:szCs w:val="18"/>
              </w:rPr>
              <w:t xml:space="preserve">Partially — some users will know, some will not</w:t>
            </w:r>
          </w:p>
          <w:p>
            <w:pPr>
              <w:pStyle w:val="ListParagraph"/>
              <w:numPr>
                <w:ilvl w:val="0"/>
                <w:numId w:val="2"/>
              </w:numPr>
              <w:spacing w:before="16" w:after="16"/>
            </w:pPr>
            <w:r>
              <w:rPr>
                <w:rFonts w:ascii="Arial" w:cs="Arial" w:eastAsia="Arial" w:hAnsi="Arial"/>
                <w:color w:val="1a1a1a"/>
                <w:sz w:val="18"/>
                <w:szCs w:val="18"/>
              </w:rPr>
              <w:t xml:space="preserve">Not applicable — no direct user interaction</w:t>
            </w:r>
          </w:p>
          <w:p>
            <w:pPr>
              <w:spacing w:before="40" w:after="0"/>
            </w:pPr>
            <w:r>
              <w:t xml:space="preserve"/>
            </w:r>
          </w:p>
          <w:p>
            <w:pPr>
              <w:spacing w:before="0" w:after="0"/>
            </w:pPr>
            <w:r>
              <w:rPr>
                <w:rFonts w:ascii="Arial" w:cs="Arial" w:eastAsia="Arial" w:hAnsi="Arial"/>
                <w:i/>
                <w:iCs/>
                <w:color w:val="1565C0"/>
                <w:sz w:val="17"/>
                <w:szCs w:val="17"/>
              </w:rPr>
              <w:t xml:space="preserve">Routing logic: Users unaware of AI involvement in evaluation or decision-making = pedagogy escalation condition. Disclosure required for tools affecting students.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1A29" w:val="clear"/>
            <w:tcMar>
              <w:top w:type="dxa" w:w="100"/>
              <w:left w:type="dxa" w:w="200"/>
              <w:bottom w:type="dxa" w:w="100"/>
              <w:right w:type="dxa" w:w="200"/>
            </w:tcMar>
          </w:tcPr>
          <w:p>
            <w:pPr>
              <w:jc w:val="center"/>
            </w:pPr>
            <w:r>
              <w:rPr>
                <w:rFonts w:ascii="Arial" w:cs="Arial" w:eastAsia="Arial" w:hAnsi="Arial"/>
                <w:b/>
                <w:bCs/>
                <w:caps/>
                <w:color w:val="FFFFFF"/>
                <w:sz w:val="20"/>
                <w:szCs w:val="20"/>
              </w:rPr>
              <w:t xml:space="preserve">Part 3 — Routing Logic</w:t>
            </w:r>
          </w:p>
        </w:tc>
      </w:tr>
    </w:tbl>
    <w:p>
      <w:pPr>
        <w:spacing w:before="16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Escalation Conditions</w:t>
      </w:r>
    </w:p>
    <w:p>
      <w:pPr>
        <w:spacing w:before="60" w:after="60"/>
      </w:pPr>
      <w:r>
        <w:rPr>
          <w:rFonts w:ascii="Arial" w:cs="Arial" w:eastAsia="Arial" w:hAnsi="Arial"/>
          <w:color w:val="1a1a1a"/>
          <w:sz w:val="20"/>
          <w:szCs w:val="20"/>
        </w:rPr>
        <w:t xml:space="preserve">The following conditions route a tool to Track 4 regardless of its weighted score. These are categorical risks — situations where the nature of the data, integration, or deployment creates risk that scoring alone cannot fully capture.</w:t>
      </w:r>
    </w:p>
    <w:p>
      <w:pPr>
        <w:spacing w:before="80" w:after="0"/>
      </w:pPr>
      <w:r>
        <w:t xml:space="preserve"/>
      </w:r>
    </w:p>
    <w:p>
      <w:pPr>
        <w:spacing w:before="240" w:after="80"/>
      </w:pPr>
      <w:r>
        <w:rPr>
          <w:rFonts w:ascii="Arial" w:cs="Arial" w:eastAsia="Arial" w:hAnsi="Arial"/>
          <w:b/>
          <w:bCs/>
          <w:color w:val="6B1A29"/>
          <w:sz w:val="22"/>
          <w:szCs w:val="22"/>
        </w:rPr>
        <w:t xml:space="preserve">IT Escalation Conditions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Data type is HIPAA, IRB human subjects, export-controlled, or tribal/indigenous</w:t>
      </w:r>
    </w:p>
    <w:p>
      <w:pPr>
        <w:pStyle w:val="ListParagraph"/>
        <w:numPr>
          <w:ilvl w:val="0"/>
          <w:numId w:val="2"/>
        </w:numPr>
        <w:spacing w:before="40" w:after="40"/>
      </w:pPr>
      <w:r>
        <w:rPr>
          <w:rFonts w:ascii="Arial" w:cs="Arial" w:eastAsia="Arial" w:hAnsi="Arial"/>
          <w:b w:val="false"/>
          <w:bCs w:val="false"/>
          <w:color w:val="1a1a1a"/>
          <w:sz w:val="20"/>
          <w:szCs w:val="20"/>
        </w:rPr>
        <w:t xml:space="preserve">FERPA-covered data combined with public-facing deployment</w:t>
      </w:r>
    </w:p>
    <w:p>
      <w:pPr>
        <w:pStyle w:val="ListParagraph"/>
        <w:numPr>
          <w:ilvl w:val="0"/>
          <w:numId w:val="2"/>
        </w:numPr>
        <w:spacing w:before="40" w:after="40"/>
      </w:pPr>
      <w:r>
        <w:rPr>
          <w:rFonts w:ascii="Arial" w:cs="Arial" w:eastAsia="Arial" w:hAnsi="Arial"/>
          <w:b w:val="false"/>
          <w:bCs w:val="false"/>
          <w:color w:val="1a1a1a"/>
          <w:sz w:val="20"/>
          <w:szCs w:val="20"/>
        </w:rPr>
        <w:t xml:space="preserve">Institutional data stored in personal accounts or unapproved services without a DPA</w:t>
      </w:r>
    </w:p>
    <w:p>
      <w:pPr>
        <w:pStyle w:val="ListParagraph"/>
        <w:numPr>
          <w:ilvl w:val="0"/>
          <w:numId w:val="2"/>
        </w:numPr>
        <w:spacing w:before="40" w:after="40"/>
      </w:pPr>
      <w:r>
        <w:rPr>
          <w:rFonts w:ascii="Arial" w:cs="Arial" w:eastAsia="Arial" w:hAnsi="Arial"/>
          <w:b w:val="false"/>
          <w:bCs w:val="false"/>
          <w:color w:val="1a1a1a"/>
          <w:sz w:val="20"/>
          <w:szCs w:val="20"/>
        </w:rPr>
        <w:t xml:space="preserve">Data sent to an AI model with no DPA or unknown DPA status</w:t>
      </w:r>
    </w:p>
    <w:p>
      <w:pPr>
        <w:pStyle w:val="ListParagraph"/>
        <w:numPr>
          <w:ilvl w:val="0"/>
          <w:numId w:val="2"/>
        </w:numPr>
        <w:spacing w:before="40" w:after="40"/>
      </w:pPr>
      <w:r>
        <w:rPr>
          <w:rFonts w:ascii="Arial" w:cs="Arial" w:eastAsia="Arial" w:hAnsi="Arial"/>
          <w:b w:val="false"/>
          <w:bCs w:val="false"/>
          <w:color w:val="1a1a1a"/>
          <w:sz w:val="20"/>
          <w:szCs w:val="20"/>
        </w:rPr>
        <w:t xml:space="preserve">Authentication handled outside campus SSO without an IT-approved alternative</w:t>
      </w:r>
    </w:p>
    <w:p>
      <w:pPr>
        <w:pStyle w:val="ListParagraph"/>
        <w:numPr>
          <w:ilvl w:val="0"/>
          <w:numId w:val="2"/>
        </w:numPr>
        <w:spacing w:before="40" w:after="40"/>
      </w:pPr>
      <w:r>
        <w:rPr>
          <w:rFonts w:ascii="Arial" w:cs="Arial" w:eastAsia="Arial" w:hAnsi="Arial"/>
          <w:b w:val="false"/>
          <w:bCs w:val="false"/>
          <w:color w:val="1a1a1a"/>
          <w:sz w:val="20"/>
          <w:szCs w:val="20"/>
        </w:rPr>
        <w:t xml:space="preserve">Vendor or third party accessing campus data without an approved DPA</w:t>
      </w:r>
    </w:p>
    <w:p>
      <w:pPr>
        <w:pStyle w:val="ListParagraph"/>
        <w:numPr>
          <w:ilvl w:val="0"/>
          <w:numId w:val="2"/>
        </w:numPr>
        <w:spacing w:before="40" w:after="40"/>
      </w:pPr>
      <w:r>
        <w:rPr>
          <w:rFonts w:ascii="Arial" w:cs="Arial" w:eastAsia="Arial" w:hAnsi="Arial"/>
          <w:b w:val="false"/>
          <w:bCs w:val="false"/>
          <w:color w:val="1a1a1a"/>
          <w:sz w:val="20"/>
          <w:szCs w:val="20"/>
        </w:rPr>
        <w:t xml:space="preserve">No version control at Track 2 or above</w:t>
      </w:r>
    </w:p>
    <w:p>
      <w:pPr>
        <w:pStyle w:val="ListParagraph"/>
        <w:numPr>
          <w:ilvl w:val="0"/>
          <w:numId w:val="2"/>
        </w:numPr>
        <w:spacing w:before="40" w:after="40"/>
      </w:pPr>
      <w:r>
        <w:rPr>
          <w:rFonts w:ascii="Arial" w:cs="Arial" w:eastAsia="Arial" w:hAnsi="Arial"/>
          <w:b w:val="false"/>
          <w:bCs w:val="false"/>
          <w:color w:val="1a1a1a"/>
          <w:sz w:val="20"/>
          <w:szCs w:val="20"/>
        </w:rPr>
        <w:t xml:space="preserve">Deployed in a production context where the campus has no visibility into how the AI model was trained, updated, or modified</w:t>
      </w:r>
    </w:p>
    <w:p>
      <w:pPr>
        <w:spacing w:before="80" w:after="0"/>
      </w:pPr>
      <w:r>
        <w:t xml:space="preserve"/>
      </w:r>
    </w:p>
    <w:p>
      <w:pPr>
        <w:spacing w:before="240" w:after="80"/>
      </w:pPr>
      <w:r>
        <w:rPr>
          <w:rFonts w:ascii="Arial" w:cs="Arial" w:eastAsia="Arial" w:hAnsi="Arial"/>
          <w:b/>
          <w:bCs/>
          <w:color w:val="6B1A29"/>
          <w:sz w:val="22"/>
          <w:szCs w:val="22"/>
        </w:rPr>
        <w:t xml:space="preserve">Pedagogy and Academic Integrity Conditions (EDUCAUSE)</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Deployed in a course or academic program without the documented awareness of the responsible faculty member or department head</w:t>
      </w:r>
    </w:p>
    <w:p>
      <w:pPr>
        <w:pStyle w:val="ListParagraph"/>
        <w:numPr>
          <w:ilvl w:val="0"/>
          <w:numId w:val="2"/>
        </w:numPr>
        <w:spacing w:before="40" w:after="40"/>
      </w:pPr>
      <w:r>
        <w:rPr>
          <w:rFonts w:ascii="Arial" w:cs="Arial" w:eastAsia="Arial" w:hAnsi="Arial"/>
          <w:b w:val="false"/>
          <w:bCs w:val="false"/>
          <w:color w:val="1a1a1a"/>
          <w:sz w:val="20"/>
          <w:szCs w:val="20"/>
        </w:rPr>
        <w:t xml:space="preserve">Students may not know they are interacting with or being evaluated by an AI system</w:t>
      </w:r>
    </w:p>
    <w:p>
      <w:pPr>
        <w:pStyle w:val="ListParagraph"/>
        <w:numPr>
          <w:ilvl w:val="0"/>
          <w:numId w:val="2"/>
        </w:numPr>
        <w:spacing w:before="40" w:after="40"/>
      </w:pPr>
      <w:r>
        <w:rPr>
          <w:rFonts w:ascii="Arial" w:cs="Arial" w:eastAsia="Arial" w:hAnsi="Arial"/>
          <w:b w:val="false"/>
          <w:bCs w:val="false"/>
          <w:color w:val="1a1a1a"/>
          <w:sz w:val="20"/>
          <w:szCs w:val="20"/>
        </w:rPr>
        <w:t xml:space="preserve">Could compromise academic integrity — completes assignments, generates assessments, or evaluates student work without faculty oversight at the point of decision</w:t>
      </w:r>
    </w:p>
    <w:p>
      <w:pPr>
        <w:pStyle w:val="ListParagraph"/>
        <w:numPr>
          <w:ilvl w:val="0"/>
          <w:numId w:val="2"/>
        </w:numPr>
        <w:spacing w:before="40" w:after="40"/>
      </w:pPr>
      <w:r>
        <w:rPr>
          <w:rFonts w:ascii="Arial" w:cs="Arial" w:eastAsia="Arial" w:hAnsi="Arial"/>
          <w:b w:val="false"/>
          <w:bCs w:val="false"/>
          <w:color w:val="1a1a1a"/>
          <w:sz w:val="20"/>
          <w:szCs w:val="20"/>
        </w:rPr>
        <w:t xml:space="preserve">Involves student behavioral, engagement, or performance data beyond what is authorized under FERPA</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Dimension Weight Matrix</w:t>
      </w:r>
    </w:p>
    <w:p>
      <w:pPr>
        <w:spacing w:before="60" w:after="60"/>
      </w:pPr>
      <w:r>
        <w:rPr>
          <w:rFonts w:ascii="Arial" w:cs="Arial" w:eastAsia="Arial" w:hAnsi="Arial"/>
          <w:color w:val="1a1a1a"/>
          <w:sz w:val="20"/>
          <w:szCs w:val="20"/>
        </w:rPr>
        <w:t xml:space="preserve">Each dimension is scored 0-3 based on the submitter's answers. The score is multiplied by the weight for the artifact type selected in Q1. Weighted scores across all dimensions sum to determine the routing 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Dimension</w:t>
            </w:r>
          </w:p>
        </w:tc>
        <w:tc>
          <w:tcPr>
            <w:tcW w:type="dxa" w:w="164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Public Site</w:t>
            </w:r>
          </w:p>
        </w:tc>
        <w:tc>
          <w:tcPr>
            <w:tcW w:type="dxa" w:w="164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Internal App</w:t>
            </w:r>
          </w:p>
        </w:tc>
        <w:tc>
          <w:tcPr>
            <w:tcW w:type="dxa" w:w="164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Script / API</w:t>
            </w:r>
          </w:p>
        </w:tc>
        <w:tc>
          <w:tcPr>
            <w:tcW w:type="dxa" w:w="164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AI Agent</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left"/>
            </w:pPr>
            <w:r>
              <w:rPr>
                <w:rFonts w:ascii="Arial" w:cs="Arial" w:eastAsia="Arial" w:hAnsi="Arial"/>
                <w:b/>
                <w:bCs/>
                <w:color w:val="1a1a1a"/>
                <w:sz w:val="16"/>
                <w:szCs w:val="16"/>
              </w:rPr>
              <w:t xml:space="preserve">Security / Vulnerability</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71C1C"/>
                <w:sz w:val="16"/>
                <w:szCs w:val="16"/>
              </w:rPr>
              <w:t xml:space="preserve">Critical (x4)</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left"/>
            </w:pPr>
            <w:r>
              <w:rPr>
                <w:rFonts w:ascii="Arial" w:cs="Arial" w:eastAsia="Arial" w:hAnsi="Arial"/>
                <w:b/>
                <w:bCs/>
                <w:color w:val="1a1a1a"/>
                <w:sz w:val="16"/>
                <w:szCs w:val="16"/>
              </w:rPr>
              <w:t xml:space="preserve">Accessibility (WCAG 2.1 AA)</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B71C1C"/>
                <w:sz w:val="16"/>
                <w:szCs w:val="16"/>
              </w:rPr>
              <w:t xml:space="preserve">Critical (x4)</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AAAAAA"/>
                <w:sz w:val="16"/>
                <w:szCs w:val="16"/>
              </w:rPr>
              <w:t xml:space="preserve">N/A (x0)</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888888"/>
                <w:sz w:val="16"/>
                <w:szCs w:val="16"/>
              </w:rPr>
              <w:t xml:space="preserve">Low (x1)</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left"/>
            </w:pPr>
            <w:r>
              <w:rPr>
                <w:rFonts w:ascii="Arial" w:cs="Arial" w:eastAsia="Arial" w:hAnsi="Arial"/>
                <w:b/>
                <w:bCs/>
                <w:color w:val="1a1a1a"/>
                <w:sz w:val="16"/>
                <w:szCs w:val="16"/>
              </w:rPr>
              <w:t xml:space="preserve">Data Sensitivity</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71C1C"/>
                <w:sz w:val="16"/>
                <w:szCs w:val="16"/>
              </w:rPr>
              <w:t xml:space="preserve">Critical (x4)</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left"/>
            </w:pPr>
            <w:r>
              <w:rPr>
                <w:rFonts w:ascii="Arial" w:cs="Arial" w:eastAsia="Arial" w:hAnsi="Arial"/>
                <w:b/>
                <w:bCs/>
                <w:color w:val="1a1a1a"/>
                <w:sz w:val="16"/>
                <w:szCs w:val="16"/>
              </w:rPr>
              <w:t xml:space="preserve">Blast Radius</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1565C0"/>
                <w:sz w:val="16"/>
                <w:szCs w:val="16"/>
              </w:rPr>
              <w:t xml:space="preserve">Medium (x2)</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1565C0"/>
                <w:sz w:val="16"/>
                <w:szCs w:val="16"/>
              </w:rPr>
              <w:t xml:space="preserve">Medium (x2)</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B71C1C"/>
                <w:sz w:val="16"/>
                <w:szCs w:val="16"/>
              </w:rPr>
              <w:t xml:space="preserve">Critical (x4)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left"/>
            </w:pPr>
            <w:r>
              <w:rPr>
                <w:rFonts w:ascii="Arial" w:cs="Arial" w:eastAsia="Arial" w:hAnsi="Arial"/>
                <w:b/>
                <w:bCs/>
                <w:color w:val="1a1a1a"/>
                <w:sz w:val="16"/>
                <w:szCs w:val="16"/>
              </w:rPr>
              <w:t xml:space="preserve">Autonomy</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888888"/>
                <w:sz w:val="16"/>
                <w:szCs w:val="16"/>
              </w:rPr>
              <w:t xml:space="preserve">Low (x1)</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888888"/>
                <w:sz w:val="16"/>
                <w:szCs w:val="16"/>
              </w:rPr>
              <w:t xml:space="preserve">Low (x1)</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1565C0"/>
                <w:sz w:val="16"/>
                <w:szCs w:val="16"/>
              </w:rPr>
              <w:t xml:space="preserve">Medium (x2)</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71C1C"/>
                <w:sz w:val="16"/>
                <w:szCs w:val="16"/>
              </w:rPr>
              <w:t xml:space="preserve">Critical (x4)</w:t>
            </w:r>
          </w:p>
        </w:tc>
      </w:tr>
      <w:tr>
        <w:tc>
          <w:tcPr>
            <w:tcW w:type="dxa" w:w="280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left"/>
            </w:pPr>
            <w:r>
              <w:rPr>
                <w:rFonts w:ascii="Arial" w:cs="Arial" w:eastAsia="Arial" w:hAnsi="Arial"/>
                <w:b/>
                <w:bCs/>
                <w:color w:val="1a1a1a"/>
                <w:sz w:val="16"/>
                <w:szCs w:val="16"/>
              </w:rPr>
              <w:t xml:space="preserve">Builder Comprehension of AI Code</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1565C0"/>
                <w:sz w:val="16"/>
                <w:szCs w:val="16"/>
              </w:rPr>
              <w:t xml:space="preserve">Medium (x2)</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1565C0"/>
                <w:sz w:val="16"/>
                <w:szCs w:val="16"/>
              </w:rPr>
              <w:t xml:space="preserve">Medium (x2)</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1565C0"/>
                <w:sz w:val="16"/>
                <w:szCs w:val="16"/>
              </w:rPr>
              <w:t xml:space="preserve">Medium (x2)</w:t>
            </w:r>
          </w:p>
        </w:tc>
        <w:tc>
          <w:tcPr>
            <w:tcW w:type="dxa" w:w="1640"/>
            <w:tcBorders>
              <w:top w:val="single" w:color="CCCCCC" w:sz="2"/>
              <w:left w:val="single" w:color="CCCCCC" w:sz="2"/>
              <w:bottom w:val="single" w:color="CCCCCC" w:sz="2"/>
              <w:right w:val="single" w:color="CCCCCC" w:sz="2"/>
            </w:tcBorders>
            <w:shd w:fill="F5F5F5" w:val="clear"/>
            <w:tcMar>
              <w:top w:type="dxa" w:w="70"/>
              <w:left w:type="dxa" w:w="100"/>
              <w:bottom w:type="dxa" w:w="70"/>
              <w:right w:type="dxa" w:w="100"/>
            </w:tcMar>
          </w:tcPr>
          <w:p>
            <w:pPr>
              <w:jc w:val="center"/>
            </w:pPr>
            <w:r>
              <w:rPr>
                <w:rFonts w:ascii="Arial" w:cs="Arial" w:eastAsia="Arial" w:hAnsi="Arial"/>
                <w:b w:val="false"/>
                <w:bCs w:val="false"/>
                <w:color w:val="B71C1C"/>
                <w:sz w:val="16"/>
                <w:szCs w:val="16"/>
              </w:rPr>
              <w:t xml:space="preserve">Critical (x4)</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left"/>
            </w:pPr>
            <w:r>
              <w:rPr>
                <w:rFonts w:ascii="Arial" w:cs="Arial" w:eastAsia="Arial" w:hAnsi="Arial"/>
                <w:b/>
                <w:bCs/>
                <w:color w:val="1a1a1a"/>
                <w:sz w:val="16"/>
                <w:szCs w:val="16"/>
              </w:rPr>
              <w:t xml:space="preserve">Maintenance / Supportability</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c>
          <w:tcPr>
            <w:tcW w:type="dxa" w:w="164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pPr>
              <w:jc w:val="center"/>
            </w:pPr>
            <w:r>
              <w:rPr>
                <w:rFonts w:ascii="Arial" w:cs="Arial" w:eastAsia="Arial" w:hAnsi="Arial"/>
                <w:b w:val="false"/>
                <w:bCs w:val="false"/>
                <w:color w:val="B8860B"/>
                <w:sz w:val="16"/>
                <w:szCs w:val="16"/>
              </w:rPr>
              <w:t xml:space="preserve">High (x3)</w:t>
            </w:r>
          </w:p>
        </w:tc>
      </w:tr>
    </w:tbl>
    <w:p>
      <w:pPr>
        <w:spacing w:before="80" w:after="0"/>
      </w:pPr>
      <w:r>
        <w:t xml:space="preserve"/>
      </w:r>
    </w:p>
    <w:p>
      <w:pPr>
        <w:spacing w:before="60" w:after="60"/>
      </w:pPr>
      <w:r>
        <w:rPr>
          <w:rFonts w:ascii="Arial" w:cs="Arial" w:eastAsia="Arial" w:hAnsi="Arial"/>
          <w:i/>
          <w:iCs/>
          <w:color w:val="1a1a1a"/>
          <w:sz w:val="20"/>
          <w:szCs w:val="20"/>
        </w:rPr>
        <w:t xml:space="preserve">Maintenance / Supportability is a new dimension in this framework. It is scored based on Q14-Q18: ownership clarity, version control status, succession planning, and support model. It carries High weight across all artifact types because campus IT is accepting operational responsibility for production tools.</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Routing Tiers</w:t>
      </w:r>
    </w:p>
    <w:p>
      <w:pPr>
        <w:spacing w:before="60" w:after="60"/>
      </w:pPr>
      <w:r>
        <w:rPr>
          <w:rFonts w:ascii="Arial" w:cs="Arial" w:eastAsia="Arial" w:hAnsi="Arial"/>
          <w:color w:val="1a1a1a"/>
          <w:sz w:val="20"/>
          <w:szCs w:val="20"/>
        </w:rPr>
        <w:t xml:space="preserve">Tier thresholds are expressed as bands calibrated during stress-testing. The stress test (see Next Steps) establishes absolute thresholds for each artifact type before go-live.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Track 1</w:t>
            </w:r>
          </w:p>
        </w:tc>
        <w:tc>
          <w:tcPr>
            <w:tcW w:type="dxa" w:w="75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Automated review. Register and go.</w:t>
            </w:r>
          </w:p>
          <w:p>
            <w:pPr>
              <w:spacing w:before="40" w:after="20"/>
            </w:pPr>
            <w:r>
              <w:rPr>
                <w:rFonts w:ascii="Arial" w:cs="Arial" w:eastAsia="Arial" w:hAnsi="Arial"/>
                <w:b/>
                <w:bCs/>
                <w:color w:val="2E7D32"/>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Weighted score in the low band for the artifact type</w:t>
            </w:r>
          </w:p>
          <w:p>
            <w:pPr>
              <w:pStyle w:val="ListParagraph"/>
              <w:numPr>
                <w:ilvl w:val="0"/>
                <w:numId w:val="2"/>
              </w:numPr>
              <w:spacing w:before="20" w:after="20"/>
            </w:pPr>
            <w:r>
              <w:rPr>
                <w:rFonts w:ascii="Arial" w:cs="Arial" w:eastAsia="Arial" w:hAnsi="Arial"/>
                <w:color w:val="1a1a1a"/>
                <w:sz w:val="18"/>
                <w:szCs w:val="18"/>
              </w:rPr>
              <w:t xml:space="preserve">No institutional data involved</w:t>
            </w:r>
          </w:p>
          <w:p>
            <w:pPr>
              <w:pStyle w:val="ListParagraph"/>
              <w:numPr>
                <w:ilvl w:val="0"/>
                <w:numId w:val="2"/>
              </w:numPr>
              <w:spacing w:before="20" w:after="20"/>
            </w:pPr>
            <w:r>
              <w:rPr>
                <w:rFonts w:ascii="Arial" w:cs="Arial" w:eastAsia="Arial" w:hAnsi="Arial"/>
                <w:color w:val="1a1a1a"/>
                <w:sz w:val="18"/>
                <w:szCs w:val="18"/>
              </w:rPr>
              <w:t xml:space="preserve">Used only by the builder or immediate team</w:t>
            </w:r>
          </w:p>
          <w:p>
            <w:pPr>
              <w:pStyle w:val="ListParagraph"/>
              <w:numPr>
                <w:ilvl w:val="0"/>
                <w:numId w:val="2"/>
              </w:numPr>
              <w:spacing w:before="20" w:after="20"/>
            </w:pPr>
            <w:r>
              <w:rPr>
                <w:rFonts w:ascii="Arial" w:cs="Arial" w:eastAsia="Arial" w:hAnsi="Arial"/>
                <w:color w:val="1a1a1a"/>
                <w:sz w:val="18"/>
                <w:szCs w:val="18"/>
              </w:rPr>
              <w:t xml:space="preserve">No escalation conditions triggered</w:t>
            </w:r>
          </w:p>
          <w:p>
            <w:pPr>
              <w:spacing w:before="60" w:after="20"/>
            </w:pPr>
            <w:r>
              <w:rPr>
                <w:rFonts w:ascii="Arial" w:cs="Arial" w:eastAsia="Arial" w:hAnsi="Arial"/>
                <w:b/>
                <w:bCs/>
                <w:color w:val="2E7D32"/>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Automated pipeline runs: Code/Security, Accessibility, HECVAT-Lite, and Documentation agents</w:t>
            </w:r>
          </w:p>
          <w:p>
            <w:pPr>
              <w:pStyle w:val="ListParagraph"/>
              <w:numPr>
                <w:ilvl w:val="0"/>
                <w:numId w:val="3"/>
              </w:numPr>
              <w:spacing w:before="20" w:after="20"/>
            </w:pPr>
            <w:r>
              <w:rPr>
                <w:rFonts w:ascii="Arial" w:cs="Arial" w:eastAsia="Arial" w:hAnsi="Arial"/>
                <w:color w:val="1a1a1a"/>
                <w:sz w:val="18"/>
                <w:szCs w:val="18"/>
              </w:rPr>
              <w:t xml:space="preserve">Register the tool in the IT tool registry</w:t>
            </w:r>
          </w:p>
          <w:p>
            <w:pPr>
              <w:pStyle w:val="ListParagraph"/>
              <w:numPr>
                <w:ilvl w:val="0"/>
                <w:numId w:val="3"/>
              </w:numPr>
              <w:spacing w:before="20" w:after="20"/>
            </w:pPr>
            <w:r>
              <w:rPr>
                <w:rFonts w:ascii="Arial" w:cs="Arial" w:eastAsia="Arial" w:hAnsi="Arial"/>
                <w:color w:val="1a1a1a"/>
                <w:sz w:val="18"/>
                <w:szCs w:val="18"/>
              </w:rPr>
              <w:t xml:space="preserve">Record who built it, what it does, and who owns it</w:t>
            </w:r>
          </w:p>
          <w:p>
            <w:pPr>
              <w:pStyle w:val="ListParagraph"/>
              <w:numPr>
                <w:ilvl w:val="0"/>
                <w:numId w:val="3"/>
              </w:numPr>
              <w:spacing w:before="20" w:after="20"/>
            </w:pPr>
            <w:r>
              <w:rPr>
                <w:rFonts w:ascii="Arial" w:cs="Arial" w:eastAsia="Arial" w:hAnsi="Arial"/>
                <w:color w:val="1a1a1a"/>
                <w:sz w:val="18"/>
                <w:szCs w:val="18"/>
              </w:rPr>
              <w:t xml:space="preserve">Review the findings report from the automated pipeline and acknowledge any flagged items</w:t>
            </w:r>
          </w:p>
          <w:p>
            <w:pPr>
              <w:pStyle w:val="ListParagraph"/>
              <w:numPr>
                <w:ilvl w:val="0"/>
                <w:numId w:val="3"/>
              </w:numPr>
              <w:spacing w:before="20" w:after="20"/>
            </w:pPr>
            <w:r>
              <w:rPr>
                <w:rFonts w:ascii="Arial" w:cs="Arial" w:eastAsia="Arial" w:hAnsi="Arial"/>
                <w:color w:val="1a1a1a"/>
                <w:sz w:val="18"/>
                <w:szCs w:val="18"/>
              </w:rPr>
              <w:t xml:space="preserve">No further human sign-off required unless the tool changes materially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Track 2</w:t>
            </w:r>
          </w:p>
        </w:tc>
        <w:tc>
          <w:tcPr>
            <w:tcW w:type="dxa" w:w="75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Automated review plus builder self-certification.</w:t>
            </w:r>
          </w:p>
          <w:p>
            <w:pPr>
              <w:spacing w:before="40" w:after="20"/>
            </w:pPr>
            <w:r>
              <w:rPr>
                <w:rFonts w:ascii="Arial" w:cs="Arial" w:eastAsia="Arial" w:hAnsi="Arial"/>
                <w:b/>
                <w:bCs/>
                <w:color w:val="B8860B"/>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Weighted score in the medium band for the artifact type</w:t>
            </w:r>
          </w:p>
          <w:p>
            <w:pPr>
              <w:pStyle w:val="ListParagraph"/>
              <w:numPr>
                <w:ilvl w:val="0"/>
                <w:numId w:val="2"/>
              </w:numPr>
              <w:spacing w:before="20" w:after="20"/>
            </w:pPr>
            <w:r>
              <w:rPr>
                <w:rFonts w:ascii="Arial" w:cs="Arial" w:eastAsia="Arial" w:hAnsi="Arial"/>
                <w:color w:val="1a1a1a"/>
                <w:sz w:val="18"/>
                <w:szCs w:val="18"/>
              </w:rPr>
              <w:t xml:space="preserve">Touches internal non-sensitive institutional data</w:t>
            </w:r>
          </w:p>
          <w:p>
            <w:pPr>
              <w:pStyle w:val="ListParagraph"/>
              <w:numPr>
                <w:ilvl w:val="0"/>
                <w:numId w:val="2"/>
              </w:numPr>
              <w:spacing w:before="20" w:after="20"/>
            </w:pPr>
            <w:r>
              <w:rPr>
                <w:rFonts w:ascii="Arial" w:cs="Arial" w:eastAsia="Arial" w:hAnsi="Arial"/>
                <w:color w:val="1a1a1a"/>
                <w:sz w:val="18"/>
                <w:szCs w:val="18"/>
              </w:rPr>
              <w:t xml:space="preserve">Used by a team or department</w:t>
            </w:r>
          </w:p>
          <w:p>
            <w:pPr>
              <w:pStyle w:val="ListParagraph"/>
              <w:numPr>
                <w:ilvl w:val="0"/>
                <w:numId w:val="2"/>
              </w:numPr>
              <w:spacing w:before="20" w:after="20"/>
            </w:pPr>
            <w:r>
              <w:rPr>
                <w:rFonts w:ascii="Arial" w:cs="Arial" w:eastAsia="Arial" w:hAnsi="Arial"/>
                <w:color w:val="1a1a1a"/>
                <w:sz w:val="18"/>
                <w:szCs w:val="18"/>
              </w:rPr>
              <w:t xml:space="preserve">No escalation conditions triggered</w:t>
            </w:r>
          </w:p>
          <w:p>
            <w:pPr>
              <w:spacing w:before="60" w:after="20"/>
            </w:pPr>
            <w:r>
              <w:rPr>
                <w:rFonts w:ascii="Arial" w:cs="Arial" w:eastAsia="Arial" w:hAnsi="Arial"/>
                <w:b/>
                <w:bCs/>
                <w:color w:val="B8860B"/>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Automated pipeline runs: Code/Security, Accessibility, HECVAT-Lite, and Documentation agents</w:t>
            </w:r>
          </w:p>
          <w:p>
            <w:pPr>
              <w:pStyle w:val="ListParagraph"/>
              <w:numPr>
                <w:ilvl w:val="0"/>
                <w:numId w:val="3"/>
              </w:numPr>
              <w:spacing w:before="20" w:after="20"/>
            </w:pPr>
            <w:r>
              <w:rPr>
                <w:rFonts w:ascii="Arial" w:cs="Arial" w:eastAsia="Arial" w:hAnsi="Arial"/>
                <w:color w:val="1a1a1a"/>
                <w:sz w:val="18"/>
                <w:szCs w:val="18"/>
              </w:rPr>
              <w:t xml:space="preserve">Complete the Self-Assessment (length scales with score within the Track 2 band)</w:t>
            </w:r>
          </w:p>
          <w:p>
            <w:pPr>
              <w:pStyle w:val="ListParagraph"/>
              <w:numPr>
                <w:ilvl w:val="0"/>
                <w:numId w:val="3"/>
              </w:numPr>
              <w:spacing w:before="20" w:after="20"/>
            </w:pPr>
            <w:r>
              <w:rPr>
                <w:rFonts w:ascii="Arial" w:cs="Arial" w:eastAsia="Arial" w:hAnsi="Arial"/>
                <w:color w:val="1a1a1a"/>
                <w:sz w:val="18"/>
                <w:szCs w:val="18"/>
              </w:rPr>
              <w:t xml:space="preserve">Provide plain-language explanation of what the tool does, what data it touches, and what happens when it fails</w:t>
            </w:r>
          </w:p>
          <w:p>
            <w:pPr>
              <w:pStyle w:val="ListParagraph"/>
              <w:numPr>
                <w:ilvl w:val="0"/>
                <w:numId w:val="3"/>
              </w:numPr>
              <w:spacing w:before="20" w:after="20"/>
            </w:pPr>
            <w:r>
              <w:rPr>
                <w:rFonts w:ascii="Arial" w:cs="Arial" w:eastAsia="Arial" w:hAnsi="Arial"/>
                <w:color w:val="1a1a1a"/>
                <w:sz w:val="18"/>
                <w:szCs w:val="18"/>
              </w:rPr>
              <w:t xml:space="preserve">Document data access and storage</w:t>
            </w:r>
          </w:p>
          <w:p>
            <w:pPr>
              <w:pStyle w:val="ListParagraph"/>
              <w:numPr>
                <w:ilvl w:val="0"/>
                <w:numId w:val="3"/>
              </w:numPr>
              <w:spacing w:before="20" w:after="20"/>
            </w:pPr>
            <w:r>
              <w:rPr>
                <w:rFonts w:ascii="Arial" w:cs="Arial" w:eastAsia="Arial" w:hAnsi="Arial"/>
                <w:color w:val="1a1a1a"/>
                <w:sz w:val="18"/>
                <w:szCs w:val="18"/>
              </w:rPr>
              <w:t xml:space="preserve">Confirm authentication method and access controls</w:t>
            </w:r>
          </w:p>
          <w:p>
            <w:pPr>
              <w:pStyle w:val="ListParagraph"/>
              <w:numPr>
                <w:ilvl w:val="0"/>
                <w:numId w:val="3"/>
              </w:numPr>
              <w:spacing w:before="20" w:after="20"/>
            </w:pPr>
            <w:r>
              <w:rPr>
                <w:rFonts w:ascii="Arial" w:cs="Arial" w:eastAsia="Arial" w:hAnsi="Arial"/>
                <w:color w:val="1a1a1a"/>
                <w:sz w:val="18"/>
                <w:szCs w:val="18"/>
              </w:rPr>
              <w:t xml:space="preserve">Identify who owns the tool if you leave UM</w:t>
            </w:r>
          </w:p>
          <w:p>
            <w:pPr>
              <w:pStyle w:val="ListParagraph"/>
              <w:numPr>
                <w:ilvl w:val="0"/>
                <w:numId w:val="3"/>
              </w:numPr>
              <w:spacing w:before="20" w:after="20"/>
            </w:pPr>
            <w:r>
              <w:rPr>
                <w:rFonts w:ascii="Arial" w:cs="Arial" w:eastAsia="Arial" w:hAnsi="Arial"/>
                <w:color w:val="1a1a1a"/>
                <w:sz w:val="18"/>
                <w:szCs w:val="18"/>
              </w:rPr>
              <w:t xml:space="preserve">Note whether the tool works differently for different user populations</w:t>
            </w:r>
          </w:p>
          <w:p>
            <w:pPr>
              <w:pStyle w:val="ListParagraph"/>
              <w:numPr>
                <w:ilvl w:val="0"/>
                <w:numId w:val="3"/>
              </w:numPr>
              <w:spacing w:before="20" w:after="20"/>
            </w:pPr>
            <w:r>
              <w:rPr>
                <w:rFonts w:ascii="Arial" w:cs="Arial" w:eastAsia="Arial" w:hAnsi="Arial"/>
                <w:color w:val="1a1a1a"/>
                <w:sz w:val="18"/>
                <w:szCs w:val="18"/>
              </w:rPr>
              <w:t xml:space="preserve">Get department head sign-off</w:t>
            </w:r>
          </w:p>
          <w:p>
            <w:pPr>
              <w:pStyle w:val="ListParagraph"/>
              <w:numPr>
                <w:ilvl w:val="0"/>
                <w:numId w:val="3"/>
              </w:numPr>
              <w:spacing w:before="20" w:after="20"/>
            </w:pPr>
            <w:r>
              <w:rPr>
                <w:rFonts w:ascii="Arial" w:cs="Arial" w:eastAsia="Arial" w:hAnsi="Arial"/>
                <w:color w:val="1a1a1a"/>
                <w:sz w:val="18"/>
                <w:szCs w:val="18"/>
              </w:rPr>
              <w:t xml:space="preserve">Builder self-certifies findings have been reviewed and addressed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6510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Track 3</w:t>
            </w:r>
          </w:p>
        </w:tc>
        <w:tc>
          <w:tcPr>
            <w:tcW w:type="dxa" w:w="75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Automated review plus IT human review and sign-off.</w:t>
            </w:r>
          </w:p>
          <w:p>
            <w:pPr>
              <w:spacing w:before="40" w:after="20"/>
            </w:pPr>
            <w:r>
              <w:rPr>
                <w:rFonts w:ascii="Arial" w:cs="Arial" w:eastAsia="Arial" w:hAnsi="Arial"/>
                <w:b/>
                <w:bCs/>
                <w:color w:val="E65100"/>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Weighted score in the high band for the artifact type</w:t>
            </w:r>
          </w:p>
          <w:p>
            <w:pPr>
              <w:pStyle w:val="ListParagraph"/>
              <w:numPr>
                <w:ilvl w:val="0"/>
                <w:numId w:val="2"/>
              </w:numPr>
              <w:spacing w:before="20" w:after="20"/>
            </w:pPr>
            <w:r>
              <w:rPr>
                <w:rFonts w:ascii="Arial" w:cs="Arial" w:eastAsia="Arial" w:hAnsi="Arial"/>
                <w:color w:val="1a1a1a"/>
                <w:sz w:val="18"/>
                <w:szCs w:val="18"/>
              </w:rPr>
              <w:t xml:space="preserve">Touches PII, FERPA-covered records, or HR data</w:t>
            </w:r>
          </w:p>
          <w:p>
            <w:pPr>
              <w:pStyle w:val="ListParagraph"/>
              <w:numPr>
                <w:ilvl w:val="0"/>
                <w:numId w:val="2"/>
              </w:numPr>
              <w:spacing w:before="20" w:after="20"/>
            </w:pPr>
            <w:r>
              <w:rPr>
                <w:rFonts w:ascii="Arial" w:cs="Arial" w:eastAsia="Arial" w:hAnsi="Arial"/>
                <w:color w:val="1a1a1a"/>
                <w:sz w:val="18"/>
                <w:szCs w:val="18"/>
              </w:rPr>
              <w:t xml:space="preserve">Serves students or the public</w:t>
            </w:r>
          </w:p>
          <w:p>
            <w:pPr>
              <w:pStyle w:val="ListParagraph"/>
              <w:numPr>
                <w:ilvl w:val="0"/>
                <w:numId w:val="2"/>
              </w:numPr>
              <w:spacing w:before="20" w:after="20"/>
            </w:pPr>
            <w:r>
              <w:rPr>
                <w:rFonts w:ascii="Arial" w:cs="Arial" w:eastAsia="Arial" w:hAnsi="Arial"/>
                <w:color w:val="1a1a1a"/>
                <w:sz w:val="18"/>
                <w:szCs w:val="18"/>
              </w:rPr>
              <w:t xml:space="preserve">Has significant blast radius</w:t>
            </w:r>
          </w:p>
          <w:p>
            <w:pPr>
              <w:spacing w:before="60" w:after="20"/>
            </w:pPr>
            <w:r>
              <w:rPr>
                <w:rFonts w:ascii="Arial" w:cs="Arial" w:eastAsia="Arial" w:hAnsi="Arial"/>
                <w:b/>
                <w:bCs/>
                <w:color w:val="E65100"/>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Automated pipeline runs: Code/Security, Accessibility, HECVAT-Lite, and Documentation agents</w:t>
            </w:r>
          </w:p>
          <w:p>
            <w:pPr>
              <w:pStyle w:val="ListParagraph"/>
              <w:numPr>
                <w:ilvl w:val="0"/>
                <w:numId w:val="3"/>
              </w:numPr>
              <w:spacing w:before="20" w:after="20"/>
            </w:pPr>
            <w:r>
              <w:rPr>
                <w:rFonts w:ascii="Arial" w:cs="Arial" w:eastAsia="Arial" w:hAnsi="Arial"/>
                <w:color w:val="1a1a1a"/>
                <w:sz w:val="18"/>
                <w:szCs w:val="18"/>
              </w:rPr>
              <w:t xml:space="preserve">Complete the full Self-Assessment first</w:t>
            </w:r>
          </w:p>
          <w:p>
            <w:pPr>
              <w:pStyle w:val="ListParagraph"/>
              <w:numPr>
                <w:ilvl w:val="0"/>
                <w:numId w:val="3"/>
              </w:numPr>
              <w:spacing w:before="20" w:after="20"/>
            </w:pPr>
            <w:r>
              <w:rPr>
                <w:rFonts w:ascii="Arial" w:cs="Arial" w:eastAsia="Arial" w:hAnsi="Arial"/>
                <w:color w:val="1a1a1a"/>
                <w:sz w:val="18"/>
                <w:szCs w:val="18"/>
              </w:rPr>
              <w:t xml:space="preserve">IT human review of automated pipeline findings</w:t>
            </w:r>
          </w:p>
          <w:p>
            <w:pPr>
              <w:pStyle w:val="ListParagraph"/>
              <w:numPr>
                <w:ilvl w:val="0"/>
                <w:numId w:val="3"/>
              </w:numPr>
              <w:spacing w:before="20" w:after="20"/>
            </w:pPr>
            <w:r>
              <w:rPr>
                <w:rFonts w:ascii="Arial" w:cs="Arial" w:eastAsia="Arial" w:hAnsi="Arial"/>
                <w:color w:val="1a1a1a"/>
                <w:sz w:val="18"/>
                <w:szCs w:val="18"/>
              </w:rPr>
              <w:t xml:space="preserve">Security architecture review</w:t>
            </w:r>
          </w:p>
          <w:p>
            <w:pPr>
              <w:pStyle w:val="ListParagraph"/>
              <w:numPr>
                <w:ilvl w:val="0"/>
                <w:numId w:val="3"/>
              </w:numPr>
              <w:spacing w:before="20" w:after="20"/>
            </w:pPr>
            <w:r>
              <w:rPr>
                <w:rFonts w:ascii="Arial" w:cs="Arial" w:eastAsia="Arial" w:hAnsi="Arial"/>
                <w:color w:val="1a1a1a"/>
                <w:sz w:val="18"/>
                <w:szCs w:val="18"/>
              </w:rPr>
              <w:t xml:space="preserve">Data classification and handling review</w:t>
            </w:r>
          </w:p>
          <w:p>
            <w:pPr>
              <w:pStyle w:val="ListParagraph"/>
              <w:numPr>
                <w:ilvl w:val="0"/>
                <w:numId w:val="3"/>
              </w:numPr>
              <w:spacing w:before="20" w:after="20"/>
            </w:pPr>
            <w:r>
              <w:rPr>
                <w:rFonts w:ascii="Arial" w:cs="Arial" w:eastAsia="Arial" w:hAnsi="Arial"/>
                <w:color w:val="1a1a1a"/>
                <w:sz w:val="18"/>
                <w:szCs w:val="18"/>
              </w:rPr>
              <w:t xml:space="preserve">Accessibility review (WCAG 2.1 AA and Section 508)</w:t>
            </w:r>
          </w:p>
          <w:p>
            <w:pPr>
              <w:pStyle w:val="ListParagraph"/>
              <w:numPr>
                <w:ilvl w:val="0"/>
                <w:numId w:val="3"/>
              </w:numPr>
              <w:spacing w:before="20" w:after="20"/>
            </w:pPr>
            <w:r>
              <w:rPr>
                <w:rFonts w:ascii="Arial" w:cs="Arial" w:eastAsia="Arial" w:hAnsi="Arial"/>
                <w:color w:val="1a1a1a"/>
                <w:sz w:val="18"/>
                <w:szCs w:val="18"/>
              </w:rPr>
              <w:t xml:space="preserve">Equity review: does the tool work differently for different user populations?</w:t>
            </w:r>
          </w:p>
          <w:p>
            <w:pPr>
              <w:pStyle w:val="ListParagraph"/>
              <w:numPr>
                <w:ilvl w:val="0"/>
                <w:numId w:val="3"/>
              </w:numPr>
              <w:spacing w:before="20" w:after="20"/>
            </w:pPr>
            <w:r>
              <w:rPr>
                <w:rFonts w:ascii="Arial" w:cs="Arial" w:eastAsia="Arial" w:hAnsi="Arial"/>
                <w:color w:val="1a1a1a"/>
                <w:sz w:val="18"/>
                <w:szCs w:val="18"/>
              </w:rPr>
              <w:t xml:space="preserve">Supportability and ownership plan</w:t>
            </w:r>
          </w:p>
          <w:p>
            <w:pPr>
              <w:pStyle w:val="ListParagraph"/>
              <w:numPr>
                <w:ilvl w:val="0"/>
                <w:numId w:val="3"/>
              </w:numPr>
              <w:spacing w:before="20" w:after="20"/>
            </w:pPr>
            <w:r>
              <w:rPr>
                <w:rFonts w:ascii="Arial" w:cs="Arial" w:eastAsia="Arial" w:hAnsi="Arial"/>
                <w:color w:val="1a1a1a"/>
                <w:sz w:val="18"/>
                <w:szCs w:val="18"/>
              </w:rPr>
              <w:t xml:space="preserve">IT sign-off required before go-live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B71C1C"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Track 4</w:t>
            </w:r>
          </w:p>
        </w:tc>
        <w:tc>
          <w:tcPr>
            <w:tcW w:type="dxa" w:w="75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Automated review plus formal IT project and institutional sign-off.</w:t>
            </w:r>
          </w:p>
          <w:p>
            <w:pPr>
              <w:spacing w:before="40" w:after="20"/>
            </w:pPr>
            <w:r>
              <w:rPr>
                <w:rFonts w:ascii="Arial" w:cs="Arial" w:eastAsia="Arial" w:hAnsi="Arial"/>
                <w:b/>
                <w:bCs/>
                <w:color w:val="B71C1C"/>
                <w:sz w:val="18"/>
                <w:szCs w:val="18"/>
              </w:rPr>
              <w:t xml:space="preserve">Route here when:</w:t>
            </w:r>
          </w:p>
          <w:p>
            <w:pPr>
              <w:pStyle w:val="ListParagraph"/>
              <w:numPr>
                <w:ilvl w:val="0"/>
                <w:numId w:val="2"/>
              </w:numPr>
              <w:spacing w:before="20" w:after="20"/>
            </w:pPr>
            <w:r>
              <w:rPr>
                <w:rFonts w:ascii="Arial" w:cs="Arial" w:eastAsia="Arial" w:hAnsi="Arial"/>
                <w:color w:val="1a1a1a"/>
                <w:sz w:val="18"/>
                <w:szCs w:val="18"/>
              </w:rPr>
              <w:t xml:space="preserve">Weighted score in the very high band for the artifact type</w:t>
            </w:r>
          </w:p>
          <w:p>
            <w:pPr>
              <w:pStyle w:val="ListParagraph"/>
              <w:numPr>
                <w:ilvl w:val="0"/>
                <w:numId w:val="2"/>
              </w:numPr>
              <w:spacing w:before="20" w:after="20"/>
            </w:pPr>
            <w:r>
              <w:rPr>
                <w:rFonts w:ascii="Arial" w:cs="Arial" w:eastAsia="Arial" w:hAnsi="Arial"/>
                <w:color w:val="1a1a1a"/>
                <w:sz w:val="18"/>
                <w:szCs w:val="18"/>
              </w:rPr>
              <w:t xml:space="preserve">Any escalation condition is triggered</w:t>
            </w:r>
          </w:p>
          <w:p>
            <w:pPr>
              <w:pStyle w:val="ListParagraph"/>
              <w:numPr>
                <w:ilvl w:val="0"/>
                <w:numId w:val="2"/>
              </w:numPr>
              <w:spacing w:before="20" w:after="20"/>
            </w:pPr>
            <w:r>
              <w:rPr>
                <w:rFonts w:ascii="Arial" w:cs="Arial" w:eastAsia="Arial" w:hAnsi="Arial"/>
                <w:color w:val="1a1a1a"/>
                <w:sz w:val="18"/>
                <w:szCs w:val="18"/>
              </w:rPr>
              <w:t xml:space="preserve">Touches regulated data (HIPAA, export-controlled, IRB human subjects)</w:t>
            </w:r>
          </w:p>
          <w:p>
            <w:pPr>
              <w:pStyle w:val="ListParagraph"/>
              <w:numPr>
                <w:ilvl w:val="0"/>
                <w:numId w:val="2"/>
              </w:numPr>
              <w:spacing w:before="20" w:after="20"/>
            </w:pPr>
            <w:r>
              <w:rPr>
                <w:rFonts w:ascii="Arial" w:cs="Arial" w:eastAsia="Arial" w:hAnsi="Arial"/>
                <w:color w:val="1a1a1a"/>
                <w:sz w:val="18"/>
                <w:szCs w:val="18"/>
              </w:rPr>
              <w:t xml:space="preserve">Autonomous decisions affecting people without human review</w:t>
            </w:r>
          </w:p>
          <w:p>
            <w:pPr>
              <w:spacing w:before="60" w:after="20"/>
            </w:pPr>
            <w:r>
              <w:rPr>
                <w:rFonts w:ascii="Arial" w:cs="Arial" w:eastAsia="Arial" w:hAnsi="Arial"/>
                <w:b/>
                <w:bCs/>
                <w:color w:val="B71C1C"/>
                <w:sz w:val="18"/>
                <w:szCs w:val="18"/>
              </w:rPr>
              <w:t xml:space="preserve">Required before proceeding:</w:t>
            </w:r>
          </w:p>
          <w:p>
            <w:pPr>
              <w:pStyle w:val="ListParagraph"/>
              <w:numPr>
                <w:ilvl w:val="0"/>
                <w:numId w:val="3"/>
              </w:numPr>
              <w:spacing w:before="20" w:after="20"/>
            </w:pPr>
            <w:r>
              <w:rPr>
                <w:rFonts w:ascii="Arial" w:cs="Arial" w:eastAsia="Arial" w:hAnsi="Arial"/>
                <w:color w:val="1a1a1a"/>
                <w:sz w:val="18"/>
                <w:szCs w:val="18"/>
              </w:rPr>
              <w:t xml:space="preserve">Automated pipeline runs: Code/Security, Accessibility, HECVAT-Lite, and Documentation agents</w:t>
            </w:r>
          </w:p>
          <w:p>
            <w:pPr>
              <w:pStyle w:val="ListParagraph"/>
              <w:numPr>
                <w:ilvl w:val="0"/>
                <w:numId w:val="3"/>
              </w:numPr>
              <w:spacing w:before="20" w:after="20"/>
            </w:pPr>
            <w:r>
              <w:rPr>
                <w:rFonts w:ascii="Arial" w:cs="Arial" w:eastAsia="Arial" w:hAnsi="Arial"/>
                <w:color w:val="1a1a1a"/>
                <w:sz w:val="18"/>
                <w:szCs w:val="18"/>
              </w:rPr>
              <w:t xml:space="preserve">Stop and contact IT before proceeding to production</w:t>
            </w:r>
          </w:p>
          <w:p>
            <w:pPr>
              <w:pStyle w:val="ListParagraph"/>
              <w:numPr>
                <w:ilvl w:val="0"/>
                <w:numId w:val="3"/>
              </w:numPr>
              <w:spacing w:before="20" w:after="20"/>
            </w:pPr>
            <w:r>
              <w:rPr>
                <w:rFonts w:ascii="Arial" w:cs="Arial" w:eastAsia="Arial" w:hAnsi="Arial"/>
                <w:color w:val="1a1a1a"/>
                <w:sz w:val="18"/>
                <w:szCs w:val="18"/>
              </w:rPr>
              <w:t xml:space="preserve">Submit a formal IT project request</w:t>
            </w:r>
          </w:p>
          <w:p>
            <w:pPr>
              <w:pStyle w:val="ListParagraph"/>
              <w:numPr>
                <w:ilvl w:val="0"/>
                <w:numId w:val="3"/>
              </w:numPr>
              <w:spacing w:before="20" w:after="20"/>
            </w:pPr>
            <w:r>
              <w:rPr>
                <w:rFonts w:ascii="Arial" w:cs="Arial" w:eastAsia="Arial" w:hAnsi="Arial"/>
                <w:color w:val="1a1a1a"/>
                <w:sz w:val="18"/>
                <w:szCs w:val="18"/>
              </w:rPr>
              <w:t xml:space="preserve">IT leadership scoping and risk review</w:t>
            </w:r>
          </w:p>
          <w:p>
            <w:pPr>
              <w:pStyle w:val="ListParagraph"/>
              <w:numPr>
                <w:ilvl w:val="0"/>
                <w:numId w:val="3"/>
              </w:numPr>
              <w:spacing w:before="20" w:after="20"/>
            </w:pPr>
            <w:r>
              <w:rPr>
                <w:rFonts w:ascii="Arial" w:cs="Arial" w:eastAsia="Arial" w:hAnsi="Arial"/>
                <w:color w:val="1a1a1a"/>
                <w:sz w:val="18"/>
                <w:szCs w:val="18"/>
              </w:rPr>
              <w:t xml:space="preserve">Security, privacy, legal, and compliance review</w:t>
            </w:r>
          </w:p>
          <w:p>
            <w:pPr>
              <w:pStyle w:val="ListParagraph"/>
              <w:numPr>
                <w:ilvl w:val="0"/>
                <w:numId w:val="3"/>
              </w:numPr>
              <w:spacing w:before="20" w:after="20"/>
            </w:pPr>
            <w:r>
              <w:rPr>
                <w:rFonts w:ascii="Arial" w:cs="Arial" w:eastAsia="Arial" w:hAnsi="Arial"/>
                <w:color w:val="1a1a1a"/>
                <w:sz w:val="18"/>
                <w:szCs w:val="18"/>
              </w:rPr>
              <w:t xml:space="preserve">Architecture approval</w:t>
            </w:r>
          </w:p>
          <w:p>
            <w:pPr>
              <w:pStyle w:val="ListParagraph"/>
              <w:numPr>
                <w:ilvl w:val="0"/>
                <w:numId w:val="3"/>
              </w:numPr>
              <w:spacing w:before="20" w:after="20"/>
            </w:pPr>
            <w:r>
              <w:rPr>
                <w:rFonts w:ascii="Arial" w:cs="Arial" w:eastAsia="Arial" w:hAnsi="Arial"/>
                <w:color w:val="1a1a1a"/>
                <w:sz w:val="18"/>
                <w:szCs w:val="18"/>
              </w:rPr>
              <w:t xml:space="preserve">Formal project plan including testing, rollback procedures, and long-term support model</w:t>
            </w:r>
          </w:p>
          <w:p>
            <w:pPr>
              <w:pStyle w:val="ListParagraph"/>
              <w:numPr>
                <w:ilvl w:val="0"/>
                <w:numId w:val="3"/>
              </w:numPr>
              <w:spacing w:before="20" w:after="20"/>
            </w:pPr>
            <w:r>
              <w:rPr>
                <w:rFonts w:ascii="Arial" w:cs="Arial" w:eastAsia="Arial" w:hAnsi="Arial"/>
                <w:color w:val="1a1a1a"/>
                <w:sz w:val="18"/>
                <w:szCs w:val="18"/>
              </w:rPr>
              <w:t xml:space="preserve">Formal sign-off required before go-live</w:t>
            </w:r>
          </w:p>
        </w:tc>
      </w:tr>
    </w:tbl>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Score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Weighted Score</w:t>
            </w:r>
          </w:p>
        </w:tc>
        <w:tc>
          <w:tcPr>
            <w:tcW w:type="dxa" w:w="180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5960"/>
            <w:tcBorders>
              <w:top w:val="single" w:color="6B1A29" w:sz="2"/>
              <w:left w:val="single" w:color="6B1A29" w:sz="2"/>
              <w:bottom w:val="single" w:color="6B1A29" w:sz="2"/>
              <w:right w:val="single" w:color="6B1A29" w:sz="2"/>
            </w:tcBorders>
            <w:shd w:fill="6B1A29" w:val="clear"/>
            <w:tcMar>
              <w:top w:type="dxa" w:w="80"/>
              <w:left w:type="dxa" w:w="100"/>
              <w:bottom w:type="dxa" w:w="80"/>
              <w:right w:type="dxa" w:w="100"/>
            </w:tcMar>
          </w:tcPr>
          <w:p>
            <w:r>
              <w:rPr>
                <w:rFonts w:ascii="Arial" w:cs="Arial" w:eastAsia="Arial" w:hAnsi="Arial"/>
                <w:b/>
                <w:bCs/>
                <w:color w:val="FFFFFF"/>
                <w:sz w:val="18"/>
                <w:szCs w:val="18"/>
              </w:rPr>
              <w:t xml:space="preserve">What Happens Next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1800"/>
            <w:tcBorders>
              <w:top w:val="single" w:color="CCCCCC" w:sz="2"/>
              <w:left w:val="single" w:color="CCCCCC" w:sz="2"/>
              <w:bottom w:val="single" w:color="CCCCCC" w:sz="2"/>
              <w:right w:val="single" w:color="CCCCCC" w:sz="2"/>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Track 1</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Acknowledge findings and register.</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1800"/>
            <w:tcBorders>
              <w:top w:val="single" w:color="CCCCCC" w:sz="2"/>
              <w:left w:val="single" w:color="CCCCCC" w:sz="2"/>
              <w:bottom w:val="single" w:color="CCCCCC" w:sz="2"/>
              <w:right w:val="single" w:color="CCCCCC" w:sz="2"/>
            </w:tcBorders>
            <w:shd w:fill="FFF8E1" w:val="clear"/>
            <w:tcMar>
              <w:top w:type="dxa" w:w="80"/>
              <w:left w:type="dxa" w:w="100"/>
              <w:bottom w:type="dxa" w:w="80"/>
              <w:right w:type="dxa" w:w="100"/>
            </w:tcMar>
          </w:tcPr>
          <w:p>
            <w:r>
              <w:rPr>
                <w:rFonts w:ascii="Arial" w:cs="Arial" w:eastAsia="Arial" w:hAnsi="Arial"/>
                <w:b/>
                <w:bCs/>
                <w:color w:val="B8860B"/>
                <w:sz w:val="18"/>
                <w:szCs w:val="18"/>
              </w:rPr>
              <w:t xml:space="preserve">Track 2</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Complete Self-Assessment and self-certify.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1800"/>
            <w:tcBorders>
              <w:top w:val="single" w:color="CCCCCC" w:sz="2"/>
              <w:left w:val="single" w:color="CCCCCC" w:sz="2"/>
              <w:bottom w:val="single" w:color="CCCCCC" w:sz="2"/>
              <w:right w:val="single" w:color="CCCCCC" w:sz="2"/>
            </w:tcBorders>
            <w:shd w:fill="FFF3E0" w:val="clear"/>
            <w:tcMar>
              <w:top w:type="dxa" w:w="80"/>
              <w:left w:type="dxa" w:w="100"/>
              <w:bottom w:type="dxa" w:w="80"/>
              <w:right w:type="dxa" w:w="100"/>
            </w:tcMar>
          </w:tcPr>
          <w:p>
            <w:r>
              <w:rPr>
                <w:rFonts w:ascii="Arial" w:cs="Arial" w:eastAsia="Arial" w:hAnsi="Arial"/>
                <w:b/>
                <w:bCs/>
                <w:color w:val="E65100"/>
                <w:sz w:val="18"/>
                <w:szCs w:val="18"/>
              </w:rPr>
              <w:t xml:space="preserve">Track 3</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IT reviews findings and issues sign-off.</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Very High or any escalation condition</w:t>
            </w:r>
          </w:p>
        </w:tc>
        <w:tc>
          <w:tcPr>
            <w:tcW w:type="dxa" w:w="1800"/>
            <w:tcBorders>
              <w:top w:val="single" w:color="CCCCCC" w:sz="2"/>
              <w:left w:val="single" w:color="CCCCCC" w:sz="2"/>
              <w:bottom w:val="single" w:color="CCCCCC" w:sz="2"/>
              <w:right w:val="single" w:color="CCCCCC" w:sz="2"/>
            </w:tcBorders>
            <w:shd w:fill="FFEBEE" w:val="clear"/>
            <w:tcMar>
              <w:top w:type="dxa" w:w="80"/>
              <w:left w:type="dxa" w:w="100"/>
              <w:bottom w:type="dxa" w:w="80"/>
              <w:right w:type="dxa" w:w="100"/>
            </w:tcMar>
          </w:tcPr>
          <w:p>
            <w:r>
              <w:rPr>
                <w:rFonts w:ascii="Arial" w:cs="Arial" w:eastAsia="Arial" w:hAnsi="Arial"/>
                <w:b/>
                <w:bCs/>
                <w:color w:val="B71C1C"/>
                <w:sz w:val="18"/>
                <w:szCs w:val="18"/>
              </w:rPr>
              <w:t xml:space="preserve">Track 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Automated review. Stop. Formal IT project required before production.</w:t>
            </w:r>
          </w:p>
        </w:tc>
      </w:tr>
    </w:tbl>
    <w:p>
      <w:pPr>
        <w:spacing w:before="60" w:after="0"/>
      </w:pPr>
      <w:r>
        <w:t xml:space="preserve"/>
      </w:r>
    </w:p>
    <w:p>
      <w:pPr>
        <w:spacing w:before="60" w:after="60"/>
      </w:pPr>
      <w:r>
        <w:rPr>
          <w:rFonts w:ascii="Arial" w:cs="Arial" w:eastAsia="Arial" w:hAnsi="Arial"/>
          <w:b/>
          <w:bCs/>
          <w:color w:val="1a1a1a"/>
          <w:sz w:val="20"/>
          <w:szCs w:val="20"/>
        </w:rPr>
        <w:t xml:space="preserve">Term definitions: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Arial" w:cs="Arial" w:eastAsia="Arial" w:hAnsi="Arial"/>
                <w:b/>
                <w:bCs/>
                <w:color w:val="6B1A29"/>
                <w:sz w:val="18"/>
                <w:szCs w:val="18"/>
              </w:rPr>
              <w:t xml:space="preserve">Acknowledge findings</w:t>
            </w:r>
          </w:p>
        </w:tc>
        <w:tc>
          <w:tcPr>
            <w:tcW w:type="dxa" w:w="7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Review the automated pipeline report, confirm you have read it, and register the tool in the IT tool registry.</w:t>
            </w:r>
          </w:p>
        </w:tc>
      </w:tr>
      <w:tr>
        <w:tc>
          <w:tcPr>
            <w:tcW w:type="dxa" w:w="2000"/>
            <w:tcBorders>
              <w:top w:val="single" w:color="CCCCCC" w:sz="2"/>
              <w:left w:val="single" w:color="CCCCCC" w:sz="2"/>
              <w:bottom w:val="single" w:color="CCCCCC" w:sz="2"/>
              <w:right w:val="single" w:color="CCCCCC" w:sz="2"/>
            </w:tcBorders>
            <w:shd w:fill="E8E8E8" w:val="clear"/>
            <w:tcMar>
              <w:top w:type="dxa" w:w="70"/>
              <w:left w:type="dxa" w:w="120"/>
              <w:bottom w:type="dxa" w:w="70"/>
              <w:right w:type="dxa" w:w="120"/>
            </w:tcMar>
          </w:tcPr>
          <w:p>
            <w:r>
              <w:rPr>
                <w:rFonts w:ascii="Arial" w:cs="Arial" w:eastAsia="Arial" w:hAnsi="Arial"/>
                <w:b/>
                <w:bCs/>
                <w:color w:val="6B1A29"/>
                <w:sz w:val="18"/>
                <w:szCs w:val="18"/>
              </w:rPr>
              <w:t xml:space="preserve">Self-Assessment</w:t>
            </w:r>
          </w:p>
        </w:tc>
        <w:tc>
          <w:tcPr>
            <w:tcW w:type="dxa" w:w="736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Arial" w:cs="Arial" w:eastAsia="Arial" w:hAnsi="Arial"/>
                <w:color w:val="1a1a1a"/>
                <w:sz w:val="18"/>
                <w:szCs w:val="18"/>
              </w:rPr>
              <w:t xml:space="preserve">A structured questionnaire that scales in length with your Track 2 score. Covers data handling, authentication, ownership, and intended use. Completed by the builder before self-certification.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Arial" w:cs="Arial" w:eastAsia="Arial" w:hAnsi="Arial"/>
                <w:b/>
                <w:bCs/>
                <w:color w:val="6B1A29"/>
                <w:sz w:val="18"/>
                <w:szCs w:val="18"/>
              </w:rPr>
              <w:t xml:space="preserve">Self-certify</w:t>
            </w:r>
          </w:p>
        </w:tc>
        <w:tc>
          <w:tcPr>
            <w:tcW w:type="dxa" w:w="7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Builder attests that automated pipeline findings have been reviewed, any flagged items have been addressed or documented with a remediation plan, and the tool is ready for production.</w:t>
            </w:r>
          </w:p>
        </w:tc>
      </w:tr>
      <w:tr>
        <w:tc>
          <w:tcPr>
            <w:tcW w:type="dxa" w:w="2000"/>
            <w:tcBorders>
              <w:top w:val="single" w:color="CCCCCC" w:sz="2"/>
              <w:left w:val="single" w:color="CCCCCC" w:sz="2"/>
              <w:bottom w:val="single" w:color="CCCCCC" w:sz="2"/>
              <w:right w:val="single" w:color="CCCCCC" w:sz="2"/>
            </w:tcBorders>
            <w:shd w:fill="E8E8E8" w:val="clear"/>
            <w:tcMar>
              <w:top w:type="dxa" w:w="70"/>
              <w:left w:type="dxa" w:w="120"/>
              <w:bottom w:type="dxa" w:w="70"/>
              <w:right w:type="dxa" w:w="120"/>
            </w:tcMar>
          </w:tcPr>
          <w:p>
            <w:r>
              <w:rPr>
                <w:rFonts w:ascii="Arial" w:cs="Arial" w:eastAsia="Arial" w:hAnsi="Arial"/>
                <w:b/>
                <w:bCs/>
                <w:color w:val="6B1A29"/>
                <w:sz w:val="18"/>
                <w:szCs w:val="18"/>
              </w:rPr>
              <w:t xml:space="preserve">IT sign-off</w:t>
            </w:r>
          </w:p>
        </w:tc>
        <w:tc>
          <w:tcPr>
            <w:tcW w:type="dxa" w:w="736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Arial" w:cs="Arial" w:eastAsia="Arial" w:hAnsi="Arial"/>
                <w:color w:val="1a1a1a"/>
                <w:sz w:val="18"/>
                <w:szCs w:val="18"/>
              </w:rPr>
              <w:t xml:space="preserve">IT staff reviews the automated pipeline findings and Self-Assessment, may request changes or additional documentation, and issues formal approval before the tool goes to production.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20"/>
              <w:bottom w:type="dxa" w:w="70"/>
              <w:right w:type="dxa" w:w="120"/>
            </w:tcMar>
          </w:tcPr>
          <w:p>
            <w:r>
              <w:rPr>
                <w:rFonts w:ascii="Arial" w:cs="Arial" w:eastAsia="Arial" w:hAnsi="Arial"/>
                <w:b/>
                <w:bCs/>
                <w:color w:val="6B1A29"/>
                <w:sz w:val="18"/>
                <w:szCs w:val="18"/>
              </w:rPr>
              <w:t xml:space="preserve">Formal IT project</w:t>
            </w:r>
          </w:p>
        </w:tc>
        <w:tc>
          <w:tcPr>
            <w:tcW w:type="dxa" w:w="7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 scoped project request submitted to IT covering architecture, security, compliance review, and a long-term production support plan. Requires formal sign-off before go-live.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1A29" w:val="clear"/>
            <w:tcMar>
              <w:top w:type="dxa" w:w="100"/>
              <w:left w:type="dxa" w:w="200"/>
              <w:bottom w:type="dxa" w:w="100"/>
              <w:right w:type="dxa" w:w="200"/>
            </w:tcMar>
          </w:tcPr>
          <w:p>
            <w:pPr>
              <w:jc w:val="center"/>
            </w:pPr>
            <w:r>
              <w:rPr>
                <w:rFonts w:ascii="Arial" w:cs="Arial" w:eastAsia="Arial" w:hAnsi="Arial"/>
                <w:b/>
                <w:bCs/>
                <w:caps/>
                <w:color w:val="FFFFFF"/>
                <w:sz w:val="20"/>
                <w:szCs w:val="20"/>
              </w:rPr>
              <w:t xml:space="preserve">Part 4 — Post-Production and Administration</w:t>
            </w:r>
          </w:p>
        </w:tc>
      </w:tr>
    </w:tbl>
    <w:p>
      <w:pPr>
        <w:spacing w:before="16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Post-Production Monitoring</w:t>
      </w:r>
    </w:p>
    <w:p>
      <w:pPr>
        <w:spacing w:before="60" w:after="60"/>
      </w:pPr>
      <w:r>
        <w:rPr>
          <w:rFonts w:ascii="Arial" w:cs="Arial" w:eastAsia="Arial" w:hAnsi="Arial"/>
          <w:color w:val="1a1a1a"/>
          <w:sz w:val="20"/>
          <w:szCs w:val="20"/>
        </w:rPr>
        <w:t xml:space="preserve">Approval is a moment in time. A tool approved today under one set of conditions should not persist unchanged in a changed environment. Ongoing monitoring is required for all production tools.</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All production tools must be registered in the campus IT tool registry with a designated owner and approved version number</w:t>
      </w:r>
    </w:p>
    <w:p>
      <w:pPr>
        <w:pStyle w:val="ListParagraph"/>
        <w:numPr>
          <w:ilvl w:val="0"/>
          <w:numId w:val="2"/>
        </w:numPr>
        <w:spacing w:before="40" w:after="40"/>
      </w:pPr>
      <w:r>
        <w:rPr>
          <w:rFonts w:ascii="Arial" w:cs="Arial" w:eastAsia="Arial" w:hAnsi="Arial"/>
          <w:b w:val="false"/>
          <w:bCs w:val="false"/>
          <w:color w:val="1a1a1a"/>
          <w:sz w:val="20"/>
          <w:szCs w:val="20"/>
        </w:rPr>
        <w:t xml:space="preserve">Track 1: annual self-confirmation that nothing material has changed</w:t>
      </w:r>
    </w:p>
    <w:p>
      <w:pPr>
        <w:pStyle w:val="ListParagraph"/>
        <w:numPr>
          <w:ilvl w:val="0"/>
          <w:numId w:val="2"/>
        </w:numPr>
        <w:spacing w:before="40" w:after="40"/>
      </w:pPr>
      <w:r>
        <w:rPr>
          <w:rFonts w:ascii="Arial" w:cs="Arial" w:eastAsia="Arial" w:hAnsi="Arial"/>
          <w:b w:val="false"/>
          <w:bCs w:val="false"/>
          <w:color w:val="1a1a1a"/>
          <w:sz w:val="20"/>
          <w:szCs w:val="20"/>
        </w:rPr>
        <w:t xml:space="preserve">Track 2: designated owner self-certifies annually that nothing material has changed</w:t>
      </w:r>
    </w:p>
    <w:p>
      <w:pPr>
        <w:pStyle w:val="ListParagraph"/>
        <w:numPr>
          <w:ilvl w:val="0"/>
          <w:numId w:val="2"/>
        </w:numPr>
        <w:spacing w:before="40" w:after="40"/>
      </w:pPr>
      <w:r>
        <w:rPr>
          <w:rFonts w:ascii="Arial" w:cs="Arial" w:eastAsia="Arial" w:hAnsi="Arial"/>
          <w:b w:val="false"/>
          <w:bCs w:val="false"/>
          <w:color w:val="1a1a1a"/>
          <w:sz w:val="20"/>
          <w:szCs w:val="20"/>
        </w:rPr>
        <w:t xml:space="preserve">Track 3: annual re-scan covering security, accessibility, and code review — automated where tooling supports it, manual with documented results where it does not</w:t>
      </w:r>
    </w:p>
    <w:p>
      <w:pPr>
        <w:pStyle w:val="ListParagraph"/>
        <w:numPr>
          <w:ilvl w:val="0"/>
          <w:numId w:val="2"/>
        </w:numPr>
        <w:spacing w:before="40" w:after="40"/>
      </w:pPr>
      <w:r>
        <w:rPr>
          <w:rFonts w:ascii="Arial" w:cs="Arial" w:eastAsia="Arial" w:hAnsi="Arial"/>
          <w:b w:val="false"/>
          <w:bCs w:val="false"/>
          <w:color w:val="1a1a1a"/>
          <w:sz w:val="20"/>
          <w:szCs w:val="20"/>
        </w:rPr>
        <w:t xml:space="preserve">Track 4: annual formal IT review with updated sign-off</w:t>
      </w:r>
    </w:p>
    <w:p>
      <w:pPr>
        <w:pStyle w:val="ListParagraph"/>
        <w:numPr>
          <w:ilvl w:val="0"/>
          <w:numId w:val="2"/>
        </w:numPr>
        <w:spacing w:before="40" w:after="40"/>
      </w:pPr>
      <w:r>
        <w:rPr>
          <w:rFonts w:ascii="Arial" w:cs="Arial" w:eastAsia="Arial" w:hAnsi="Arial"/>
          <w:b w:val="false"/>
          <w:bCs w:val="false"/>
          <w:color w:val="1a1a1a"/>
          <w:sz w:val="20"/>
          <w:szCs w:val="20"/>
        </w:rPr>
        <w:t xml:space="preserve">Any material change triggers full re-review from the beginning of the intake process</w:t>
      </w:r>
    </w:p>
    <w:p>
      <w:pPr>
        <w:pStyle w:val="ListParagraph"/>
        <w:numPr>
          <w:ilvl w:val="0"/>
          <w:numId w:val="2"/>
        </w:numPr>
        <w:spacing w:before="40" w:after="40"/>
      </w:pPr>
      <w:r>
        <w:rPr>
          <w:rFonts w:ascii="Arial" w:cs="Arial" w:eastAsia="Arial" w:hAnsi="Arial"/>
          <w:b w:val="false"/>
          <w:bCs w:val="false"/>
          <w:color w:val="1a1a1a"/>
          <w:sz w:val="20"/>
          <w:szCs w:val="20"/>
        </w:rPr>
        <w:t xml:space="preserve">For tools using third-party AI models via API: the tool owner is responsible for monitoring the provider's model versioning and changelog. Provider-side updates that alter behavior constitute a material change even when the campus took no action.</w:t>
      </w:r>
    </w:p>
    <w:p>
      <w:pPr>
        <w:pStyle w:val="ListParagraph"/>
        <w:numPr>
          <w:ilvl w:val="0"/>
          <w:numId w:val="2"/>
        </w:numPr>
        <w:spacing w:before="40" w:after="40"/>
      </w:pPr>
      <w:r>
        <w:rPr>
          <w:rFonts w:ascii="Arial" w:cs="Arial" w:eastAsia="Arial" w:hAnsi="Arial"/>
          <w:b w:val="false"/>
          <w:bCs w:val="false"/>
          <w:color w:val="1a1a1a"/>
          <w:sz w:val="20"/>
          <w:szCs w:val="20"/>
        </w:rPr>
        <w:t xml:space="preserve">If a tool's owner leaves, the campus has 30 days to designate a new owner before the tool is suspended from production. IT may grant an extension with documented justification.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Runtime anomalies — unexpected data access, authentication failures, significant error rate increases — must be reported to IT through standard incident management channels</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What This Framework Is Not</w:t>
      </w:r>
    </w:p>
    <w:p>
      <w:pPr>
        <w:spacing w:before="60" w:after="60"/>
      </w:pPr>
      <w:r>
        <w:rPr>
          <w:rFonts w:ascii="Arial" w:cs="Arial" w:eastAsia="Arial" w:hAnsi="Arial"/>
          <w:color w:val="1a1a1a"/>
          <w:sz w:val="20"/>
          <w:szCs w:val="20"/>
        </w:rPr>
        <w:t xml:space="preserve">This framework is designed to enable AI-assisted development, not restrict it. Four clarifications for common misreadings:</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is not a substitute for faculty governance. Tools that affect curriculum, assessment, or academic integrity require faculty senate or department-level review in addition to IT sign-off. The two processes are complementary, not interchangeable.</w:t>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is not a replacement for existing institutional data governance policy, FERPA compliance obligations, or information security standards. It operates alongside those, and where they conflict, existing institutional policy governs.</w:t>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does not address intellectual property, open-source licensing, or institutional ownership of tools built by employees using institutional data or infrastructure. Those questions are governed by existing institutional IP, acceptable use, and employment policies.</w:t>
      </w:r>
    </w:p>
    <w:p>
      <w:pPr>
        <w:pStyle w:val="ListParagraph"/>
        <w:numPr>
          <w:ilvl w:val="0"/>
          <w:numId w:val="2"/>
        </w:numPr>
        <w:spacing w:before="40" w:after="40"/>
      </w:pPr>
      <w:r>
        <w:rPr>
          <w:rFonts w:ascii="Arial" w:cs="Arial" w:eastAsia="Arial" w:hAnsi="Arial"/>
          <w:b w:val="false"/>
          <w:bCs w:val="false"/>
          <w:color w:val="1a1a1a"/>
          <w:sz w:val="20"/>
          <w:szCs w:val="20"/>
        </w:rPr>
        <w:t xml:space="preserve">This framework is not final. Scoring thresholds, escalation conditions, and track requirements will be refined based on stress-testing and stakeholder feedback before the first official release.</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Adopting This Framework</w:t>
      </w:r>
    </w:p>
    <w:p>
      <w:pPr>
        <w:spacing w:before="60" w:after="60"/>
      </w:pPr>
      <w:r>
        <w:rPr>
          <w:rFonts w:ascii="Arial" w:cs="Arial" w:eastAsia="Arial" w:hAnsi="Arial"/>
          <w:color w:val="1a1a1a"/>
          <w:sz w:val="20"/>
          <w:szCs w:val="20"/>
        </w:rPr>
        <w:t xml:space="preserve">This framework is designed to be adapted, not just adopted. The intake structure, routing logic, ethical mapping, and tier requirements are portable across higher education institutions. To operationalize it for your context:</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0"/>
          <w:szCs w:val="20"/>
        </w:rPr>
        <w:t xml:space="preserve">Calibrate the weight matrix against your own tool landscape. Run the intake against five to ten tools already in use and verify that routing results match your judgment. Adjust tier thresholds before publishing as policy.</w:t>
      </w:r>
    </w:p>
    <w:p>
      <w:pPr>
        <w:pStyle w:val="ListParagraph"/>
        <w:numPr>
          <w:ilvl w:val="0"/>
          <w:numId w:val="2"/>
        </w:numPr>
        <w:spacing w:before="40" w:after="40"/>
      </w:pPr>
      <w:r>
        <w:rPr>
          <w:rFonts w:ascii="Arial" w:cs="Arial" w:eastAsia="Arial" w:hAnsi="Arial"/>
          <w:b w:val="false"/>
          <w:bCs w:val="false"/>
          <w:color w:val="1a1a1a"/>
          <w:sz w:val="20"/>
          <w:szCs w:val="20"/>
        </w:rPr>
        <w:t xml:space="preserve">Map the escalation conditions to your own enterprise systems and data governance policies. The conditions are written generically — identify the specific ERP, SIS, CRM, and financial systems on campus and name them explicitly in the local version.</w:t>
      </w:r>
    </w:p>
    <w:p>
      <w:pPr>
        <w:pStyle w:val="ListParagraph"/>
        <w:numPr>
          <w:ilvl w:val="0"/>
          <w:numId w:val="2"/>
        </w:numPr>
        <w:spacing w:before="40" w:after="40"/>
      </w:pPr>
      <w:r>
        <w:rPr>
          <w:rFonts w:ascii="Arial" w:cs="Arial" w:eastAsia="Arial" w:hAnsi="Arial"/>
          <w:b w:val="false"/>
          <w:bCs w:val="false"/>
          <w:color w:val="1a1a1a"/>
          <w:sz w:val="20"/>
          <w:szCs w:val="20"/>
        </w:rPr>
        <w:t xml:space="preserve">Build the Self-Assessment for your local context. Each institution should build it to reflect local data governance requirements, existing IT review processes, and the types of AI-assisted tools most prevalent at that institution.</w:t>
      </w:r>
    </w:p>
    <w:p>
      <w:pPr>
        <w:pStyle w:val="ListParagraph"/>
        <w:numPr>
          <w:ilvl w:val="0"/>
          <w:numId w:val="2"/>
        </w:numPr>
        <w:spacing w:before="40" w:after="40"/>
      </w:pPr>
      <w:r>
        <w:rPr>
          <w:rFonts w:ascii="Arial" w:cs="Arial" w:eastAsia="Arial" w:hAnsi="Arial"/>
          <w:b w:val="false"/>
          <w:bCs w:val="false"/>
          <w:color w:val="1a1a1a"/>
          <w:sz w:val="20"/>
          <w:szCs w:val="20"/>
        </w:rPr>
        <w:t xml:space="preserve">Define your tool registry structure: required fields, maintenance responsibility, and integration with existing asset management or CMDB systems.</w:t>
      </w:r>
    </w:p>
    <w:p>
      <w:pPr>
        <w:pStyle w:val="ListParagraph"/>
        <w:numPr>
          <w:ilvl w:val="0"/>
          <w:numId w:val="2"/>
        </w:numPr>
        <w:spacing w:before="40" w:after="40"/>
      </w:pPr>
      <w:r>
        <w:rPr>
          <w:rFonts w:ascii="Arial" w:cs="Arial" w:eastAsia="Arial" w:hAnsi="Arial"/>
          <w:b w:val="false"/>
          <w:bCs w:val="false"/>
          <w:color w:val="1a1a1a"/>
          <w:sz w:val="20"/>
          <w:szCs w:val="20"/>
        </w:rPr>
        <w:t xml:space="preserve">Define material change for your context. Review the definition in this framework and add any institution-specific triggers not covered by the default list.</w:t>
      </w:r>
    </w:p>
    <w:p>
      <w:pPr>
        <w:pStyle w:val="ListParagraph"/>
        <w:numPr>
          <w:ilvl w:val="0"/>
          <w:numId w:val="2"/>
        </w:numPr>
        <w:spacing w:before="40" w:after="40"/>
      </w:pPr>
      <w:r>
        <w:rPr>
          <w:rFonts w:ascii="Arial" w:cs="Arial" w:eastAsia="Arial" w:hAnsi="Arial"/>
          <w:b w:val="false"/>
          <w:bCs w:val="false"/>
          <w:color w:val="1a1a1a"/>
          <w:sz w:val="20"/>
          <w:szCs w:val="20"/>
        </w:rPr>
        <w:t xml:space="preserve">Complete the stress test before enforcing tier routing. Do not publish as policy until the weight matrix has been validated against real tools and threshold adjustments have been made.</w:t>
      </w:r>
    </w:p>
    <w:p>
      <w:pPr>
        <w:spacing w:before="200" w:after="0"/>
      </w:pPr>
      <w:r>
        <w:t xml:space="preserve"/>
      </w:r>
    </w:p>
    <w:p>
      <w:pPr>
        <w:pBdr>
          <w:bottom w:val="single" w:color="6B1A29" w:sz="6" w:space="6"/>
        </w:pBdr>
        <w:spacing w:before="360" w:after="120"/>
      </w:pPr>
      <w:r>
        <w:rPr>
          <w:rFonts w:ascii="Arial" w:cs="Arial" w:eastAsia="Arial" w:hAnsi="Arial"/>
          <w:b/>
          <w:bCs/>
          <w:color w:val="6B1A29"/>
          <w:sz w:val="28"/>
          <w:szCs w:val="28"/>
        </w:rPr>
        <w:t xml:space="preserve">Document Preparation Notice</w:t>
      </w:r>
    </w:p>
    <w:p>
      <w:pPr>
        <w:spacing w:before="60" w:after="60"/>
      </w:pPr>
      <w:r>
        <w:rPr>
          <w:rFonts w:ascii="Arial" w:cs="Arial" w:eastAsia="Arial" w:hAnsi="Arial"/>
          <w:color w:val="1a1a1a"/>
          <w:sz w:val="20"/>
          <w:szCs w:val="20"/>
        </w:rPr>
        <w:t xml:space="preserve">This document was prepared collaboratively by University of Montana Enterprise IT staff and an AI assistant (Anthropic Claude). The frameworks, decisions, institutional context, and editorial judgment are those of UM IT leadership. AI was used to assist with research synthesis, drafting, and formatting. All content has been reviewed and approved by a human author prior to distribution.</w:t>
      </w:r>
    </w:p>
    <w:p>
      <w:pPr>
        <w:spacing w:before="80" w:after="0"/>
      </w:pPr>
      <w:r>
        <w:t xml:space="preserve"/>
      </w:r>
    </w:p>
    <w:p>
      <w:pPr>
        <w:spacing w:before="60" w:after="60"/>
      </w:pPr>
      <w:r>
        <w:rPr>
          <w:rFonts w:ascii="Arial" w:cs="Arial" w:eastAsia="Arial" w:hAnsi="Arial"/>
          <w:i/>
          <w:iCs/>
          <w:color w:val="1a1a1a"/>
          <w:sz w:val="20"/>
          <w:szCs w:val="20"/>
        </w:rPr>
        <w:t xml:space="preserve">This document is a living draft. It does not constitute legal advice, official institutional policy, or a final governance determination. Direct questions to the Office of the CIO.</w:t>
      </w:r>
    </w:p>
    <w:p>
      <w:pPr>
        <w:spacing w:before="120" w:after="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1A29" w:sz="4" w:space="6"/>
      </w:pBd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A29" w:sz="6" w:space="6"/>
      </w:pBdr>
    </w:pPr>
    <w:r>
      <w:rPr>
        <w:rFonts w:ascii="Arial" w:cs="Arial" w:eastAsia="Arial" w:hAnsi="Arial"/>
        <w:b/>
        <w:bCs/>
        <w:color w:val="6B1A29"/>
        <w:sz w:val="18"/>
        <w:szCs w:val="18"/>
      </w:rPr>
      <w:t xml:space="preserve">AI-Built Tool Code Intake  </w:t>
    </w:r>
    <w:r>
      <w:rPr>
        <w:rFonts w:ascii="Arial" w:cs="Arial" w:eastAsia="Arial" w:hAnsi="Arial"/>
        <w:color w:val="888888"/>
        <w:sz w:val="18"/>
        <w:szCs w:val="18"/>
      </w:rPr>
      <w:t xml:space="preserve">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2026-03-07T04:14:43.250Z</dcterms:created>
  <dcterms:modified xsi:type="dcterms:W3CDTF">2026-03-07T04:14:43.251Z</dcterms:modified>
</cp:coreProperties>
</file>

<file path=docProps/custom.xml><?xml version="1.0" encoding="utf-8"?>
<Properties xmlns="http://schemas.openxmlformats.org/officeDocument/2006/custom-properties" xmlns:vt="http://schemas.openxmlformats.org/officeDocument/2006/docPropsVTypes"/>
</file>