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pPr>
      <w:r>
        <w:rPr>
          <w:rFonts w:ascii="Arial" w:cs="Arial" w:eastAsia="Arial" w:hAnsi="Arial"/>
          <w:b/>
          <w:bCs/>
          <w:color w:val="6B1A29"/>
          <w:sz w:val="52"/>
          <w:szCs w:val="52"/>
        </w:rPr>
        <w:t xml:space="preserve">AI Production Readiness Framework</w:t>
      </w:r>
    </w:p>
    <w:p>
      <w:pPr>
        <w:spacing w:before="0" w:after="60"/>
      </w:pPr>
      <w:r>
        <w:rPr>
          <w:rFonts w:ascii="Arial" w:cs="Arial" w:eastAsia="Arial" w:hAnsi="Arial"/>
          <w:i/>
          <w:iCs/>
          <w:color w:val="555555"/>
          <w:sz w:val="22"/>
          <w:szCs w:val="22"/>
        </w:rPr>
        <w:t xml:space="preserve">A risk-tiered routing framework for moving AI-assisted tools from prototype to production in higher education</w:t>
      </w:r>
    </w:p>
    <w:p>
      <w:pPr>
        <w:pBdr>
          <w:bottom w:val="single" w:color="6B1A29" w:sz="8" w:space="8"/>
        </w:pBdr>
        <w:spacing w:before="0" w:after="0"/>
      </w:pPr>
      <w:r>
        <w:rPr>
          <w:rFonts w:ascii="Arial" w:cs="Arial" w:eastAsia="Arial" w:hAnsi="Arial"/>
          <w:color w:val="888888"/>
          <w:sz w:val="18"/>
          <w:szCs w:val="18"/>
        </w:rPr>
        <w:t xml:space="preserve">Institutional IT  ·  v0.1 Draft  ·  2026</w:t>
      </w:r>
    </w:p>
    <w:p>
      <w:pPr>
        <w:spacing w:before="24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Purpose</w:t>
      </w:r>
    </w:p>
    <w:p>
      <w:pPr>
        <w:spacing w:before="60" w:after="60"/>
      </w:pPr>
      <w:r>
        <w:rPr>
          <w:rFonts w:ascii="Arial" w:cs="Arial" w:eastAsia="Arial" w:hAnsi="Arial"/>
          <w:color w:val="1a1a1a"/>
          <w:sz w:val="20"/>
          <w:szCs w:val="20"/>
        </w:rPr>
        <w:t xml:space="preserve">The availability of AI coding tools — Claude Code, Cursor, GitHub Copilot, and others — means anyone at an institution can now build functional software in hours. That is a genuine opportunity. It also means tools are reaching students, staff, and institutional systems without review for data exposure, security, or long-term supportability.</w:t>
      </w:r>
    </w:p>
    <w:p>
      <w:pPr>
        <w:spacing w:before="60" w:after="0"/>
      </w:pPr>
      <w:r>
        <w:t xml:space="preserve"/>
      </w:r>
    </w:p>
    <w:p>
      <w:pPr>
        <w:spacing w:before="60" w:after="60"/>
      </w:pPr>
      <w:r>
        <w:rPr>
          <w:rFonts w:ascii="Arial" w:cs="Arial" w:eastAsia="Arial" w:hAnsi="Arial"/>
          <w:color w:val="1a1a1a"/>
          <w:sz w:val="20"/>
          <w:szCs w:val="20"/>
        </w:rPr>
        <w:t xml:space="preserve">This framework creates a lightweight but real pathway between 'it works on my laptop' and 'it is a production system.' The goal is not to slow innovation. The goal is to ensure the right level of scrutiny is applied based on actual risk, and that builders know exactly what they need to do before going live.</w:t>
      </w:r>
    </w:p>
    <w:p>
      <w:pPr>
        <w:spacing w:before="60" w:after="0"/>
      </w:pPr>
      <w:r>
        <w:t xml:space="preserve"/>
      </w:r>
    </w:p>
    <w:p>
      <w:pPr>
        <w:spacing w:before="60" w:after="60"/>
      </w:pPr>
      <w:r>
        <w:rPr>
          <w:rFonts w:ascii="Arial" w:cs="Arial" w:eastAsia="Arial" w:hAnsi="Arial"/>
          <w:color w:val="1a1a1a"/>
          <w:sz w:val="20"/>
          <w:szCs w:val="20"/>
        </w:rPr>
        <w:t xml:space="preserve">This framework is designed to enable AI-assisted development, not restrict it.</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Quick Start</w:t>
      </w:r>
    </w:p>
    <w:p>
      <w:pPr>
        <w:spacing w:before="60" w:after="60"/>
      </w:pPr>
      <w:r>
        <w:rPr>
          <w:rFonts w:ascii="Arial" w:cs="Arial" w:eastAsia="Arial" w:hAnsi="Arial"/>
          <w:color w:val="1a1a1a"/>
          <w:sz w:val="20"/>
          <w:szCs w:val="20"/>
        </w:rPr>
        <w:t xml:space="preserve">If you built a tool with AI assistance and want to share it beyond yourself, here is what you need to do:</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Score your tool using the four dimensions in the Routing Dimensions section. Each dimension is scored 0 to 3. Add up your score.</w:t>
      </w:r>
    </w:p>
    <w:p>
      <w:pPr>
        <w:pStyle w:val="ListParagraph"/>
        <w:numPr>
          <w:ilvl w:val="0"/>
          <w:numId w:val="2"/>
        </w:numPr>
        <w:spacing w:before="40" w:after="40"/>
      </w:pPr>
      <w:r>
        <w:rPr>
          <w:rFonts w:ascii="Arial" w:cs="Arial" w:eastAsia="Arial" w:hAnsi="Arial"/>
          <w:b w:val="false"/>
          <w:bCs w:val="false"/>
          <w:color w:val="1a1a1a"/>
          <w:sz w:val="20"/>
          <w:szCs w:val="20"/>
        </w:rPr>
        <w:t xml:space="preserve">Check whether any Escalation Conditions apply. If any do, stop and contact IT regardless of your score.</w:t>
      </w:r>
    </w:p>
    <w:p>
      <w:pPr>
        <w:pStyle w:val="ListParagraph"/>
        <w:numPr>
          <w:ilvl w:val="0"/>
          <w:numId w:val="2"/>
        </w:numPr>
        <w:spacing w:before="40" w:after="40"/>
      </w:pPr>
      <w:r>
        <w:rPr>
          <w:rFonts w:ascii="Arial" w:cs="Arial" w:eastAsia="Arial" w:hAnsi="Arial"/>
          <w:b w:val="false"/>
          <w:bCs w:val="false"/>
          <w:color w:val="1a1a1a"/>
          <w:sz w:val="20"/>
          <w:szCs w:val="20"/>
        </w:rPr>
        <w:t xml:space="preserve">Find your tier in the table below and follow the requirements for that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Score</w:t>
            </w:r>
          </w:p>
        </w:tc>
        <w:tc>
          <w:tcPr>
            <w:tcW w:type="dxa" w:w="18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596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What Happens Next</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0-2</w:t>
            </w:r>
          </w:p>
        </w:tc>
        <w:tc>
          <w:tcPr>
            <w:tcW w:type="dxa" w:w="1800"/>
            <w:tcBorders>
              <w:top w:val="single" w:color="DDDDDD" w:sz="2"/>
              <w:left w:val="single" w:color="DDDDDD" w:sz="2"/>
              <w:bottom w:val="single" w:color="DDDDDD" w:sz="2"/>
              <w:right w:val="single" w:color="DDDDDD" w:sz="2"/>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EXPLORE</w:t>
            </w:r>
          </w:p>
        </w:tc>
        <w:tc>
          <w:tcPr>
            <w:tcW w:type="dxa" w:w="59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Register the tool. No formal review required.</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3-5</w:t>
            </w:r>
          </w:p>
        </w:tc>
        <w:tc>
          <w:tcPr>
            <w:tcW w:type="dxa" w:w="1800"/>
            <w:tcBorders>
              <w:top w:val="single" w:color="DDDDDD" w:sz="2"/>
              <w:left w:val="single" w:color="DDDDDD" w:sz="2"/>
              <w:bottom w:val="single" w:color="DDDDDD" w:sz="2"/>
              <w:right w:val="single" w:color="DDDDDD" w:sz="2"/>
            </w:tcBorders>
            <w:shd w:fill="FFF8E1" w:val="clear"/>
            <w:tcMar>
              <w:top w:type="dxa" w:w="80"/>
              <w:left w:type="dxa" w:w="100"/>
              <w:bottom w:type="dxa" w:w="80"/>
              <w:right w:type="dxa" w:w="100"/>
            </w:tcMar>
          </w:tcPr>
          <w:p>
            <w:r>
              <w:rPr>
                <w:rFonts w:ascii="Arial" w:cs="Arial" w:eastAsia="Arial" w:hAnsi="Arial"/>
                <w:b/>
                <w:bCs/>
                <w:color w:val="B8860B"/>
                <w:sz w:val="18"/>
                <w:szCs w:val="18"/>
              </w:rPr>
              <w:t xml:space="preserve">PILOT</w:t>
            </w:r>
          </w:p>
        </w:tc>
        <w:tc>
          <w:tcPr>
            <w:tcW w:type="dxa" w:w="59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Complete the self-service Pilot Self-Assessment. Typically 1-2 weeks, fully async.</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6-8</w:t>
            </w:r>
          </w:p>
        </w:tc>
        <w:tc>
          <w:tcPr>
            <w:tcW w:type="dxa" w:w="1800"/>
            <w:tcBorders>
              <w:top w:val="single" w:color="DDDDDD" w:sz="2"/>
              <w:left w:val="single" w:color="DDDDDD" w:sz="2"/>
              <w:bottom w:val="single" w:color="DDDDDD" w:sz="2"/>
              <w:right w:val="single" w:color="DDDDDD" w:sz="2"/>
            </w:tcBorders>
            <w:shd w:fill="FFF3E0" w:val="clear"/>
            <w:tcMar>
              <w:top w:type="dxa" w:w="80"/>
              <w:left w:type="dxa" w:w="100"/>
              <w:bottom w:type="dxa" w:w="80"/>
              <w:right w:type="dxa" w:w="100"/>
            </w:tcMar>
          </w:tcPr>
          <w:p>
            <w:r>
              <w:rPr>
                <w:rFonts w:ascii="Arial" w:cs="Arial" w:eastAsia="Arial" w:hAnsi="Arial"/>
                <w:b/>
                <w:bCs/>
                <w:color w:val="E65100"/>
                <w:sz w:val="18"/>
                <w:szCs w:val="18"/>
              </w:rPr>
              <w:t xml:space="preserve">DEPLOY</w:t>
            </w:r>
          </w:p>
        </w:tc>
        <w:tc>
          <w:tcPr>
            <w:tcW w:type="dxa" w:w="59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Full IT and security review. Pilot Self-Assessment must be complete first.</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9-12 or any escalation condition</w:t>
            </w:r>
          </w:p>
        </w:tc>
        <w:tc>
          <w:tcPr>
            <w:tcW w:type="dxa" w:w="1800"/>
            <w:tcBorders>
              <w:top w:val="single" w:color="DDDDDD" w:sz="2"/>
              <w:left w:val="single" w:color="DDDDDD" w:sz="2"/>
              <w:bottom w:val="single" w:color="DDDDDD" w:sz="2"/>
              <w:right w:val="single" w:color="DDDDDD" w:sz="2"/>
            </w:tcBorders>
            <w:shd w:fill="FFEBEE" w:val="clear"/>
            <w:tcMar>
              <w:top w:type="dxa" w:w="80"/>
              <w:left w:type="dxa" w:w="100"/>
              <w:bottom w:type="dxa" w:w="80"/>
              <w:right w:type="dxa" w:w="100"/>
            </w:tcMar>
          </w:tcPr>
          <w:p>
            <w:r>
              <w:rPr>
                <w:rFonts w:ascii="Arial" w:cs="Arial" w:eastAsia="Arial" w:hAnsi="Arial"/>
                <w:b/>
                <w:bCs/>
                <w:color w:val="B71C1C"/>
                <w:sz w:val="18"/>
                <w:szCs w:val="18"/>
              </w:rPr>
              <w:t xml:space="preserve">ESCALATE</w:t>
            </w:r>
          </w:p>
        </w:tc>
        <w:tc>
          <w:tcPr>
            <w:tcW w:type="dxa" w:w="59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Cannot go to production without a formal IT project. Stop and contact IT.</w:t>
            </w:r>
          </w:p>
        </w:tc>
      </w:tr>
    </w:tbl>
    <w:p>
      <w:pPr>
        <w:spacing w:before="80" w:after="0"/>
      </w:pPr>
      <w:r>
        <w:t xml:space="preserve"/>
      </w:r>
    </w:p>
    <w:p>
      <w:pPr>
        <w:spacing w:before="60" w:after="60"/>
      </w:pPr>
      <w:r>
        <w:rPr>
          <w:rFonts w:ascii="Arial" w:cs="Arial" w:eastAsia="Arial" w:hAnsi="Arial"/>
          <w:i/>
          <w:iCs/>
          <w:color w:val="1a1a1a"/>
          <w:sz w:val="20"/>
          <w:szCs w:val="20"/>
        </w:rPr>
        <w:t xml:space="preserve">That is the whole process. The rest of this document explains the rationale, lineage, ethical grounding, and institutional implementation plan. You do not need to read all of it to use it.</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Framework Lineage and Basis</w:t>
      </w:r>
    </w:p>
    <w:p>
      <w:pPr>
        <w:spacing w:before="60" w:after="60"/>
      </w:pPr>
      <w:r>
        <w:rPr>
          <w:rFonts w:ascii="Arial" w:cs="Arial" w:eastAsia="Arial" w:hAnsi="Arial"/>
          <w:color w:val="1a1a1a"/>
          <w:sz w:val="20"/>
          <w:szCs w:val="20"/>
        </w:rPr>
        <w:t xml:space="preserve">This framework synthesizes established patterns from multiple recognized sources, adapted for the realities of AI-assisted development in higher education:</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NIST AI Risk Management Framework (AI RMF 1.0, 2023): the core logic of risk-tiered routing, where scrutiny is proportional to impact rather than applied uniformly</w:t>
      </w:r>
    </w:p>
    <w:p>
      <w:pPr>
        <w:pStyle w:val="ListParagraph"/>
        <w:numPr>
          <w:ilvl w:val="0"/>
          <w:numId w:val="2"/>
        </w:numPr>
        <w:spacing w:before="40" w:after="40"/>
      </w:pPr>
      <w:r>
        <w:rPr>
          <w:rFonts w:ascii="Arial" w:cs="Arial" w:eastAsia="Arial" w:hAnsi="Arial"/>
          <w:b w:val="false"/>
          <w:bCs w:val="false"/>
          <w:color w:val="1a1a1a"/>
          <w:sz w:val="20"/>
          <w:szCs w:val="20"/>
        </w:rPr>
        <w:t xml:space="preserve">ITIL Change Management: classification of changes into standard, normal, and emergency tiers based on risk and complexity, which maps directly to the Explore, Pilot, Deploy, and Escalate structure used here</w:t>
      </w:r>
    </w:p>
    <w:p>
      <w:pPr>
        <w:pStyle w:val="ListParagraph"/>
        <w:numPr>
          <w:ilvl w:val="0"/>
          <w:numId w:val="2"/>
        </w:numPr>
        <w:spacing w:before="40" w:after="40"/>
      </w:pPr>
      <w:r>
        <w:rPr>
          <w:rFonts w:ascii="Arial" w:cs="Arial" w:eastAsia="Arial" w:hAnsi="Arial"/>
          <w:b w:val="false"/>
          <w:bCs w:val="false"/>
          <w:color w:val="1a1a1a"/>
          <w:sz w:val="20"/>
          <w:szCs w:val="20"/>
        </w:rPr>
        <w:t xml:space="preserve">WitnessAI Agentic Governance Framework: end-to-end lifecycle governance including agent identity, human-in-the-loop controls, access restrictions, continuous monitoring, and auditability</w:t>
      </w:r>
    </w:p>
    <w:p>
      <w:pPr>
        <w:pStyle w:val="ListParagraph"/>
        <w:numPr>
          <w:ilvl w:val="0"/>
          <w:numId w:val="2"/>
        </w:numPr>
        <w:spacing w:before="40" w:after="40"/>
      </w:pPr>
      <w:r>
        <w:rPr>
          <w:rFonts w:ascii="Arial" w:cs="Arial" w:eastAsia="Arial" w:hAnsi="Arial"/>
          <w:b w:val="false"/>
          <w:bCs w:val="false"/>
          <w:color w:val="1a1a1a"/>
          <w:sz w:val="20"/>
          <w:szCs w:val="20"/>
        </w:rPr>
        <w:t xml:space="preserve">REI Systems Public Sector Agentic AI Lifecycle: phased approach to AI autonomy with escalating risk-based controls and dynamic rather than static oversight</w:t>
      </w:r>
    </w:p>
    <w:p>
      <w:pPr>
        <w:pStyle w:val="ListParagraph"/>
        <w:numPr>
          <w:ilvl w:val="0"/>
          <w:numId w:val="2"/>
        </w:numPr>
        <w:spacing w:before="40" w:after="40"/>
      </w:pPr>
      <w:r>
        <w:rPr>
          <w:rFonts w:ascii="Arial" w:cs="Arial" w:eastAsia="Arial" w:hAnsi="Arial"/>
          <w:b w:val="false"/>
          <w:bCs w:val="false"/>
          <w:color w:val="1a1a1a"/>
          <w:sz w:val="20"/>
          <w:szCs w:val="20"/>
        </w:rPr>
        <w:t xml:space="preserve">Agentic Trust Framework (ATF, Cloud Security Alliance): Zero Trust principles applied to AI agents, maturity-level thinking, and alignment with OWASP standards</w:t>
      </w:r>
    </w:p>
    <w:p>
      <w:pPr>
        <w:pStyle w:val="ListParagraph"/>
        <w:numPr>
          <w:ilvl w:val="0"/>
          <w:numId w:val="2"/>
        </w:numPr>
        <w:spacing w:before="40" w:after="40"/>
      </w:pPr>
      <w:r>
        <w:rPr>
          <w:rFonts w:ascii="Arial" w:cs="Arial" w:eastAsia="Arial" w:hAnsi="Arial"/>
          <w:b w:val="false"/>
          <w:bCs w:val="false"/>
          <w:color w:val="1a1a1a"/>
          <w:sz w:val="20"/>
          <w:szCs w:val="20"/>
        </w:rPr>
        <w:t xml:space="preserve">KPMG Agentic AI Framework: layered security, rollback protocols, and scope constraints on data access and decision authority</w:t>
      </w:r>
    </w:p>
    <w:p>
      <w:pPr>
        <w:pStyle w:val="ListParagraph"/>
        <w:numPr>
          <w:ilvl w:val="0"/>
          <w:numId w:val="2"/>
        </w:numPr>
        <w:spacing w:before="40" w:after="40"/>
      </w:pPr>
      <w:r>
        <w:rPr>
          <w:rFonts w:ascii="Arial" w:cs="Arial" w:eastAsia="Arial" w:hAnsi="Arial"/>
          <w:b w:val="false"/>
          <w:bCs w:val="false"/>
          <w:color w:val="1a1a1a"/>
          <w:sz w:val="20"/>
          <w:szCs w:val="20"/>
        </w:rPr>
        <w:t xml:space="preserve">EDUCAUSE AI Governance Action Plan (2024): three-part institutional structure of governance, operations, and pedagogy; data governance, equity and access, and dynamic oversight principles for higher education</w:t>
      </w:r>
    </w:p>
    <w:p>
      <w:pPr>
        <w:pStyle w:val="ListParagraph"/>
        <w:numPr>
          <w:ilvl w:val="0"/>
          <w:numId w:val="2"/>
        </w:numPr>
        <w:spacing w:before="40" w:after="40"/>
      </w:pPr>
      <w:r>
        <w:rPr>
          <w:rFonts w:ascii="Arial" w:cs="Arial" w:eastAsia="Arial" w:hAnsi="Arial"/>
          <w:b w:val="false"/>
          <w:bCs w:val="false"/>
          <w:color w:val="1a1a1a"/>
          <w:sz w:val="20"/>
          <w:szCs w:val="20"/>
        </w:rPr>
        <w:t xml:space="preserve">EDUCAUSE AI Ethical Guidelines (2025): principle-based framework covering Beneficence, Respect for Autonomy, Transparency and Explainability, and Accountability; emphasis on avoiding black-box systems where institutional responsibility exceeds institutional understanding</w:t>
      </w:r>
    </w:p>
    <w:p>
      <w:pPr>
        <w:spacing w:before="80" w:after="0"/>
      </w:pPr>
      <w:r>
        <w:t xml:space="preserve"/>
      </w:r>
    </w:p>
    <w:p>
      <w:pPr>
        <w:spacing w:before="60" w:after="60"/>
      </w:pPr>
      <w:r>
        <w:rPr>
          <w:rFonts w:ascii="Arial" w:cs="Arial" w:eastAsia="Arial" w:hAnsi="Arial"/>
          <w:color w:val="1a1a1a"/>
          <w:sz w:val="20"/>
          <w:szCs w:val="20"/>
        </w:rPr>
        <w:t xml:space="preserve">The EDUCAUSE frameworks are the only sources that explicitly address pedagogy and academic integrity as governance dimensions. Enterprise and federal frameworks do not cover these risks. Research from EDTech Magazine and EDUCAUSE (2026) found that only 9% of higher education institutions believe their existing cybersecurity and privacy policies are adequate for AI risks. This framework is a direct response to that gap.</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Novel Contributions</w:t>
      </w:r>
    </w:p>
    <w:p>
      <w:pPr>
        <w:spacing w:before="60" w:after="60"/>
      </w:pPr>
      <w:r>
        <w:rPr>
          <w:rFonts w:ascii="Arial" w:cs="Arial" w:eastAsia="Arial" w:hAnsi="Arial"/>
          <w:color w:val="1a1a1a"/>
          <w:sz w:val="20"/>
          <w:szCs w:val="20"/>
        </w:rPr>
        <w:t xml:space="preserve">This framework introduces three governance concepts not found in existing published governance guidance. Each is described below with its conceptual basis and concrete implementation.</w:t>
      </w:r>
    </w:p>
    <w:p>
      <w:pPr>
        <w:spacing w:before="120" w:after="0"/>
      </w:pPr>
      <w:r>
        <w:t xml:space="preserve"/>
      </w:r>
    </w:p>
    <w:p>
      <w:pPr>
        <w:spacing w:before="40" w:after="16"/>
      </w:pPr>
      <w:r>
        <w:rPr>
          <w:rFonts w:ascii="Arial" w:cs="Arial" w:eastAsia="Arial" w:hAnsi="Arial"/>
          <w:b/>
          <w:bCs/>
          <w:color w:val="1a1a1a"/>
          <w:sz w:val="18"/>
          <w:szCs w:val="18"/>
        </w:rPr>
        <w:t xml:space="preserve">1. Builder Comprehension as a Scored Dimension — Not an Override Condition</w:t>
      </w:r>
    </w:p>
    <w:p>
      <w:pPr>
        <w:spacing w:before="20" w:after="0"/>
      </w:pPr>
      <w:r>
        <w:t xml:space="preserve"/>
      </w:r>
    </w:p>
    <w:p>
      <w:pPr>
        <w:spacing w:before="60" w:after="60"/>
      </w:pPr>
      <w:r>
        <w:rPr>
          <w:rFonts w:ascii="Arial" w:cs="Arial" w:eastAsia="Arial" w:hAnsi="Arial"/>
          <w:color w:val="1a1a1a"/>
          <w:sz w:val="20"/>
          <w:szCs w:val="20"/>
        </w:rPr>
        <w:t xml:space="preserve">Existing frameworks treat code as code, regardless of how it was produced. This framework recognizes that a tool built primarily by an AI coding assistant carries a qualitatively different risk profile depending on whether the builder can explain what it does. Prior versions of this framework tried to capture this in two places: as a scoring dimension and as an escalation condition. That created redundancy and confusion.</w:t>
      </w:r>
    </w:p>
    <w:p>
      <w:pPr>
        <w:spacing w:before="40" w:after="0"/>
      </w:pPr>
      <w:r>
        <w:t xml:space="preserve"/>
      </w:r>
    </w:p>
    <w:p>
      <w:pPr>
        <w:spacing w:before="60" w:after="60"/>
      </w:pPr>
      <w:r>
        <w:rPr>
          <w:rFonts w:ascii="Arial" w:cs="Arial" w:eastAsia="Arial" w:hAnsi="Arial"/>
          <w:color w:val="1a1a1a"/>
          <w:sz w:val="20"/>
          <w:szCs w:val="20"/>
        </w:rPr>
        <w:t xml:space="preserve">The resolved approach: builder comprehension is a single scored dimension in the rubric (0 to 3), and the escalation condition for unexplainable AI-generated code has been removed from the override list. The dimension is titled 'Builder Comprehension of AI-Generated Code' and measures both the proportion of AI-generated code and whether the builder can explain it to a non-technical reviewer. A builder who used AI extensively but understands every line scores differently than one who cannot explain their own codebase.</w:t>
      </w:r>
    </w:p>
    <w:p>
      <w:pPr>
        <w:spacing w:before="40" w:after="0"/>
      </w:pPr>
      <w:r>
        <w:t xml:space="preserve"/>
      </w:r>
    </w:p>
    <w:p>
      <w:pPr>
        <w:spacing w:before="60" w:after="60"/>
      </w:pPr>
      <w:r>
        <w:rPr>
          <w:rFonts w:ascii="Arial" w:cs="Arial" w:eastAsia="Arial" w:hAnsi="Arial"/>
          <w:color w:val="1a1a1a"/>
          <w:sz w:val="20"/>
          <w:szCs w:val="20"/>
        </w:rPr>
        <w:t xml:space="preserve">In practice, the review process includes a plain-language explanation requirement at the Pilot tier and above: the builder must walk a reviewer through what the tool does, what data it touches, and what happens when it fails. This requirement is built into the Pilot Self-Assessment checklist.</w:t>
      </w:r>
    </w:p>
    <w:p>
      <w:pPr>
        <w:spacing w:before="120" w:after="0"/>
      </w:pPr>
      <w:r>
        <w:t xml:space="preserve"/>
      </w:r>
    </w:p>
    <w:p>
      <w:pPr>
        <w:spacing w:before="40" w:after="16"/>
      </w:pPr>
      <w:r>
        <w:rPr>
          <w:rFonts w:ascii="Arial" w:cs="Arial" w:eastAsia="Arial" w:hAnsi="Arial"/>
          <w:b/>
          <w:bCs/>
          <w:color w:val="1a1a1a"/>
          <w:sz w:val="18"/>
          <w:szCs w:val="18"/>
        </w:rPr>
        <w:t xml:space="preserve">2. Documentation as a Continuous Pipeline Output — Not a Manual Deliverable</w:t>
      </w:r>
    </w:p>
    <w:p>
      <w:pPr>
        <w:spacing w:before="20" w:after="0"/>
      </w:pPr>
      <w:r>
        <w:t xml:space="preserve"/>
      </w:r>
    </w:p>
    <w:p>
      <w:pPr>
        <w:spacing w:before="60" w:after="60"/>
      </w:pPr>
      <w:r>
        <w:rPr>
          <w:rFonts w:ascii="Arial" w:cs="Arial" w:eastAsia="Arial" w:hAnsi="Arial"/>
          <w:color w:val="1a1a1a"/>
          <w:sz w:val="20"/>
          <w:szCs w:val="20"/>
        </w:rPr>
        <w:t xml:space="preserve">The governance contribution is a principle: documentation must be a mandatory, continuous output of the review process itself — generated as the review runs, not assembled afterward by the builder and submitted on request. This principle is independent of any particular technology.</w:t>
      </w:r>
    </w:p>
    <w:p>
      <w:pPr>
        <w:spacing w:before="40" w:after="0"/>
      </w:pPr>
      <w:r>
        <w:t xml:space="preserve"/>
      </w:r>
    </w:p>
    <w:p>
      <w:pPr>
        <w:spacing w:before="60" w:after="60"/>
      </w:pPr>
      <w:r>
        <w:rPr>
          <w:rFonts w:ascii="Arial" w:cs="Arial" w:eastAsia="Arial" w:hAnsi="Arial"/>
          <w:color w:val="1a1a1a"/>
          <w:sz w:val="20"/>
          <w:szCs w:val="20"/>
        </w:rPr>
        <w:t xml:space="preserve">Why this matters: documentation produced manually, after the fact, and on request will be incomplete, out of date, and frequently absent. Treating documentation as a deliverable the builder is responsible for producing creates the conditions for its failure. Treating it as a required output of the review pipeline — produced automatically, with no action required from the builder — eliminates that failure mode.</w:t>
      </w:r>
    </w:p>
    <w:p>
      <w:pPr>
        <w:spacing w:before="40" w:after="0"/>
      </w:pPr>
      <w:r>
        <w:t xml:space="preserve"/>
      </w:r>
    </w:p>
    <w:p>
      <w:pPr>
        <w:spacing w:before="60" w:after="60"/>
      </w:pPr>
      <w:r>
        <w:rPr>
          <w:rFonts w:ascii="Arial" w:cs="Arial" w:eastAsia="Arial" w:hAnsi="Arial"/>
          <w:color w:val="1a1a1a"/>
          <w:sz w:val="20"/>
          <w:szCs w:val="20"/>
        </w:rPr>
        <w:t xml:space="preserve">An institution can implement this principle with whatever tooling it has. The minimum standard is that the review process does not conclude and approval is not granted until an admin guide and a user guide exist. Whether those documents are generated by an automated agent or completed manually by a reviewer is a function of institutional infrastructure, not a requirement of the principle.</w:t>
      </w:r>
    </w:p>
    <w:p>
      <w:pPr>
        <w:spacing w:before="40" w:after="0"/>
      </w:pPr>
      <w:r>
        <w:t xml:space="preserve"/>
      </w:r>
    </w:p>
    <w:p>
      <w:pPr>
        <w:spacing w:before="40" w:after="16"/>
      </w:pPr>
      <w:r>
        <w:rPr>
          <w:rFonts w:ascii="Arial" w:cs="Arial" w:eastAsia="Arial" w:hAnsi="Arial"/>
          <w:b/>
          <w:bCs/>
          <w:color w:val="1a1a1a"/>
          <w:sz w:val="18"/>
          <w:szCs w:val="18"/>
        </w:rPr>
        <w:t xml:space="preserve">Implementation Example: MCP-Connected Documentation Pipeline</w:t>
      </w:r>
    </w:p>
    <w:p>
      <w:pPr>
        <w:spacing w:before="20" w:after="0"/>
      </w:pPr>
      <w:r>
        <w:t xml:space="preserve"/>
      </w:r>
    </w:p>
    <w:p>
      <w:pPr>
        <w:spacing w:before="60" w:after="60"/>
      </w:pPr>
      <w:r>
        <w:rPr>
          <w:rFonts w:ascii="Arial" w:cs="Arial" w:eastAsia="Arial" w:hAnsi="Arial"/>
          <w:color w:val="1a1a1a"/>
          <w:sz w:val="20"/>
          <w:szCs w:val="20"/>
        </w:rPr>
        <w:t xml:space="preserve">The institution that developed this framework implements the documentation principle through Model Context Protocol (MCP) connections. A Documentation Agent connects to the institution's code repository, project tracker, and documentation platform and generates an admin guide, a user guide, and a findings log in real time as the other review agents run their checks. Specific platforms are configurable: BitBucket or GitHub for code, Jira or equivalent for project tracking, Notion or Confluence for documentation. Institutions with different infrastructure can connect different platforms using the same MCP pattern, or implement the principle through a manual documentation requirement in their Pilot Self-Assessment checklist.</w:t>
      </w:r>
    </w:p>
    <w:p>
      <w:pPr>
        <w:spacing w:before="120" w:after="0"/>
      </w:pPr>
      <w:r>
        <w:t xml:space="preserve"/>
      </w:r>
    </w:p>
    <w:p>
      <w:pPr>
        <w:spacing w:before="40" w:after="16"/>
      </w:pPr>
      <w:r>
        <w:rPr>
          <w:rFonts w:ascii="Arial" w:cs="Arial" w:eastAsia="Arial" w:hAnsi="Arial"/>
          <w:b/>
          <w:bCs/>
          <w:color w:val="1a1a1a"/>
          <w:sz w:val="18"/>
          <w:szCs w:val="18"/>
        </w:rPr>
        <w:t xml:space="preserve">3. Version-Specific Approval Enforced Through a Tool Registry</w:t>
      </w:r>
    </w:p>
    <w:p>
      <w:pPr>
        <w:spacing w:before="20" w:after="0"/>
      </w:pPr>
      <w:r>
        <w:t xml:space="preserve"/>
      </w:r>
    </w:p>
    <w:p>
      <w:pPr>
        <w:spacing w:before="60" w:after="60"/>
      </w:pPr>
      <w:r>
        <w:rPr>
          <w:rFonts w:ascii="Arial" w:cs="Arial" w:eastAsia="Arial" w:hAnsi="Arial"/>
          <w:color w:val="1a1a1a"/>
          <w:sz w:val="20"/>
          <w:szCs w:val="20"/>
        </w:rPr>
        <w:t xml:space="preserve">Most governance frameworks issue approvals that persist until someone remembers to revisit them. This framework ties every approval to a specific version of the tool and enforces that tie through a tool registry.</w:t>
      </w:r>
    </w:p>
    <w:p>
      <w:pPr>
        <w:spacing w:before="40" w:after="0"/>
      </w:pPr>
      <w:r>
        <w:t xml:space="preserve"/>
      </w:r>
    </w:p>
    <w:p>
      <w:pPr>
        <w:spacing w:before="60" w:after="60"/>
      </w:pPr>
      <w:r>
        <w:rPr>
          <w:rFonts w:ascii="Arial" w:cs="Arial" w:eastAsia="Arial" w:hAnsi="Arial"/>
          <w:color w:val="1a1a1a"/>
          <w:sz w:val="20"/>
          <w:szCs w:val="20"/>
        </w:rPr>
        <w:t xml:space="preserve">Any material change — new data sources, new user populations, a new or updated AI model, new integrations, or a new authentication method — automatically voids the existing approval and routes the tool back through the pipeline from Phase 1. This is not aspirational language. It is enforced by the tool registry, which links each production tool to its approved version, its designated owner, and its last review date.</w:t>
      </w:r>
    </w:p>
    <w:p>
      <w:pPr>
        <w:spacing w:before="40" w:after="0"/>
      </w:pPr>
      <w:r>
        <w:t xml:space="preserve"/>
      </w:r>
    </w:p>
    <w:p>
      <w:pPr>
        <w:spacing w:before="60" w:after="60"/>
      </w:pPr>
      <w:r>
        <w:rPr>
          <w:rFonts w:ascii="Arial" w:cs="Arial" w:eastAsia="Arial" w:hAnsi="Arial"/>
          <w:color w:val="1a1a1a"/>
          <w:sz w:val="20"/>
          <w:szCs w:val="20"/>
        </w:rPr>
        <w:t xml:space="preserve">The tool registry is not optional. Without it, version-specific approval is a policy statement rather than a mechanism. Institutions adopting this framework should define the registry fields and maintenance responsibility as part of their v1.0 implementation work. The framework identifies this as an in-progress requirement, not a completed one.</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Guiding Ethical Principles</w:t>
      </w:r>
    </w:p>
    <w:p>
      <w:pPr>
        <w:spacing w:before="60" w:after="60"/>
      </w:pPr>
      <w:r>
        <w:rPr>
          <w:rFonts w:ascii="Arial" w:cs="Arial" w:eastAsia="Arial" w:hAnsi="Arial"/>
          <w:color w:val="1a1a1a"/>
          <w:sz w:val="20"/>
          <w:szCs w:val="20"/>
        </w:rPr>
        <w:t xml:space="preserve">This framework adopts the EDUCAUSE AI Ethical Guidelines (2025) as its normative foundation. The four principles below are not abstract guidance — each is mapped to specific scoring dimensions, review checkpoints, and escalation conditions within the framework.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Principle</w:t>
            </w:r>
          </w:p>
        </w:tc>
        <w:tc>
          <w:tcPr>
            <w:tcW w:type="dxa" w:w="24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What It Means</w:t>
            </w:r>
          </w:p>
        </w:tc>
        <w:tc>
          <w:tcPr>
            <w:tcW w:type="dxa" w:w="268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Review Question</w:t>
            </w:r>
          </w:p>
        </w:tc>
        <w:tc>
          <w:tcPr>
            <w:tcW w:type="dxa" w:w="268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Where It Applies in This Framework</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1a1a1a"/>
                <w:sz w:val="16"/>
                <w:szCs w:val="16"/>
              </w:rPr>
              <w:t xml:space="preserve">Beneficence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The tool must produce genuine benefit for students, staff, or the institution — not just convenience for the builder.</w:t>
            </w:r>
          </w:p>
        </w:tc>
        <w:tc>
          <w:tcPr>
            <w:tcW w:type="dxa" w:w="268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Who benefits from this tool, and is that benefit real and equitable?</w:t>
            </w:r>
          </w:p>
        </w:tc>
        <w:tc>
          <w:tcPr>
            <w:tcW w:type="dxa" w:w="268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Pilot Self-Assessment: intended beneficiaries and measurable outcomes; Deploy review: equity check. Note: Blast Radius measures reach, not benefit — Beneficence is operationalized in the Self-Assessment, not the scoring rubric.</w:t>
            </w:r>
          </w:p>
        </w:tc>
      </w:tr>
      <w:tr>
        <w:tc>
          <w:tcPr>
            <w:tcW w:type="dxa" w:w="160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bCs/>
                <w:color w:val="1a1a1a"/>
                <w:sz w:val="16"/>
                <w:szCs w:val="16"/>
              </w:rPr>
              <w:t xml:space="preserve">Respect for Autonomy</w:t>
            </w:r>
          </w:p>
        </w:tc>
        <w:tc>
          <w:tcPr>
            <w:tcW w:type="dxa" w:w="240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People affected by the tool must know it exists, understand what it does, and retain meaningful agency over decisions it influences.</w:t>
            </w:r>
          </w:p>
        </w:tc>
        <w:tc>
          <w:tcPr>
            <w:tcW w:type="dxa" w:w="268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Do affected people know this tool exists and what it does to or for them?</w:t>
            </w:r>
          </w:p>
        </w:tc>
        <w:tc>
          <w:tcPr>
            <w:tcW w:type="dxa" w:w="268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Pedagogy escalation conditions (student awareness); Deploy review includes user disclosure assessment; Post-production monitoring requires user-facing documentation</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1a1a1a"/>
                <w:sz w:val="16"/>
                <w:szCs w:val="16"/>
              </w:rPr>
              <w:t xml:space="preserve">Transparency and Explainability</w:t>
            </w:r>
          </w:p>
        </w:tc>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The tool's logic, data sources, and outputs must be explainable to a non-technical reviewer. Black-box systems are not acceptable in production.</w:t>
            </w:r>
          </w:p>
        </w:tc>
        <w:tc>
          <w:tcPr>
            <w:tcW w:type="dxa" w:w="268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Can someone other than the builder explain how this tool reaches its outputs?</w:t>
            </w:r>
          </w:p>
        </w:tc>
        <w:tc>
          <w:tcPr>
            <w:tcW w:type="dxa" w:w="268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Builder Comprehension of AI-Generated Code scoring dimension (0-3); plain-language explanation requirement built into Pilot Self-Assessment; a score of 3 on this dimension routes to ESCALATE via the scoring total — no separate escalation condition</w:t>
            </w:r>
          </w:p>
        </w:tc>
      </w:tr>
      <w:tr>
        <w:tc>
          <w:tcPr>
            <w:tcW w:type="dxa" w:w="160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bCs/>
                <w:color w:val="1a1a1a"/>
                <w:sz w:val="16"/>
                <w:szCs w:val="16"/>
              </w:rPr>
              <w:t xml:space="preserve">Accountability and Responsibility</w:t>
            </w:r>
          </w:p>
        </w:tc>
        <w:tc>
          <w:tcPr>
            <w:tcW w:type="dxa" w:w="240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A named individual or team must be explicitly responsible for the tool's behavior, impacts, and ongoing maintenance. Accountability cannot be delegated to the AI.</w:t>
            </w:r>
          </w:p>
        </w:tc>
        <w:tc>
          <w:tcPr>
            <w:tcW w:type="dxa" w:w="268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If this tool causes harm, who is responsible and how would we know?</w:t>
            </w:r>
          </w:p>
        </w:tc>
        <w:tc>
          <w:tcPr>
            <w:tcW w:type="dxa" w:w="2680"/>
            <w:tcBorders>
              <w:top w:val="single" w:color="DDDDDD" w:sz="2"/>
              <w:left w:val="single" w:color="DDDDDD" w:sz="2"/>
              <w:bottom w:val="single" w:color="DDDDDD" w:sz="2"/>
              <w:right w:val="single" w:color="DDDDDD"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Ownership transfer requirement (all tiers); version-specific sign-off; tool registry with designated owner; 30-day grace period on ownership lapse before suspension</w:t>
            </w:r>
          </w:p>
        </w:tc>
      </w:tr>
    </w:tbl>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Existing Tools and the Onboarding Path</w:t>
      </w:r>
    </w:p>
    <w:p>
      <w:pPr>
        <w:spacing w:before="60" w:after="60"/>
      </w:pPr>
      <w:r>
        <w:rPr>
          <w:rFonts w:ascii="Arial" w:cs="Arial" w:eastAsia="Arial" w:hAnsi="Arial"/>
          <w:color w:val="1a1a1a"/>
          <w:sz w:val="20"/>
          <w:szCs w:val="20"/>
        </w:rPr>
        <w:t xml:space="preserve">This framework acknowledges a practical reality: tools are already in production at most institutions without having gone through any formal review. Applying this framework to new tools while ignoring existing ones would produce compliance on paper and continued risk in practice.</w:t>
      </w:r>
    </w:p>
    <w:p>
      <w:pPr>
        <w:spacing w:before="80" w:after="0"/>
      </w:pPr>
      <w:r>
        <w:t xml:space="preserve"/>
      </w:r>
    </w:p>
    <w:p>
      <w:pPr>
        <w:spacing w:before="60" w:after="60"/>
      </w:pPr>
      <w:r>
        <w:rPr>
          <w:rFonts w:ascii="Arial" w:cs="Arial" w:eastAsia="Arial" w:hAnsi="Arial"/>
          <w:color w:val="1a1a1a"/>
          <w:sz w:val="20"/>
          <w:szCs w:val="20"/>
        </w:rPr>
        <w:t xml:space="preserve">Institutions adopting this framework should establish a defined onboarding window — recommended 90 days from the date of policy publication — during which owners of existing tools self-register and complete a retrospective triage using the same scoring rubric. The following applies during and after that window:</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Any existing tool that scores EXPLORE requires only registration. No further action.</w:t>
      </w:r>
    </w:p>
    <w:p>
      <w:pPr>
        <w:pStyle w:val="ListParagraph"/>
        <w:numPr>
          <w:ilvl w:val="0"/>
          <w:numId w:val="2"/>
        </w:numPr>
        <w:spacing w:before="40" w:after="40"/>
      </w:pPr>
      <w:r>
        <w:rPr>
          <w:rFonts w:ascii="Arial" w:cs="Arial" w:eastAsia="Arial" w:hAnsi="Arial"/>
          <w:b w:val="false"/>
          <w:bCs w:val="false"/>
          <w:color w:val="1a1a1a"/>
          <w:sz w:val="20"/>
          <w:szCs w:val="20"/>
        </w:rPr>
        <w:t xml:space="preserve">Any existing tool that scores PILOT must complete the Pilot Self-Assessment within 90 days of the policy effective date or be suspended from production use.</w:t>
      </w:r>
    </w:p>
    <w:p>
      <w:pPr>
        <w:pStyle w:val="ListParagraph"/>
        <w:numPr>
          <w:ilvl w:val="0"/>
          <w:numId w:val="2"/>
        </w:numPr>
        <w:spacing w:before="40" w:after="40"/>
      </w:pPr>
      <w:r>
        <w:rPr>
          <w:rFonts w:ascii="Arial" w:cs="Arial" w:eastAsia="Arial" w:hAnsi="Arial"/>
          <w:b w:val="false"/>
          <w:bCs w:val="false"/>
          <w:color w:val="1a1a1a"/>
          <w:sz w:val="20"/>
          <w:szCs w:val="20"/>
        </w:rPr>
        <w:t xml:space="preserve">Any existing tool that scores DEPLOY or ESCALATE must be reported to IT immediately. A remediation timeline will be agreed between the tool owner and IT. Tools may remain in limited production use during remediation at IT's discretion, with documented acknowledgment of risk.</w:t>
      </w:r>
    </w:p>
    <w:p>
      <w:pPr>
        <w:pStyle w:val="ListParagraph"/>
        <w:numPr>
          <w:ilvl w:val="0"/>
          <w:numId w:val="2"/>
        </w:numPr>
        <w:spacing w:before="40" w:after="40"/>
      </w:pPr>
      <w:r>
        <w:rPr>
          <w:rFonts w:ascii="Arial" w:cs="Arial" w:eastAsia="Arial" w:hAnsi="Arial"/>
          <w:b w:val="false"/>
          <w:bCs w:val="false"/>
          <w:color w:val="1a1a1a"/>
          <w:sz w:val="20"/>
          <w:szCs w:val="20"/>
        </w:rPr>
        <w:t xml:space="preserve">Tools with no identifiable owner are flagged for IT review. If no owner is identified within 30 days of the policy effective date, the tool is suspended.</w:t>
      </w:r>
    </w:p>
    <w:p>
      <w:pPr>
        <w:spacing w:before="80" w:after="0"/>
      </w:pPr>
      <w:r>
        <w:t xml:space="preserve"/>
      </w:r>
    </w:p>
    <w:p>
      <w:pPr>
        <w:spacing w:before="60" w:after="60"/>
      </w:pPr>
      <w:r>
        <w:rPr>
          <w:rFonts w:ascii="Arial" w:cs="Arial" w:eastAsia="Arial" w:hAnsi="Arial"/>
          <w:i/>
          <w:iCs/>
          <w:color w:val="1a1a1a"/>
          <w:sz w:val="20"/>
          <w:szCs w:val="20"/>
        </w:rPr>
        <w:t xml:space="preserve">The onboarding window is an amnesty path, not a permanent exception. Tools that go through retrospective triage are held to the same post-production monitoring requirements as tools that went through prospective review.</w:t>
      </w:r>
    </w:p>
    <w:p>
      <w:pPr>
        <w:spacing w:before="60" w:after="0"/>
      </w:pPr>
      <w:r>
        <w:t xml:space="preserve"/>
      </w:r>
    </w:p>
    <w:p>
      <w:pPr>
        <w:spacing w:before="60" w:after="60"/>
      </w:pPr>
      <w:r>
        <w:rPr>
          <w:rFonts w:ascii="Arial" w:cs="Arial" w:eastAsia="Arial" w:hAnsi="Arial"/>
          <w:i/>
          <w:iCs/>
          <w:color w:val="1a1a1a"/>
          <w:sz w:val="20"/>
          <w:szCs w:val="20"/>
        </w:rPr>
        <w:t xml:space="preserve">Tools discovered after the 90-day window closes are subject to the standard framework immediately and without grace period. Any such tool must be suspended from production until it completes the appropriate tier review. The window is not extended for late discovery, regardless of the reason for late discovery.</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The Four Routing Dimensions</w:t>
      </w:r>
    </w:p>
    <w:p>
      <w:pPr>
        <w:spacing w:before="60" w:after="60"/>
      </w:pPr>
      <w:r>
        <w:rPr>
          <w:rFonts w:ascii="Arial" w:cs="Arial" w:eastAsia="Arial" w:hAnsi="Arial"/>
          <w:color w:val="1a1a1a"/>
          <w:sz w:val="20"/>
          <w:szCs w:val="20"/>
        </w:rPr>
        <w:t xml:space="preserve">Every tool is assessed across four dimensions. Each dimension is scored 0 to 3. The maximum possible score is 12. The total score determines the routing tier.</w:t>
      </w:r>
    </w:p>
    <w:p>
      <w:pPr>
        <w:spacing w:before="60" w:after="0"/>
      </w:pPr>
      <w:r>
        <w:t xml:space="preserve"/>
      </w:r>
    </w:p>
    <w:p>
      <w:pPr>
        <w:spacing w:before="60" w:after="60"/>
      </w:pPr>
      <w:r>
        <w:rPr>
          <w:rFonts w:ascii="Arial" w:cs="Arial" w:eastAsia="Arial" w:hAnsi="Arial"/>
          <w:color w:val="1a1a1a"/>
          <w:sz w:val="20"/>
          <w:szCs w:val="20"/>
        </w:rPr>
        <w:t xml:space="preserve">Note on scoring: the fifth dimension that appeared in earlier drafts (Authentication / Access) has been removed. It created score inflation that pushed all-medium-risk tools into ESCALATE. Authentication is now an escalation condition — a binary gate, not a scored dimension.</w:t>
      </w:r>
    </w:p>
    <w:p>
      <w:pPr>
        <w:spacing w:before="40" w:after="0"/>
      </w:pPr>
      <w:r>
        <w:t xml:space="preserve"/>
      </w:r>
    </w:p>
    <w:p>
      <w:pPr>
        <w:spacing w:before="60" w:after="60"/>
      </w:pPr>
      <w:r>
        <w:rPr>
          <w:rFonts w:ascii="Arial" w:cs="Arial" w:eastAsia="Arial" w:hAnsi="Arial"/>
          <w:color w:val="1a1a1a"/>
          <w:sz w:val="20"/>
          <w:szCs w:val="20"/>
        </w:rPr>
        <w:t xml:space="preserve">The current tier bands reflect a deliberate judgment that broadly high-risk tools warrant full review. A tool scoring High (2) across all four dimensions lands at the ceiling of DEPLOY; a single Critical (3) score tips it to ESCALATE. These thresholds will be validated against real tools before v1.0 and adjusted if stress-testing reveals they do not route correctly.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65"/>
        <w:gridCol w:w="1865"/>
        <w:gridCol w:w="1865"/>
        <w:gridCol w:w="1865"/>
      </w:tblGrid>
      <w:tr>
        <w:trPr>
          <w:tblHeader/>
        </w:trPr>
        <w:tc>
          <w:tcPr>
            <w:tcW w:type="dxa" w:w="17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Dimension</w:t>
            </w:r>
          </w:p>
        </w:tc>
        <w:tc>
          <w:tcPr>
            <w:tcW w:type="dxa" w:w="1865"/>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 (0)</w:t>
            </w:r>
          </w:p>
        </w:tc>
        <w:tc>
          <w:tcPr>
            <w:tcW w:type="dxa" w:w="1865"/>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 (1)</w:t>
            </w:r>
          </w:p>
        </w:tc>
        <w:tc>
          <w:tcPr>
            <w:tcW w:type="dxa" w:w="1865"/>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 (2)</w:t>
            </w:r>
          </w:p>
        </w:tc>
        <w:tc>
          <w:tcPr>
            <w:tcW w:type="dxa" w:w="1865"/>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 (3)</w:t>
            </w:r>
          </w:p>
        </w:tc>
      </w:tr>
      <w:tr>
        <w:tc>
          <w:tcPr>
            <w:tcW w:type="dxa" w:w="1700"/>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bCs/>
                <w:color w:val="1a1a1a"/>
                <w:sz w:val="16"/>
                <w:szCs w:val="16"/>
              </w:rPr>
              <w:t xml:space="preserve">Data Sensitivity</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No data or public information only</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Internal non-sensitive (directories, schedules, public-facing content)</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PII, FERPA-covered student records, HR data</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HIPAA, IRB human subjects, export-controlled, or core financial system data</w:t>
            </w:r>
          </w:p>
        </w:tc>
      </w:tr>
      <w:tr>
        <w:tc>
          <w:tcPr>
            <w:tcW w:type="dxa" w:w="1700"/>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bCs/>
                <w:color w:val="1a1a1a"/>
                <w:sz w:val="16"/>
                <w:szCs w:val="16"/>
              </w:rPr>
              <w:t xml:space="preserve">Blast Radius</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Builder only</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Single team or department (fewer than 10 people)</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Students, public, or multiple departments (10 to 500 people)</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Institution-wide or touches core enterprise systems</w:t>
            </w:r>
          </w:p>
        </w:tc>
      </w:tr>
      <w:tr>
        <w:tc>
          <w:tcPr>
            <w:tcW w:type="dxa" w:w="1700"/>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bCs/>
                <w:color w:val="1a1a1a"/>
                <w:sz w:val="16"/>
                <w:szCs w:val="16"/>
              </w:rPr>
              <w:t xml:space="preserve">Autonomy</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Fully manual — no automated actions</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Automates tasks for the builder only</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Automates tasks that affect other people</w:t>
            </w:r>
          </w:p>
        </w:tc>
        <w:tc>
          <w:tcPr>
            <w:tcW w:type="dxa" w:w="1865"/>
            <w:tcBorders>
              <w:top w:val="single" w:color="DDDDDD" w:sz="2"/>
              <w:left w:val="single" w:color="DDDDDD" w:sz="2"/>
              <w:bottom w:val="single" w:color="DDDDDD" w:sz="2"/>
              <w:right w:val="single" w:color="DDDDDD" w:sz="2"/>
            </w:tcBorders>
            <w:shd w:fill="FFFFFF" w:val="clear"/>
            <w:tcMar>
              <w:top w:type="dxa" w:w="70"/>
              <w:left w:type="dxa" w:w="100"/>
              <w:bottom w:type="dxa" w:w="70"/>
              <w:right w:type="dxa" w:w="100"/>
            </w:tcMar>
          </w:tcPr>
          <w:p>
            <w:r>
              <w:rPr>
                <w:rFonts w:ascii="Arial" w:cs="Arial" w:eastAsia="Arial" w:hAnsi="Arial"/>
                <w:b w:val="false"/>
                <w:bCs w:val="false"/>
                <w:color w:val="1a1a1a"/>
                <w:sz w:val="16"/>
                <w:szCs w:val="16"/>
              </w:rPr>
              <w:t xml:space="preserve">Makes autonomous decisions affecting people without human review at the point of decision</w:t>
            </w:r>
          </w:p>
        </w:tc>
      </w:tr>
      <w:tr>
        <w:tc>
          <w:tcPr>
            <w:tcW w:type="dxa" w:w="1700"/>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bCs/>
                <w:color w:val="1a1a1a"/>
                <w:sz w:val="16"/>
                <w:szCs w:val="16"/>
              </w:rPr>
              <w:t xml:space="preserve">Builder Comprehension of AI-Generated Code</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No AI used; builder wrote all code</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AI assisted with portions; builder understands the full codebase</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AI generated most of the code; builder can explain it to a non-technical reviewer</w:t>
            </w:r>
          </w:p>
        </w:tc>
        <w:tc>
          <w:tcPr>
            <w:tcW w:type="dxa" w:w="1865"/>
            <w:tcBorders>
              <w:top w:val="single" w:color="DDDDDD" w:sz="2"/>
              <w:left w:val="single" w:color="DDDDDD" w:sz="2"/>
              <w:bottom w:val="single" w:color="DDDDDD" w:sz="2"/>
              <w:right w:val="single" w:color="DDDDDD" w:sz="2"/>
            </w:tcBorders>
            <w:shd w:fill="F5F5F5" w:val="clear"/>
            <w:tcMar>
              <w:top w:type="dxa" w:w="70"/>
              <w:left w:type="dxa" w:w="100"/>
              <w:bottom w:type="dxa" w:w="70"/>
              <w:right w:type="dxa" w:w="100"/>
            </w:tcMar>
          </w:tcPr>
          <w:p>
            <w:r>
              <w:rPr>
                <w:rFonts w:ascii="Arial" w:cs="Arial" w:eastAsia="Arial" w:hAnsi="Arial"/>
                <w:b w:val="false"/>
                <w:bCs w:val="false"/>
                <w:color w:val="1a1a1a"/>
                <w:sz w:val="16"/>
                <w:szCs w:val="16"/>
              </w:rPr>
              <w:t xml:space="preserve">AI generated most of the code; builder cannot fully explain what it does or how it fails</w:t>
            </w:r>
          </w:p>
        </w:tc>
      </w:tr>
    </w:tbl>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Escalation Conditions</w:t>
      </w:r>
    </w:p>
    <w:p>
      <w:pPr>
        <w:spacing w:before="60" w:after="60"/>
      </w:pPr>
      <w:r>
        <w:rPr>
          <w:rFonts w:ascii="Arial" w:cs="Arial" w:eastAsia="Arial" w:hAnsi="Arial"/>
          <w:color w:val="1a1a1a"/>
          <w:sz w:val="20"/>
          <w:szCs w:val="20"/>
        </w:rPr>
        <w:t xml:space="preserve">Regardless of score, the following conditions automatically route a tool to ESCALATE. These conditions are designed to catch risks that the scoring rubric does not fully capture — specifically, situations where the combination of factors or the nature of the integration creates categorical risk rather than incremental risk.</w:t>
      </w:r>
    </w:p>
    <w:p>
      <w:pPr>
        <w:spacing w:before="60" w:after="0"/>
      </w:pPr>
      <w:r>
        <w:t xml:space="preserve"/>
      </w:r>
    </w:p>
    <w:p>
      <w:pPr>
        <w:spacing w:before="60" w:after="60"/>
      </w:pPr>
      <w:r>
        <w:rPr>
          <w:rFonts w:ascii="Arial" w:cs="Arial" w:eastAsia="Arial" w:hAnsi="Arial"/>
          <w:color w:val="1a1a1a"/>
          <w:sz w:val="20"/>
          <w:szCs w:val="20"/>
        </w:rPr>
        <w:t xml:space="preserve">The IT escalation conditions below have been pruned to exclude situations already caught by a high score on the rubric. Only conditions that represent genuinely distinct risks appear here.</w:t>
      </w:r>
    </w:p>
    <w:p>
      <w:pPr>
        <w:spacing w:before="80" w:after="0"/>
      </w:pPr>
      <w:r>
        <w:t xml:space="preserve"/>
      </w:r>
    </w:p>
    <w:p>
      <w:pPr>
        <w:spacing w:before="40" w:after="16"/>
      </w:pPr>
      <w:r>
        <w:rPr>
          <w:rFonts w:ascii="Arial" w:cs="Arial" w:eastAsia="Arial" w:hAnsi="Arial"/>
          <w:b/>
          <w:bCs/>
          <w:color w:val="1a1a1a"/>
          <w:sz w:val="18"/>
          <w:szCs w:val="18"/>
        </w:rPr>
        <w:t xml:space="preserve">Institutional IT Escalation Conditions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Stores institutional data in a non-institutional cloud service (personal AWS, Google Drive, Dropbox, or any platform not covered by an institutional agreement) without a reviewed and approved data processing agreement. A tool can score as low as 3 or 4 on the rubric and still create significant data exposure through this route.</w:t>
      </w:r>
    </w:p>
    <w:p>
      <w:pPr>
        <w:pStyle w:val="ListParagraph"/>
        <w:numPr>
          <w:ilvl w:val="0"/>
          <w:numId w:val="2"/>
        </w:numPr>
        <w:spacing w:before="40" w:after="40"/>
      </w:pPr>
      <w:r>
        <w:rPr>
          <w:rFonts w:ascii="Arial" w:cs="Arial" w:eastAsia="Arial" w:hAnsi="Arial"/>
          <w:b w:val="false"/>
          <w:bCs w:val="false"/>
          <w:color w:val="1a1a1a"/>
          <w:sz w:val="20"/>
          <w:szCs w:val="20"/>
        </w:rPr>
        <w:t xml:space="preserve">Handles authentication outside the institution's standard SSO and identity provider — not because authentication is inherently high-risk, but because non-standard authentication creates gaps that the rubric's blast radius and data sensitivity dimensions do not fully surface</w:t>
      </w:r>
    </w:p>
    <w:p>
      <w:pPr>
        <w:pStyle w:val="ListParagraph"/>
        <w:numPr>
          <w:ilvl w:val="0"/>
          <w:numId w:val="2"/>
        </w:numPr>
        <w:spacing w:before="40" w:after="40"/>
      </w:pPr>
      <w:r>
        <w:rPr>
          <w:rFonts w:ascii="Arial" w:cs="Arial" w:eastAsia="Arial" w:hAnsi="Arial"/>
          <w:b w:val="false"/>
          <w:bCs w:val="false"/>
          <w:color w:val="1a1a1a"/>
          <w:sz w:val="20"/>
          <w:szCs w:val="20"/>
        </w:rPr>
        <w:t xml:space="preserve">Involves a vendor or third party accessing institutional data under terms that have not been reviewed and approved by legal or procurement</w:t>
      </w:r>
    </w:p>
    <w:p>
      <w:pPr>
        <w:pStyle w:val="ListParagraph"/>
        <w:numPr>
          <w:ilvl w:val="0"/>
          <w:numId w:val="2"/>
        </w:numPr>
        <w:spacing w:before="40" w:after="40"/>
      </w:pPr>
      <w:r>
        <w:rPr>
          <w:rFonts w:ascii="Arial" w:cs="Arial" w:eastAsia="Arial" w:hAnsi="Arial"/>
          <w:b w:val="false"/>
          <w:bCs w:val="false"/>
          <w:color w:val="1a1a1a"/>
          <w:sz w:val="20"/>
          <w:szCs w:val="20"/>
        </w:rPr>
        <w:t xml:space="preserve">Is deployed in a context where the institution has no visibility into how the AI model itself was trained, updated, or modified — for example, a third-party AI service with no transparency documentation</w:t>
      </w:r>
    </w:p>
    <w:p>
      <w:pPr>
        <w:spacing w:before="80" w:after="0"/>
      </w:pPr>
      <w:r>
        <w:t xml:space="preserve"/>
      </w:r>
    </w:p>
    <w:p>
      <w:pPr>
        <w:spacing w:before="40" w:after="16"/>
      </w:pPr>
      <w:r>
        <w:rPr>
          <w:rFonts w:ascii="Arial" w:cs="Arial" w:eastAsia="Arial" w:hAnsi="Arial"/>
          <w:b/>
          <w:bCs/>
          <w:color w:val="1a1a1a"/>
          <w:sz w:val="18"/>
          <w:szCs w:val="18"/>
        </w:rPr>
        <w:t xml:space="preserve">Pedagogy and Academic Integrity Escalation Conditions (EDUCAUSE)</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Is deployed in a course or academic program without the awareness and documented acknowledgment of the responsible faculty member or department head</w:t>
      </w:r>
    </w:p>
    <w:p>
      <w:pPr>
        <w:pStyle w:val="ListParagraph"/>
        <w:numPr>
          <w:ilvl w:val="0"/>
          <w:numId w:val="2"/>
        </w:numPr>
        <w:spacing w:before="40" w:after="40"/>
      </w:pPr>
      <w:r>
        <w:rPr>
          <w:rFonts w:ascii="Arial" w:cs="Arial" w:eastAsia="Arial" w:hAnsi="Arial"/>
          <w:b w:val="false"/>
          <w:bCs w:val="false"/>
          <w:color w:val="1a1a1a"/>
          <w:sz w:val="20"/>
          <w:szCs w:val="20"/>
        </w:rPr>
        <w:t xml:space="preserve">Is used in a context where students may not know they are interacting with or being evaluated by an AI system</w:t>
      </w:r>
    </w:p>
    <w:p>
      <w:pPr>
        <w:pStyle w:val="ListParagraph"/>
        <w:numPr>
          <w:ilvl w:val="0"/>
          <w:numId w:val="2"/>
        </w:numPr>
        <w:spacing w:before="40" w:after="40"/>
      </w:pPr>
      <w:r>
        <w:rPr>
          <w:rFonts w:ascii="Arial" w:cs="Arial" w:eastAsia="Arial" w:hAnsi="Arial"/>
          <w:b w:val="false"/>
          <w:bCs w:val="false"/>
          <w:color w:val="1a1a1a"/>
          <w:sz w:val="20"/>
          <w:szCs w:val="20"/>
        </w:rPr>
        <w:t xml:space="preserve">Could compromise academic integrity — for example, a tool that completes assignments, generates assessments, or evaluates student work without faculty oversight at the point of decision</w:t>
      </w:r>
    </w:p>
    <w:p>
      <w:pPr>
        <w:pStyle w:val="ListParagraph"/>
        <w:numPr>
          <w:ilvl w:val="0"/>
          <w:numId w:val="2"/>
        </w:numPr>
        <w:spacing w:before="40" w:after="40"/>
      </w:pPr>
      <w:r>
        <w:rPr>
          <w:rFonts w:ascii="Arial" w:cs="Arial" w:eastAsia="Arial" w:hAnsi="Arial"/>
          <w:b w:val="false"/>
          <w:bCs w:val="false"/>
          <w:color w:val="1a1a1a"/>
          <w:sz w:val="20"/>
          <w:szCs w:val="20"/>
        </w:rPr>
        <w:t xml:space="preserve">Involves student behavioral, engagement, or performance data beyond what is authorized under FERPA or the institution's student data governance policy</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Multi-Tool and Agentic Pipeline Composition</w:t>
      </w:r>
    </w:p>
    <w:p>
      <w:pPr>
        <w:spacing w:before="60" w:after="60"/>
      </w:pPr>
      <w:r>
        <w:rPr>
          <w:rFonts w:ascii="Arial" w:cs="Arial" w:eastAsia="Arial" w:hAnsi="Arial"/>
          <w:color w:val="1a1a1a"/>
          <w:sz w:val="20"/>
          <w:szCs w:val="20"/>
        </w:rPr>
        <w:t xml:space="preserve">The scoring rubric assesses individual tools. It does not automatically account for tools that operate as part of a connected pipeline. A department may have three tools that each score in the PILOT tier, but when chained together — sharing data, passing outputs to one another, or coordinating actions — they may collectively access sensitive data, serve a broad user population, and make automated decisions. Assessed individually, each tool passes PILOT review. Assessed as a system, the pipeline may warrant DEPLOY or ESCALATE.</w:t>
      </w:r>
    </w:p>
    <w:p>
      <w:pPr>
        <w:spacing w:before="60" w:after="0"/>
      </w:pPr>
      <w:r>
        <w:t xml:space="preserve"/>
      </w:r>
    </w:p>
    <w:p>
      <w:pPr>
        <w:spacing w:before="60" w:after="60"/>
      </w:pPr>
      <w:r>
        <w:rPr>
          <w:rFonts w:ascii="Arial" w:cs="Arial" w:eastAsia="Arial" w:hAnsi="Arial"/>
          <w:color w:val="1a1a1a"/>
          <w:sz w:val="20"/>
          <w:szCs w:val="20"/>
        </w:rPr>
        <w:t xml:space="preserve">This is the defining risk of agentic AI architectures, where multiple agents coordinate to complete tasks no single agent could complete alone. The WitnessAI, KPMG, and Agentic Trust Frameworks all address multi-agent coordination as a governance challenge distinct from single-agent risk.</w:t>
      </w:r>
    </w:p>
    <w:p>
      <w:pPr>
        <w:spacing w:before="60" w:after="0"/>
      </w:pPr>
      <w:r>
        <w:t xml:space="preserve"/>
      </w:r>
    </w:p>
    <w:p>
      <w:pPr>
        <w:spacing w:before="60" w:after="60"/>
      </w:pPr>
      <w:r>
        <w:rPr>
          <w:rFonts w:ascii="Arial" w:cs="Arial" w:eastAsia="Arial" w:hAnsi="Arial"/>
          <w:color w:val="1a1a1a"/>
          <w:sz w:val="20"/>
          <w:szCs w:val="20"/>
        </w:rPr>
        <w:t xml:space="preserve">For this framework: tools intentionally designed to operate together, share data, or coordinate actions should be assessed as a system at the point of that integration — not only as individual components at the point of each tool's creation. When a builder connects two or more tools into a pipeline, they should re-run the scoring rubric against the pipeline as a whole. If the pipeline score differs from the individual scores, the higher score governs.</w:t>
      </w:r>
    </w:p>
    <w:p>
      <w:pPr>
        <w:spacing w:before="40" w:after="0"/>
      </w:pPr>
      <w:r>
        <w:t xml:space="preserve"/>
      </w:r>
    </w:p>
    <w:p>
      <w:pPr>
        <w:spacing w:before="60" w:after="60"/>
      </w:pPr>
      <w:r>
        <w:rPr>
          <w:rFonts w:ascii="Arial" w:cs="Arial" w:eastAsia="Arial" w:hAnsi="Arial"/>
          <w:color w:val="1a1a1a"/>
          <w:sz w:val="20"/>
          <w:szCs w:val="20"/>
        </w:rPr>
        <w:t xml:space="preserve">Definition: for the purposes of this framework, a pipeline exists when two or more tools share data, pass outputs to one another, or coordinate actions in a way that creates a combined capability not present in any individual tool. This includes shared databases, API integrations, MCP connections, and manual data handoffs that are part of a regular workflow. A builder who believes their tools do not constitute a pipeline should contact IT for a determination before proceeding under individual tool scores.</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Routing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EXPLORE</w:t>
            </w:r>
          </w:p>
        </w:tc>
        <w:tc>
          <w:tcPr>
            <w:tcW w:type="dxa" w:w="75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Use it. Just let us know it exists.</w:t>
            </w:r>
          </w:p>
          <w:p>
            <w:pPr>
              <w:spacing w:before="40" w:after="20"/>
            </w:pPr>
            <w:r>
              <w:rPr>
                <w:rFonts w:ascii="Arial" w:cs="Arial" w:eastAsia="Arial" w:hAnsi="Arial"/>
                <w:b/>
                <w:bCs/>
                <w:color w:val="2E7D32"/>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Score 0 to 2</w:t>
            </w:r>
          </w:p>
          <w:p>
            <w:pPr>
              <w:pStyle w:val="ListParagraph"/>
              <w:numPr>
                <w:ilvl w:val="0"/>
                <w:numId w:val="2"/>
              </w:numPr>
              <w:spacing w:before="20" w:after="20"/>
            </w:pPr>
            <w:r>
              <w:rPr>
                <w:rFonts w:ascii="Arial" w:cs="Arial" w:eastAsia="Arial" w:hAnsi="Arial"/>
                <w:color w:val="1a1a1a"/>
                <w:sz w:val="18"/>
                <w:szCs w:val="18"/>
              </w:rPr>
              <w:t xml:space="preserve">No institutional data involved</w:t>
            </w:r>
          </w:p>
          <w:p>
            <w:pPr>
              <w:pStyle w:val="ListParagraph"/>
              <w:numPr>
                <w:ilvl w:val="0"/>
                <w:numId w:val="2"/>
              </w:numPr>
              <w:spacing w:before="20" w:after="20"/>
            </w:pPr>
            <w:r>
              <w:rPr>
                <w:rFonts w:ascii="Arial" w:cs="Arial" w:eastAsia="Arial" w:hAnsi="Arial"/>
                <w:color w:val="1a1a1a"/>
                <w:sz w:val="18"/>
                <w:szCs w:val="18"/>
              </w:rPr>
              <w:t xml:space="preserve">Used only by the builder or immediate team</w:t>
            </w:r>
          </w:p>
          <w:p>
            <w:pPr>
              <w:pStyle w:val="ListParagraph"/>
              <w:numPr>
                <w:ilvl w:val="0"/>
                <w:numId w:val="2"/>
              </w:numPr>
              <w:spacing w:before="20" w:after="20"/>
            </w:pPr>
            <w:r>
              <w:rPr>
                <w:rFonts w:ascii="Arial" w:cs="Arial" w:eastAsia="Arial" w:hAnsi="Arial"/>
                <w:color w:val="1a1a1a"/>
                <w:sz w:val="18"/>
                <w:szCs w:val="18"/>
              </w:rPr>
              <w:t xml:space="preserve">No integration with institutional systems</w:t>
            </w:r>
          </w:p>
          <w:p>
            <w:pPr>
              <w:spacing w:before="60" w:after="20"/>
            </w:pPr>
            <w:r>
              <w:rPr>
                <w:rFonts w:ascii="Arial" w:cs="Arial" w:eastAsia="Arial" w:hAnsi="Arial"/>
                <w:b/>
                <w:bCs/>
                <w:color w:val="2E7D32"/>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Register the tool in the IT intake form (5 minutes)</w:t>
            </w:r>
          </w:p>
          <w:p>
            <w:pPr>
              <w:pStyle w:val="ListParagraph"/>
              <w:numPr>
                <w:ilvl w:val="0"/>
                <w:numId w:val="3"/>
              </w:numPr>
              <w:spacing w:before="20" w:after="20"/>
            </w:pPr>
            <w:r>
              <w:rPr>
                <w:rFonts w:ascii="Arial" w:cs="Arial" w:eastAsia="Arial" w:hAnsi="Arial"/>
                <w:color w:val="1a1a1a"/>
                <w:sz w:val="18"/>
                <w:szCs w:val="18"/>
              </w:rPr>
              <w:t xml:space="preserve">Record who built it, what it does, and who owns it</w:t>
            </w:r>
          </w:p>
          <w:p>
            <w:pPr>
              <w:pStyle w:val="ListParagraph"/>
              <w:numPr>
                <w:ilvl w:val="0"/>
                <w:numId w:val="3"/>
              </w:numPr>
              <w:spacing w:before="20" w:after="20"/>
            </w:pPr>
            <w:r>
              <w:rPr>
                <w:rFonts w:ascii="Arial" w:cs="Arial" w:eastAsia="Arial" w:hAnsi="Arial"/>
                <w:color w:val="1a1a1a"/>
                <w:sz w:val="18"/>
                <w:szCs w:val="18"/>
              </w:rPr>
              <w:t xml:space="preserve">No further action required unless the tool changes materially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PILOT</w:t>
            </w:r>
          </w:p>
        </w:tc>
        <w:tc>
          <w:tcPr>
            <w:tcW w:type="dxa" w:w="75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Self-service checklist. Fast, async, typically 1 to 2 weeks.</w:t>
            </w:r>
          </w:p>
          <w:p>
            <w:pPr>
              <w:spacing w:before="40" w:after="20"/>
            </w:pPr>
            <w:r>
              <w:rPr>
                <w:rFonts w:ascii="Arial" w:cs="Arial" w:eastAsia="Arial" w:hAnsi="Arial"/>
                <w:b/>
                <w:bCs/>
                <w:color w:val="B8860B"/>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Score 3 to 5</w:t>
            </w:r>
          </w:p>
          <w:p>
            <w:pPr>
              <w:pStyle w:val="ListParagraph"/>
              <w:numPr>
                <w:ilvl w:val="0"/>
                <w:numId w:val="2"/>
              </w:numPr>
              <w:spacing w:before="20" w:after="20"/>
            </w:pPr>
            <w:r>
              <w:rPr>
                <w:rFonts w:ascii="Arial" w:cs="Arial" w:eastAsia="Arial" w:hAnsi="Arial"/>
                <w:color w:val="1a1a1a"/>
                <w:sz w:val="18"/>
                <w:szCs w:val="18"/>
              </w:rPr>
              <w:t xml:space="preserve">Touches internal non-sensitive institutional data</w:t>
            </w:r>
          </w:p>
          <w:p>
            <w:pPr>
              <w:pStyle w:val="ListParagraph"/>
              <w:numPr>
                <w:ilvl w:val="0"/>
                <w:numId w:val="2"/>
              </w:numPr>
              <w:spacing w:before="20" w:after="20"/>
            </w:pPr>
            <w:r>
              <w:rPr>
                <w:rFonts w:ascii="Arial" w:cs="Arial" w:eastAsia="Arial" w:hAnsi="Arial"/>
                <w:color w:val="1a1a1a"/>
                <w:sz w:val="18"/>
                <w:szCs w:val="18"/>
              </w:rPr>
              <w:t xml:space="preserve">Used by a team or department</w:t>
            </w:r>
          </w:p>
          <w:p>
            <w:pPr>
              <w:pStyle w:val="ListParagraph"/>
              <w:numPr>
                <w:ilvl w:val="0"/>
                <w:numId w:val="2"/>
              </w:numPr>
              <w:spacing w:before="20" w:after="20"/>
            </w:pPr>
            <w:r>
              <w:rPr>
                <w:rFonts w:ascii="Arial" w:cs="Arial" w:eastAsia="Arial" w:hAnsi="Arial"/>
                <w:color w:val="1a1a1a"/>
                <w:sz w:val="18"/>
                <w:szCs w:val="18"/>
              </w:rPr>
              <w:t xml:space="preserve">No sensitive data, no enterprise system integration</w:t>
            </w:r>
          </w:p>
          <w:p>
            <w:pPr>
              <w:spacing w:before="60" w:after="20"/>
            </w:pPr>
            <w:r>
              <w:rPr>
                <w:rFonts w:ascii="Arial" w:cs="Arial" w:eastAsia="Arial" w:hAnsi="Arial"/>
                <w:b/>
                <w:bCs/>
                <w:color w:val="B8860B"/>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Complete the Pilot Self-Assessment (length scales with score: shorter at the low end of PILOT, fuller at the high end)</w:t>
            </w:r>
          </w:p>
          <w:p>
            <w:pPr>
              <w:pStyle w:val="ListParagraph"/>
              <w:numPr>
                <w:ilvl w:val="0"/>
                <w:numId w:val="3"/>
              </w:numPr>
              <w:spacing w:before="20" w:after="20"/>
            </w:pPr>
            <w:r>
              <w:rPr>
                <w:rFonts w:ascii="Arial" w:cs="Arial" w:eastAsia="Arial" w:hAnsi="Arial"/>
                <w:color w:val="1a1a1a"/>
                <w:sz w:val="18"/>
                <w:szCs w:val="18"/>
              </w:rPr>
              <w:t xml:space="preserve">Provide plain-language explanation of what the tool does, what data it touches, and what happens when it fails</w:t>
            </w:r>
          </w:p>
          <w:p>
            <w:pPr>
              <w:pStyle w:val="ListParagraph"/>
              <w:numPr>
                <w:ilvl w:val="0"/>
                <w:numId w:val="3"/>
              </w:numPr>
              <w:spacing w:before="20" w:after="20"/>
            </w:pPr>
            <w:r>
              <w:rPr>
                <w:rFonts w:ascii="Arial" w:cs="Arial" w:eastAsia="Arial" w:hAnsi="Arial"/>
                <w:color w:val="1a1a1a"/>
                <w:sz w:val="18"/>
                <w:szCs w:val="18"/>
              </w:rPr>
              <w:t xml:space="preserve">Document what data the tool accesses and where it is stored</w:t>
            </w:r>
          </w:p>
          <w:p>
            <w:pPr>
              <w:pStyle w:val="ListParagraph"/>
              <w:numPr>
                <w:ilvl w:val="0"/>
                <w:numId w:val="3"/>
              </w:numPr>
              <w:spacing w:before="20" w:after="20"/>
            </w:pPr>
            <w:r>
              <w:rPr>
                <w:rFonts w:ascii="Arial" w:cs="Arial" w:eastAsia="Arial" w:hAnsi="Arial"/>
                <w:color w:val="1a1a1a"/>
                <w:sz w:val="18"/>
                <w:szCs w:val="18"/>
              </w:rPr>
              <w:t xml:space="preserve">Confirm authentication method and access controls</w:t>
            </w:r>
          </w:p>
          <w:p>
            <w:pPr>
              <w:pStyle w:val="ListParagraph"/>
              <w:numPr>
                <w:ilvl w:val="0"/>
                <w:numId w:val="3"/>
              </w:numPr>
              <w:spacing w:before="20" w:after="20"/>
            </w:pPr>
            <w:r>
              <w:rPr>
                <w:rFonts w:ascii="Arial" w:cs="Arial" w:eastAsia="Arial" w:hAnsi="Arial"/>
                <w:color w:val="1a1a1a"/>
                <w:sz w:val="18"/>
                <w:szCs w:val="18"/>
              </w:rPr>
              <w:t xml:space="preserve">Identify who owns the tool if the builder leaves the institution</w:t>
            </w:r>
          </w:p>
          <w:p>
            <w:pPr>
              <w:pStyle w:val="ListParagraph"/>
              <w:numPr>
                <w:ilvl w:val="0"/>
                <w:numId w:val="3"/>
              </w:numPr>
              <w:spacing w:before="20" w:after="20"/>
            </w:pPr>
            <w:r>
              <w:rPr>
                <w:rFonts w:ascii="Arial" w:cs="Arial" w:eastAsia="Arial" w:hAnsi="Arial"/>
                <w:color w:val="1a1a1a"/>
                <w:sz w:val="18"/>
                <w:szCs w:val="18"/>
              </w:rPr>
              <w:t xml:space="preserve">Consider whether the tool works differently for different user populations and note any groups who may be disadvantaged or underserved (lightweight signal; formal equity review is required at the Deploy tier)</w:t>
            </w:r>
          </w:p>
          <w:p>
            <w:pPr>
              <w:pStyle w:val="ListParagraph"/>
              <w:numPr>
                <w:ilvl w:val="0"/>
                <w:numId w:val="3"/>
              </w:numPr>
              <w:spacing w:before="20" w:after="20"/>
            </w:pPr>
            <w:r>
              <w:rPr>
                <w:rFonts w:ascii="Arial" w:cs="Arial" w:eastAsia="Arial" w:hAnsi="Arial"/>
                <w:color w:val="1a1a1a"/>
                <w:sz w:val="18"/>
                <w:szCs w:val="18"/>
              </w:rPr>
              <w:t xml:space="preserve">Get department head sign-off</w:t>
            </w:r>
          </w:p>
          <w:p>
            <w:pPr>
              <w:pStyle w:val="ListParagraph"/>
              <w:numPr>
                <w:ilvl w:val="0"/>
                <w:numId w:val="3"/>
              </w:numPr>
              <w:spacing w:before="20" w:after="20"/>
            </w:pPr>
            <w:r>
              <w:rPr>
                <w:rFonts w:ascii="Arial" w:cs="Arial" w:eastAsia="Arial" w:hAnsi="Arial"/>
                <w:color w:val="1a1a1a"/>
                <w:sz w:val="18"/>
                <w:szCs w:val="18"/>
              </w:rPr>
              <w:t xml:space="preserve">Submit to IT for provisional approval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651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DEPLOY</w:t>
            </w:r>
          </w:p>
        </w:tc>
        <w:tc>
          <w:tcPr>
            <w:tcW w:type="dxa" w:w="75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Full IT and security review. Pilot Self-Assessment is a prerequisite.</w:t>
            </w:r>
          </w:p>
          <w:p>
            <w:pPr>
              <w:spacing w:before="40" w:after="20"/>
            </w:pPr>
            <w:r>
              <w:rPr>
                <w:rFonts w:ascii="Arial" w:cs="Arial" w:eastAsia="Arial" w:hAnsi="Arial"/>
                <w:b/>
                <w:bCs/>
                <w:color w:val="E65100"/>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Score 6 to 8</w:t>
            </w:r>
          </w:p>
          <w:p>
            <w:pPr>
              <w:pStyle w:val="ListParagraph"/>
              <w:numPr>
                <w:ilvl w:val="0"/>
                <w:numId w:val="2"/>
              </w:numPr>
              <w:spacing w:before="20" w:after="20"/>
            </w:pPr>
            <w:r>
              <w:rPr>
                <w:rFonts w:ascii="Arial" w:cs="Arial" w:eastAsia="Arial" w:hAnsi="Arial"/>
                <w:color w:val="1a1a1a"/>
                <w:sz w:val="18"/>
                <w:szCs w:val="18"/>
              </w:rPr>
              <w:t xml:space="preserve">Touches PII, FERPA-covered records, or HR data</w:t>
            </w:r>
          </w:p>
          <w:p>
            <w:pPr>
              <w:pStyle w:val="ListParagraph"/>
              <w:numPr>
                <w:ilvl w:val="0"/>
                <w:numId w:val="2"/>
              </w:numPr>
              <w:spacing w:before="20" w:after="20"/>
            </w:pPr>
            <w:r>
              <w:rPr>
                <w:rFonts w:ascii="Arial" w:cs="Arial" w:eastAsia="Arial" w:hAnsi="Arial"/>
                <w:color w:val="1a1a1a"/>
                <w:sz w:val="18"/>
                <w:szCs w:val="18"/>
              </w:rPr>
              <w:t xml:space="preserve">Serves students or the public</w:t>
            </w:r>
          </w:p>
          <w:p>
            <w:pPr>
              <w:pStyle w:val="ListParagraph"/>
              <w:numPr>
                <w:ilvl w:val="0"/>
                <w:numId w:val="2"/>
              </w:numPr>
              <w:spacing w:before="20" w:after="20"/>
            </w:pPr>
            <w:r>
              <w:rPr>
                <w:rFonts w:ascii="Arial" w:cs="Arial" w:eastAsia="Arial" w:hAnsi="Arial"/>
                <w:color w:val="1a1a1a"/>
                <w:sz w:val="18"/>
                <w:szCs w:val="18"/>
              </w:rPr>
              <w:t xml:space="preserve">Has significant blast radius (more than 500 people or institution-wide)</w:t>
            </w:r>
          </w:p>
          <w:p>
            <w:pPr>
              <w:spacing w:before="60" w:after="20"/>
            </w:pPr>
            <w:r>
              <w:rPr>
                <w:rFonts w:ascii="Arial" w:cs="Arial" w:eastAsia="Arial" w:hAnsi="Arial"/>
                <w:b/>
                <w:bCs/>
                <w:color w:val="E65100"/>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Complete the full Pilot Self-Assessment first</w:t>
            </w:r>
          </w:p>
          <w:p>
            <w:pPr>
              <w:pStyle w:val="ListParagraph"/>
              <w:numPr>
                <w:ilvl w:val="0"/>
                <w:numId w:val="3"/>
              </w:numPr>
              <w:spacing w:before="20" w:after="20"/>
            </w:pPr>
            <w:r>
              <w:rPr>
                <w:rFonts w:ascii="Arial" w:cs="Arial" w:eastAsia="Arial" w:hAnsi="Arial"/>
                <w:color w:val="1a1a1a"/>
                <w:sz w:val="18"/>
                <w:szCs w:val="18"/>
              </w:rPr>
              <w:t xml:space="preserve">Security architecture review</w:t>
            </w:r>
          </w:p>
          <w:p>
            <w:pPr>
              <w:pStyle w:val="ListParagraph"/>
              <w:numPr>
                <w:ilvl w:val="0"/>
                <w:numId w:val="3"/>
              </w:numPr>
              <w:spacing w:before="20" w:after="20"/>
            </w:pPr>
            <w:r>
              <w:rPr>
                <w:rFonts w:ascii="Arial" w:cs="Arial" w:eastAsia="Arial" w:hAnsi="Arial"/>
                <w:color w:val="1a1a1a"/>
                <w:sz w:val="18"/>
                <w:szCs w:val="18"/>
              </w:rPr>
              <w:t xml:space="preserve">Data classification and handling review</w:t>
            </w:r>
          </w:p>
          <w:p>
            <w:pPr>
              <w:pStyle w:val="ListParagraph"/>
              <w:numPr>
                <w:ilvl w:val="0"/>
                <w:numId w:val="3"/>
              </w:numPr>
              <w:spacing w:before="20" w:after="20"/>
            </w:pPr>
            <w:r>
              <w:rPr>
                <w:rFonts w:ascii="Arial" w:cs="Arial" w:eastAsia="Arial" w:hAnsi="Arial"/>
                <w:color w:val="1a1a1a"/>
                <w:sz w:val="18"/>
                <w:szCs w:val="18"/>
              </w:rPr>
              <w:t xml:space="preserve">Accessibility review (ADA and Section 508)</w:t>
            </w:r>
          </w:p>
          <w:p>
            <w:pPr>
              <w:pStyle w:val="ListParagraph"/>
              <w:numPr>
                <w:ilvl w:val="0"/>
                <w:numId w:val="3"/>
              </w:numPr>
              <w:spacing w:before="20" w:after="20"/>
            </w:pPr>
            <w:r>
              <w:rPr>
                <w:rFonts w:ascii="Arial" w:cs="Arial" w:eastAsia="Arial" w:hAnsi="Arial"/>
                <w:color w:val="1a1a1a"/>
                <w:sz w:val="18"/>
                <w:szCs w:val="18"/>
              </w:rPr>
              <w:t xml:space="preserve">Equity review (does the tool disadvantage any group of users?)</w:t>
            </w:r>
          </w:p>
          <w:p>
            <w:pPr>
              <w:pStyle w:val="ListParagraph"/>
              <w:numPr>
                <w:ilvl w:val="0"/>
                <w:numId w:val="3"/>
              </w:numPr>
              <w:spacing w:before="20" w:after="20"/>
            </w:pPr>
            <w:r>
              <w:rPr>
                <w:rFonts w:ascii="Arial" w:cs="Arial" w:eastAsia="Arial" w:hAnsi="Arial"/>
                <w:color w:val="1a1a1a"/>
                <w:sz w:val="18"/>
                <w:szCs w:val="18"/>
              </w:rPr>
              <w:t xml:space="preserve">Supportability and ownership plan</w:t>
            </w:r>
          </w:p>
          <w:p>
            <w:pPr>
              <w:pStyle w:val="ListParagraph"/>
              <w:numPr>
                <w:ilvl w:val="0"/>
                <w:numId w:val="3"/>
              </w:numPr>
              <w:spacing w:before="20" w:after="20"/>
            </w:pPr>
            <w:r>
              <w:rPr>
                <w:rFonts w:ascii="Arial" w:cs="Arial" w:eastAsia="Arial" w:hAnsi="Arial"/>
                <w:color w:val="1a1a1a"/>
                <w:sz w:val="18"/>
                <w:szCs w:val="18"/>
              </w:rPr>
              <w:t xml:space="preserve">IT approval before go-live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71C1C"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ESCALATE</w:t>
            </w:r>
          </w:p>
        </w:tc>
        <w:tc>
          <w:tcPr>
            <w:tcW w:type="dxa" w:w="75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Stop. This cannot go to production without a formal IT project.</w:t>
            </w:r>
          </w:p>
          <w:p>
            <w:pPr>
              <w:spacing w:before="40" w:after="20"/>
            </w:pPr>
            <w:r>
              <w:rPr>
                <w:rFonts w:ascii="Arial" w:cs="Arial" w:eastAsia="Arial" w:hAnsi="Arial"/>
                <w:b/>
                <w:bCs/>
                <w:color w:val="B71C1C"/>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Score 9 to 12</w:t>
            </w:r>
          </w:p>
          <w:p>
            <w:pPr>
              <w:pStyle w:val="ListParagraph"/>
              <w:numPr>
                <w:ilvl w:val="0"/>
                <w:numId w:val="2"/>
              </w:numPr>
              <w:spacing w:before="20" w:after="20"/>
            </w:pPr>
            <w:r>
              <w:rPr>
                <w:rFonts w:ascii="Arial" w:cs="Arial" w:eastAsia="Arial" w:hAnsi="Arial"/>
                <w:color w:val="1a1a1a"/>
                <w:sz w:val="18"/>
                <w:szCs w:val="18"/>
              </w:rPr>
              <w:t xml:space="preserve">Any escalation condition is met</w:t>
            </w:r>
          </w:p>
          <w:p>
            <w:pPr>
              <w:pStyle w:val="ListParagraph"/>
              <w:numPr>
                <w:ilvl w:val="0"/>
                <w:numId w:val="2"/>
              </w:numPr>
              <w:spacing w:before="20" w:after="20"/>
            </w:pPr>
            <w:r>
              <w:rPr>
                <w:rFonts w:ascii="Arial" w:cs="Arial" w:eastAsia="Arial" w:hAnsi="Arial"/>
                <w:color w:val="1a1a1a"/>
                <w:sz w:val="18"/>
                <w:szCs w:val="18"/>
              </w:rPr>
              <w:t xml:space="preserve">Touches regulated data (HIPAA, export-controlled, IRB human subjects)</w:t>
            </w:r>
          </w:p>
          <w:p>
            <w:pPr>
              <w:pStyle w:val="ListParagraph"/>
              <w:numPr>
                <w:ilvl w:val="0"/>
                <w:numId w:val="2"/>
              </w:numPr>
              <w:spacing w:before="20" w:after="20"/>
            </w:pPr>
            <w:r>
              <w:rPr>
                <w:rFonts w:ascii="Arial" w:cs="Arial" w:eastAsia="Arial" w:hAnsi="Arial"/>
                <w:color w:val="1a1a1a"/>
                <w:sz w:val="18"/>
                <w:szCs w:val="18"/>
              </w:rPr>
              <w:t xml:space="preserve">Autonomous decisions affecting people without human review at the point of decision</w:t>
            </w:r>
          </w:p>
          <w:p>
            <w:pPr>
              <w:spacing w:before="60" w:after="20"/>
            </w:pPr>
            <w:r>
              <w:rPr>
                <w:rFonts w:ascii="Arial" w:cs="Arial" w:eastAsia="Arial" w:hAnsi="Arial"/>
                <w:b/>
                <w:bCs/>
                <w:color w:val="B71C1C"/>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Stop and contact IT before proceeding</w:t>
            </w:r>
          </w:p>
          <w:p>
            <w:pPr>
              <w:pStyle w:val="ListParagraph"/>
              <w:numPr>
                <w:ilvl w:val="0"/>
                <w:numId w:val="3"/>
              </w:numPr>
              <w:spacing w:before="20" w:after="20"/>
            </w:pPr>
            <w:r>
              <w:rPr>
                <w:rFonts w:ascii="Arial" w:cs="Arial" w:eastAsia="Arial" w:hAnsi="Arial"/>
                <w:color w:val="1a1a1a"/>
                <w:sz w:val="18"/>
                <w:szCs w:val="18"/>
              </w:rPr>
              <w:t xml:space="preserve">Submit a formal IT project request</w:t>
            </w:r>
          </w:p>
          <w:p>
            <w:pPr>
              <w:pStyle w:val="ListParagraph"/>
              <w:numPr>
                <w:ilvl w:val="0"/>
                <w:numId w:val="3"/>
              </w:numPr>
              <w:spacing w:before="20" w:after="20"/>
            </w:pPr>
            <w:r>
              <w:rPr>
                <w:rFonts w:ascii="Arial" w:cs="Arial" w:eastAsia="Arial" w:hAnsi="Arial"/>
                <w:color w:val="1a1a1a"/>
                <w:sz w:val="18"/>
                <w:szCs w:val="18"/>
              </w:rPr>
              <w:t xml:space="preserve">CIO or designee scoping and risk review</w:t>
            </w:r>
          </w:p>
          <w:p>
            <w:pPr>
              <w:pStyle w:val="ListParagraph"/>
              <w:numPr>
                <w:ilvl w:val="0"/>
                <w:numId w:val="3"/>
              </w:numPr>
              <w:spacing w:before="20" w:after="20"/>
            </w:pPr>
            <w:r>
              <w:rPr>
                <w:rFonts w:ascii="Arial" w:cs="Arial" w:eastAsia="Arial" w:hAnsi="Arial"/>
                <w:color w:val="1a1a1a"/>
                <w:sz w:val="18"/>
                <w:szCs w:val="18"/>
              </w:rPr>
              <w:t xml:space="preserve">Security, privacy, legal, and compliance review</w:t>
            </w:r>
          </w:p>
          <w:p>
            <w:pPr>
              <w:pStyle w:val="ListParagraph"/>
              <w:numPr>
                <w:ilvl w:val="0"/>
                <w:numId w:val="3"/>
              </w:numPr>
              <w:spacing w:before="20" w:after="20"/>
            </w:pPr>
            <w:r>
              <w:rPr>
                <w:rFonts w:ascii="Arial" w:cs="Arial" w:eastAsia="Arial" w:hAnsi="Arial"/>
                <w:color w:val="1a1a1a"/>
                <w:sz w:val="18"/>
                <w:szCs w:val="18"/>
              </w:rPr>
              <w:t xml:space="preserve">Architecture approval</w:t>
            </w:r>
          </w:p>
          <w:p>
            <w:pPr>
              <w:pStyle w:val="ListParagraph"/>
              <w:numPr>
                <w:ilvl w:val="0"/>
                <w:numId w:val="3"/>
              </w:numPr>
              <w:spacing w:before="20" w:after="20"/>
            </w:pPr>
            <w:r>
              <w:rPr>
                <w:rFonts w:ascii="Arial" w:cs="Arial" w:eastAsia="Arial" w:hAnsi="Arial"/>
                <w:color w:val="1a1a1a"/>
                <w:sz w:val="18"/>
                <w:szCs w:val="18"/>
              </w:rPr>
              <w:t xml:space="preserve">Formal project plan including testing, rollback procedures, and long-term support model</w:t>
            </w:r>
          </w:p>
        </w:tc>
      </w:tr>
    </w:tbl>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Score Summary</w:t>
      </w:r>
    </w:p>
    <w:p>
      <w:pPr>
        <w:spacing w:before="60" w:after="0"/>
      </w:pPr>
      <w:r>
        <w:t xml:space="preserve"/>
      </w:r>
    </w:p>
    <w:p>
      <w:pPr>
        <w:spacing w:before="60" w:after="60"/>
      </w:pPr>
      <w:r>
        <w:rPr>
          <w:rFonts w:ascii="Arial" w:cs="Arial" w:eastAsia="Arial" w:hAnsi="Arial"/>
          <w:color w:val="1a1a1a"/>
          <w:sz w:val="20"/>
          <w:szCs w:val="20"/>
        </w:rPr>
        <w:t xml:space="preserve">See the Score Summary table in the Quick Start section above. The table is not repeated here to avoid duplication.</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Post-Production Monitoring</w:t>
      </w:r>
    </w:p>
    <w:p>
      <w:pPr>
        <w:spacing w:before="60" w:after="60"/>
      </w:pPr>
      <w:r>
        <w:rPr>
          <w:rFonts w:ascii="Arial" w:cs="Arial" w:eastAsia="Arial" w:hAnsi="Arial"/>
          <w:color w:val="1a1a1a"/>
          <w:sz w:val="20"/>
          <w:szCs w:val="20"/>
        </w:rPr>
        <w:t xml:space="preserve">Approval is a moment in time. A tool approved today under one set of conditions should not persist unchanged in a changed environment. Ongoing monitoring is required for all production tools.</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All production tools must be registered in the institutional tool registry with a designated owner and approved version number</w:t>
      </w:r>
    </w:p>
    <w:p>
      <w:pPr>
        <w:pStyle w:val="ListParagraph"/>
        <w:numPr>
          <w:ilvl w:val="0"/>
          <w:numId w:val="2"/>
        </w:numPr>
        <w:spacing w:before="40" w:after="40"/>
      </w:pPr>
      <w:r>
        <w:rPr>
          <w:rFonts w:ascii="Arial" w:cs="Arial" w:eastAsia="Arial" w:hAnsi="Arial"/>
          <w:b w:val="false"/>
          <w:bCs w:val="false"/>
          <w:color w:val="1a1a1a"/>
          <w:sz w:val="20"/>
          <w:szCs w:val="20"/>
        </w:rPr>
        <w:t xml:space="preserve">Pilot-tier tools: designated owner self-certifies annually that nothing material has changed</w:t>
      </w:r>
    </w:p>
    <w:p>
      <w:pPr>
        <w:pStyle w:val="ListParagraph"/>
        <w:numPr>
          <w:ilvl w:val="0"/>
          <w:numId w:val="2"/>
        </w:numPr>
        <w:spacing w:before="40" w:after="40"/>
      </w:pPr>
      <w:r>
        <w:rPr>
          <w:rFonts w:ascii="Arial" w:cs="Arial" w:eastAsia="Arial" w:hAnsi="Arial"/>
          <w:b w:val="false"/>
          <w:bCs w:val="false"/>
          <w:color w:val="1a1a1a"/>
          <w:sz w:val="20"/>
          <w:szCs w:val="20"/>
        </w:rPr>
        <w:t xml:space="preserve">Deploy-tier tools: annual re-scan covering security, accessibility, and code review — automated where institutional tooling supports it, manual with documented results where it does not. Institutions should be explicit at the time of policy publication about which parts of the re-scan are genuinely automated versus manual.</w:t>
      </w:r>
    </w:p>
    <w:p>
      <w:pPr>
        <w:pStyle w:val="ListParagraph"/>
        <w:numPr>
          <w:ilvl w:val="0"/>
          <w:numId w:val="2"/>
        </w:numPr>
        <w:spacing w:before="40" w:after="40"/>
      </w:pPr>
      <w:r>
        <w:rPr>
          <w:rFonts w:ascii="Arial" w:cs="Arial" w:eastAsia="Arial" w:hAnsi="Arial"/>
          <w:b w:val="false"/>
          <w:bCs w:val="false"/>
          <w:color w:val="1a1a1a"/>
          <w:sz w:val="20"/>
          <w:szCs w:val="20"/>
        </w:rPr>
        <w:t xml:space="preserve">Escalate-tier tools: annual formal IT review with updated sign-off</w:t>
      </w:r>
    </w:p>
    <w:p>
      <w:pPr>
        <w:pStyle w:val="ListParagraph"/>
        <w:numPr>
          <w:ilvl w:val="0"/>
          <w:numId w:val="2"/>
        </w:numPr>
        <w:spacing w:before="40" w:after="40"/>
      </w:pPr>
      <w:r>
        <w:rPr>
          <w:rFonts w:ascii="Arial" w:cs="Arial" w:eastAsia="Arial" w:hAnsi="Arial"/>
          <w:b w:val="false"/>
          <w:bCs w:val="false"/>
          <w:color w:val="1a1a1a"/>
          <w:sz w:val="20"/>
          <w:szCs w:val="20"/>
        </w:rPr>
        <w:t xml:space="preserve">Any material change triggers a full re-review from Phase 1 — material changes include new data sources, new user populations, updated AI model, new integrations, or new authentication method</w:t>
      </w:r>
    </w:p>
    <w:p>
      <w:pPr>
        <w:pStyle w:val="ListParagraph"/>
        <w:numPr>
          <w:ilvl w:val="0"/>
          <w:numId w:val="2"/>
        </w:numPr>
        <w:spacing w:before="40" w:after="40"/>
      </w:pPr>
      <w:r>
        <w:rPr>
          <w:rFonts w:ascii="Arial" w:cs="Arial" w:eastAsia="Arial" w:hAnsi="Arial"/>
          <w:b w:val="false"/>
          <w:bCs w:val="false"/>
          <w:color w:val="1a1a1a"/>
          <w:sz w:val="20"/>
          <w:szCs w:val="20"/>
        </w:rPr>
        <w:t xml:space="preserve">If a tool's owner leaves the institution, the institution has 30 days to designate a new owner before the tool is suspended from production. IT may grant an extension at its discretion with documented justification.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Runtime anomalies — unexpected data access patterns, authentication failures, significant error rate increases — should be reported to IT through standard incident management channels</w:t>
      </w:r>
    </w:p>
    <w:p>
      <w:pPr>
        <w:pStyle w:val="ListParagraph"/>
        <w:numPr>
          <w:ilvl w:val="0"/>
          <w:numId w:val="2"/>
        </w:numPr>
        <w:spacing w:before="40" w:after="40"/>
      </w:pPr>
      <w:r>
        <w:rPr>
          <w:rFonts w:ascii="Arial" w:cs="Arial" w:eastAsia="Arial" w:hAnsi="Arial"/>
          <w:b w:val="false"/>
          <w:bCs w:val="false"/>
          <w:color w:val="1a1a1a"/>
          <w:sz w:val="20"/>
          <w:szCs w:val="20"/>
        </w:rPr>
        <w:t xml:space="preserve">For tools that rely on third-party AI models accessed via API (OpenAI, Anthropic, and similar providers): the tool owner is responsible for monitoring the provider's model versioning and changelog. Provider-side model updates that alter behavior, outputs, or data handling constitute a material change under this framework even when the institution took no action. The owner must report such updates to IT for a re-review determination.</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What This Framework Is Not</w:t>
      </w:r>
    </w:p>
    <w:p>
      <w:pPr>
        <w:spacing w:before="60" w:after="60"/>
      </w:pPr>
      <w:r>
        <w:rPr>
          <w:rFonts w:ascii="Arial" w:cs="Arial" w:eastAsia="Arial" w:hAnsi="Arial"/>
          <w:color w:val="1a1a1a"/>
          <w:sz w:val="20"/>
          <w:szCs w:val="20"/>
        </w:rPr>
        <w:t xml:space="preserve">This framework is designed to enable AI-assisted development, not restrict it. Four clarifications for common misreadings:</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a substitute for faculty governance. Tools that affect curriculum, assessment, or academic integrity require faculty senate or department-level review in addition to IT sign-off. The two processes are complementary, not interchangeable.</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a replacement for existing institutional data governance policy, FERPA compliance obligations, or information security standards. It operates alongside those, and where they conflict, existing institutional policy governs.</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final. This is v0.1. The scoring thresholds, escalation conditions, and tier requirements will be refined based on stress-testing against real tools and feedback from departments, legal counsel, and faculty governance before v1.0 is published.</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does not address intellectual property, open-source licensing, or institutional ownership of tools built by employees using institutional data or infrastructure. Those questions are governed by existing institutional IP, acceptable use, and employment policies. Builders with questions about IP or licensing should contact General Counsel before publishing or distributing their tools externally.</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Adopting This Framework</w:t>
      </w:r>
    </w:p>
    <w:p>
      <w:pPr>
        <w:spacing w:before="60" w:after="60"/>
      </w:pPr>
      <w:r>
        <w:rPr>
          <w:rFonts w:ascii="Arial" w:cs="Arial" w:eastAsia="Arial" w:hAnsi="Arial"/>
          <w:color w:val="1a1a1a"/>
          <w:sz w:val="20"/>
          <w:szCs w:val="20"/>
        </w:rPr>
        <w:t xml:space="preserve">This framework is designed to be adapted, not just adopted. The scoring rubric, routing logic, ethical mapping, and tier structure are portable across higher education institutions of different sizes and types. The following steps describe what an institution needs to do to operationalize this framework for its own context:</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Calibrate the scoring rubric against your own tool landscape. Run the rubric against five to ten tools already in use at your institution — including some you know are high-risk and some you believe are low-risk — and verify that the routing results match your judgment. If they do not, adjust the tier thresholds before publishing the framework as policy.</w:t>
      </w:r>
    </w:p>
    <w:p>
      <w:pPr>
        <w:pStyle w:val="ListParagraph"/>
        <w:numPr>
          <w:ilvl w:val="0"/>
          <w:numId w:val="2"/>
        </w:numPr>
        <w:spacing w:before="40" w:after="40"/>
      </w:pPr>
      <w:r>
        <w:rPr>
          <w:rFonts w:ascii="Arial" w:cs="Arial" w:eastAsia="Arial" w:hAnsi="Arial"/>
          <w:b w:val="false"/>
          <w:bCs w:val="false"/>
          <w:color w:val="1a1a1a"/>
          <w:sz w:val="20"/>
          <w:szCs w:val="20"/>
        </w:rPr>
        <w:t xml:space="preserve">Map the escalation conditions to your own enterprise systems and data governance policies. The escalation conditions in this framework are written generically — identify the specific ERP, SIS, CRM, and financial systems at your institution (Banner, Workday, Salesforce, PeopleSoft, and similar) and name them explicitly in your local version. Review your data governance and FERPA policies to confirm the escalation conditions align with your existing obligations.</w:t>
      </w:r>
    </w:p>
    <w:p>
      <w:pPr>
        <w:pStyle w:val="ListParagraph"/>
        <w:numPr>
          <w:ilvl w:val="0"/>
          <w:numId w:val="2"/>
        </w:numPr>
        <w:spacing w:before="40" w:after="40"/>
      </w:pPr>
      <w:r>
        <w:rPr>
          <w:rFonts w:ascii="Arial" w:cs="Arial" w:eastAsia="Arial" w:hAnsi="Arial"/>
          <w:b w:val="false"/>
          <w:bCs w:val="false"/>
          <w:color w:val="1a1a1a"/>
          <w:sz w:val="20"/>
          <w:szCs w:val="20"/>
        </w:rPr>
        <w:t xml:space="preserve">Build the Pilot Self-Assessment for your local context. The framework calls for a tiered self-assessment that scales with the tool's score within the PILOT band — shorter at score 3, fuller at score 5. That checklist does not ship with this framework — each institution should build it to reflect local data governance requirements, existing IT review processes, and the types of AI-assisted tools most prevalent at that institution.</w:t>
      </w:r>
    </w:p>
    <w:p>
      <w:pPr>
        <w:pStyle w:val="ListParagraph"/>
        <w:numPr>
          <w:ilvl w:val="0"/>
          <w:numId w:val="2"/>
        </w:numPr>
        <w:spacing w:before="40" w:after="40"/>
      </w:pPr>
      <w:r>
        <w:rPr>
          <w:rFonts w:ascii="Arial" w:cs="Arial" w:eastAsia="Arial" w:hAnsi="Arial"/>
          <w:b w:val="false"/>
          <w:bCs w:val="false"/>
          <w:color w:val="1a1a1a"/>
          <w:sz w:val="20"/>
          <w:szCs w:val="20"/>
        </w:rPr>
        <w:t xml:space="preserve">Define your tool registry structure. Decide what fields are required (tool name, version, owner, approval date, tier, data classification, review history), who maintains the registry, and how it integrates with existing asset management or CMDB systems. The registry is the enforcement mechanism for version-specific approval — without it, that feature of the framework is aspirational rather than operational.</w:t>
      </w:r>
    </w:p>
    <w:p>
      <w:pPr>
        <w:pStyle w:val="ListParagraph"/>
        <w:numPr>
          <w:ilvl w:val="0"/>
          <w:numId w:val="2"/>
        </w:numPr>
        <w:spacing w:before="40" w:after="40"/>
      </w:pPr>
      <w:r>
        <w:rPr>
          <w:rFonts w:ascii="Arial" w:cs="Arial" w:eastAsia="Arial" w:hAnsi="Arial"/>
          <w:b w:val="false"/>
          <w:bCs w:val="false"/>
          <w:color w:val="1a1a1a"/>
          <w:sz w:val="20"/>
          <w:szCs w:val="20"/>
        </w:rPr>
        <w:t xml:space="preserve">Define material change for your context. This framework provides a definition of material change (see Post-Production Monitoring). Review it against your own institutional context and add any institution-specific triggers that are not covered by the default list.</w:t>
      </w:r>
    </w:p>
    <w:p>
      <w:pPr>
        <w:pStyle w:val="ListParagraph"/>
        <w:numPr>
          <w:ilvl w:val="0"/>
          <w:numId w:val="2"/>
        </w:numPr>
        <w:spacing w:before="40" w:after="40"/>
      </w:pPr>
      <w:r>
        <w:rPr>
          <w:rFonts w:ascii="Arial" w:cs="Arial" w:eastAsia="Arial" w:hAnsi="Arial"/>
          <w:b w:val="false"/>
          <w:bCs w:val="false"/>
          <w:color w:val="1a1a1a"/>
          <w:sz w:val="20"/>
          <w:szCs w:val="20"/>
        </w:rPr>
        <w:t xml:space="preserve">Complete the stress test before enforcing tier routing. Do not publish this framework as policy until the scoring rubric has been validated against real tools and any threshold adjustments have been made. A framework enforced before stress-testing produces arbitrary results and erodes trust in the process.</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Definition: Material Change</w:t>
      </w:r>
    </w:p>
    <w:p>
      <w:pPr>
        <w:spacing w:before="60" w:after="60"/>
      </w:pPr>
      <w:r>
        <w:rPr>
          <w:rFonts w:ascii="Arial" w:cs="Arial" w:eastAsia="Arial" w:hAnsi="Arial"/>
          <w:color w:val="1a1a1a"/>
          <w:sz w:val="20"/>
          <w:szCs w:val="20"/>
        </w:rPr>
        <w:t xml:space="preserve">The phrase 'material change' is used throughout this framework to describe changes that void an existing approval and trigger re-review. For the purposes of this framework, a material change includes but is not limited to:</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Addition of new data sources or new categories of data not covered in the original review</w:t>
      </w:r>
    </w:p>
    <w:p>
      <w:pPr>
        <w:pStyle w:val="ListParagraph"/>
        <w:numPr>
          <w:ilvl w:val="0"/>
          <w:numId w:val="2"/>
        </w:numPr>
        <w:spacing w:before="40" w:after="40"/>
      </w:pPr>
      <w:r>
        <w:rPr>
          <w:rFonts w:ascii="Arial" w:cs="Arial" w:eastAsia="Arial" w:hAnsi="Arial"/>
          <w:b w:val="false"/>
          <w:bCs w:val="false"/>
          <w:color w:val="1a1a1a"/>
          <w:sz w:val="20"/>
          <w:szCs w:val="20"/>
        </w:rPr>
        <w:t xml:space="preserve">Expansion to new user populations not covered in the original review</w:t>
      </w:r>
    </w:p>
    <w:p>
      <w:pPr>
        <w:pStyle w:val="ListParagraph"/>
        <w:numPr>
          <w:ilvl w:val="0"/>
          <w:numId w:val="2"/>
        </w:numPr>
        <w:spacing w:before="40" w:after="40"/>
      </w:pPr>
      <w:r>
        <w:rPr>
          <w:rFonts w:ascii="Arial" w:cs="Arial" w:eastAsia="Arial" w:hAnsi="Arial"/>
          <w:b w:val="false"/>
          <w:bCs w:val="false"/>
          <w:color w:val="1a1a1a"/>
          <w:sz w:val="20"/>
          <w:szCs w:val="20"/>
        </w:rPr>
        <w:t xml:space="preserve">Change of AI model or AI service provider — including version updates to a model that alter its behavior, outputs, or data handling</w:t>
      </w:r>
    </w:p>
    <w:p>
      <w:pPr>
        <w:pStyle w:val="ListParagraph"/>
        <w:numPr>
          <w:ilvl w:val="0"/>
          <w:numId w:val="2"/>
        </w:numPr>
        <w:spacing w:before="40" w:after="40"/>
      </w:pPr>
      <w:r>
        <w:rPr>
          <w:rFonts w:ascii="Arial" w:cs="Arial" w:eastAsia="Arial" w:hAnsi="Arial"/>
          <w:b w:val="false"/>
          <w:bCs w:val="false"/>
          <w:color w:val="1a1a1a"/>
          <w:sz w:val="20"/>
          <w:szCs w:val="20"/>
        </w:rPr>
        <w:t xml:space="preserve">Addition of new system integrations or APIs</w:t>
      </w:r>
    </w:p>
    <w:p>
      <w:pPr>
        <w:pStyle w:val="ListParagraph"/>
        <w:numPr>
          <w:ilvl w:val="0"/>
          <w:numId w:val="2"/>
        </w:numPr>
        <w:spacing w:before="40" w:after="40"/>
      </w:pPr>
      <w:r>
        <w:rPr>
          <w:rFonts w:ascii="Arial" w:cs="Arial" w:eastAsia="Arial" w:hAnsi="Arial"/>
          <w:b w:val="false"/>
          <w:bCs w:val="false"/>
          <w:color w:val="1a1a1a"/>
          <w:sz w:val="20"/>
          <w:szCs w:val="20"/>
        </w:rPr>
        <w:t xml:space="preserve">Change of authentication method or identity provider</w:t>
      </w:r>
    </w:p>
    <w:p>
      <w:pPr>
        <w:pStyle w:val="ListParagraph"/>
        <w:numPr>
          <w:ilvl w:val="0"/>
          <w:numId w:val="2"/>
        </w:numPr>
        <w:spacing w:before="40" w:after="40"/>
      </w:pPr>
      <w:r>
        <w:rPr>
          <w:rFonts w:ascii="Arial" w:cs="Arial" w:eastAsia="Arial" w:hAnsi="Arial"/>
          <w:b w:val="false"/>
          <w:bCs w:val="false"/>
          <w:color w:val="1a1a1a"/>
          <w:sz w:val="20"/>
          <w:szCs w:val="20"/>
        </w:rPr>
        <w:t xml:space="preserve">Change of hosting environment or data residency</w:t>
      </w:r>
    </w:p>
    <w:p>
      <w:pPr>
        <w:pStyle w:val="ListParagraph"/>
        <w:numPr>
          <w:ilvl w:val="0"/>
          <w:numId w:val="2"/>
        </w:numPr>
        <w:spacing w:before="40" w:after="40"/>
      </w:pPr>
      <w:r>
        <w:rPr>
          <w:rFonts w:ascii="Arial" w:cs="Arial" w:eastAsia="Arial" w:hAnsi="Arial"/>
          <w:b w:val="false"/>
          <w:bCs w:val="false"/>
          <w:color w:val="1a1a1a"/>
          <w:sz w:val="20"/>
          <w:szCs w:val="20"/>
        </w:rPr>
        <w:t xml:space="preserve">Any change that increases the tool's score on the routing rubric by two or more points</w:t>
      </w:r>
    </w:p>
    <w:p>
      <w:pPr>
        <w:spacing w:before="80" w:after="0"/>
      </w:pPr>
      <w:r>
        <w:t xml:space="preserve"/>
      </w:r>
    </w:p>
    <w:p>
      <w:pPr>
        <w:spacing w:before="60" w:after="60"/>
      </w:pPr>
      <w:r>
        <w:rPr>
          <w:rFonts w:ascii="Arial" w:cs="Arial" w:eastAsia="Arial" w:hAnsi="Arial"/>
          <w:i/>
          <w:iCs/>
          <w:color w:val="1a1a1a"/>
          <w:sz w:val="20"/>
          <w:szCs w:val="20"/>
        </w:rPr>
        <w:t xml:space="preserve">Changes that do not constitute material changes include routine bug fixes, UI improvements, and performance optimizations that do not alter data handling, user population, AI model, integrations, or authentication. When in doubt, the tool owner should contact IT for a determination before deploying a change.</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Next Steps for This Institution's Implementation</w:t>
      </w:r>
    </w:p>
    <w:p>
      <w:pPr>
        <w:spacing w:before="60" w:after="60"/>
      </w:pPr>
      <w:r>
        <w:rPr>
          <w:rFonts w:ascii="Arial" w:cs="Arial" w:eastAsia="Arial" w:hAnsi="Arial"/>
          <w:color w:val="1a1a1a"/>
          <w:sz w:val="20"/>
          <w:szCs w:val="20"/>
        </w:rPr>
        <w:t xml:space="preserve">This section is a status report on the originating institution's implementation work. It is included to demonstrate that the framework is being actively operationalized, not merely published. Institutions adopting this framework should refer to the Adopting This Framework section for their own implementation checklist.</w:t>
      </w:r>
    </w:p>
    <w:p>
      <w:pPr>
        <w:spacing w:before="120" w:after="0"/>
      </w:pPr>
      <w:r>
        <w:t xml:space="preserve"/>
      </w:r>
    </w:p>
    <w:p>
      <w:pPr>
        <w:spacing w:before="40" w:after="16"/>
      </w:pPr>
      <w:r>
        <w:rPr>
          <w:rFonts w:ascii="Arial" w:cs="Arial" w:eastAsia="Arial" w:hAnsi="Arial"/>
          <w:b/>
          <w:bCs/>
          <w:color w:val="2E7D32"/>
          <w:sz w:val="18"/>
          <w:szCs w:val="18"/>
        </w:rPr>
        <w:t xml:space="preserve">Completed</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Framework structure, routing logic, and scoring rubric drafted</w:t>
      </w:r>
    </w:p>
    <w:p>
      <w:pPr>
        <w:pStyle w:val="ListParagraph"/>
        <w:numPr>
          <w:ilvl w:val="0"/>
          <w:numId w:val="2"/>
        </w:numPr>
        <w:spacing w:before="40" w:after="40"/>
      </w:pPr>
      <w:r>
        <w:rPr>
          <w:rFonts w:ascii="Arial" w:cs="Arial" w:eastAsia="Arial" w:hAnsi="Arial"/>
          <w:b w:val="false"/>
          <w:bCs w:val="false"/>
          <w:color w:val="1a1a1a"/>
          <w:sz w:val="20"/>
          <w:szCs w:val="20"/>
        </w:rPr>
        <w:t xml:space="preserve">Self-service web-based scoring tool built and available for internal testing</w:t>
      </w:r>
    </w:p>
    <w:p>
      <w:pPr>
        <w:pStyle w:val="ListParagraph"/>
        <w:numPr>
          <w:ilvl w:val="0"/>
          <w:numId w:val="2"/>
        </w:numPr>
        <w:spacing w:before="40" w:after="40"/>
      </w:pPr>
      <w:r>
        <w:rPr>
          <w:rFonts w:ascii="Arial" w:cs="Arial" w:eastAsia="Arial" w:hAnsi="Arial"/>
          <w:b w:val="false"/>
          <w:bCs w:val="false"/>
          <w:color w:val="1a1a1a"/>
          <w:sz w:val="20"/>
          <w:szCs w:val="20"/>
        </w:rPr>
        <w:t xml:space="preserve">Framework lineage documented and grounded in NIST AI RMF, ITIL, EDUCAUSE, and agentic governance literature</w:t>
      </w:r>
    </w:p>
    <w:p>
      <w:pPr>
        <w:pStyle w:val="ListParagraph"/>
        <w:numPr>
          <w:ilvl w:val="0"/>
          <w:numId w:val="2"/>
        </w:numPr>
        <w:spacing w:before="40" w:after="40"/>
      </w:pPr>
      <w:r>
        <w:rPr>
          <w:rFonts w:ascii="Arial" w:cs="Arial" w:eastAsia="Arial" w:hAnsi="Arial"/>
          <w:b w:val="false"/>
          <w:bCs w:val="false"/>
          <w:color w:val="1a1a1a"/>
          <w:sz w:val="20"/>
          <w:szCs w:val="20"/>
        </w:rPr>
        <w:t xml:space="preserve">Novel contributions defined with both conceptual basis and concrete implementation detail</w:t>
      </w:r>
    </w:p>
    <w:p>
      <w:pPr>
        <w:pStyle w:val="ListParagraph"/>
        <w:numPr>
          <w:ilvl w:val="0"/>
          <w:numId w:val="2"/>
        </w:numPr>
        <w:spacing w:before="40" w:after="40"/>
      </w:pPr>
      <w:r>
        <w:rPr>
          <w:rFonts w:ascii="Arial" w:cs="Arial" w:eastAsia="Arial" w:hAnsi="Arial"/>
          <w:b w:val="false"/>
          <w:bCs w:val="false"/>
          <w:color w:val="1a1a1a"/>
          <w:sz w:val="20"/>
          <w:szCs w:val="20"/>
        </w:rPr>
        <w:t xml:space="preserve">Pedagogy and academic integrity escalation conditions added per EDUCAUSE guidance</w:t>
      </w:r>
    </w:p>
    <w:p>
      <w:pPr>
        <w:pStyle w:val="ListParagraph"/>
        <w:numPr>
          <w:ilvl w:val="0"/>
          <w:numId w:val="2"/>
        </w:numPr>
        <w:spacing w:before="40" w:after="40"/>
      </w:pPr>
      <w:r>
        <w:rPr>
          <w:rFonts w:ascii="Arial" w:cs="Arial" w:eastAsia="Arial" w:hAnsi="Arial"/>
          <w:b w:val="false"/>
          <w:bCs w:val="false"/>
          <w:color w:val="1a1a1a"/>
          <w:sz w:val="20"/>
          <w:szCs w:val="20"/>
        </w:rPr>
        <w:t xml:space="preserve">Ethical principles mapped to specific scoring dimensions and review checkpoints</w:t>
      </w:r>
    </w:p>
    <w:p>
      <w:pPr>
        <w:pStyle w:val="ListParagraph"/>
        <w:numPr>
          <w:ilvl w:val="0"/>
          <w:numId w:val="2"/>
        </w:numPr>
        <w:spacing w:before="40" w:after="40"/>
      </w:pPr>
      <w:r>
        <w:rPr>
          <w:rFonts w:ascii="Arial" w:cs="Arial" w:eastAsia="Arial" w:hAnsi="Arial"/>
          <w:b w:val="false"/>
          <w:bCs w:val="false"/>
          <w:color w:val="1a1a1a"/>
          <w:sz w:val="20"/>
          <w:szCs w:val="20"/>
        </w:rPr>
        <w:t xml:space="preserve">Scoring rubric corrected: reduced to four dimensions to eliminate score inflation; tier bands recalibrated to 0-2, 3-5, 6-8, 9-12</w:t>
      </w:r>
    </w:p>
    <w:p>
      <w:pPr>
        <w:pStyle w:val="ListParagraph"/>
        <w:numPr>
          <w:ilvl w:val="0"/>
          <w:numId w:val="2"/>
        </w:numPr>
        <w:spacing w:before="40" w:after="40"/>
      </w:pPr>
      <w:r>
        <w:rPr>
          <w:rFonts w:ascii="Arial" w:cs="Arial" w:eastAsia="Arial" w:hAnsi="Arial"/>
          <w:b w:val="false"/>
          <w:bCs w:val="false"/>
          <w:color w:val="1a1a1a"/>
          <w:sz w:val="20"/>
          <w:szCs w:val="20"/>
        </w:rPr>
        <w:t xml:space="preserve">Authentication removed as scored dimension and moved to escalation conditions where it belongs</w:t>
      </w:r>
    </w:p>
    <w:p>
      <w:pPr>
        <w:pStyle w:val="ListParagraph"/>
        <w:numPr>
          <w:ilvl w:val="0"/>
          <w:numId w:val="2"/>
        </w:numPr>
        <w:spacing w:before="40" w:after="40"/>
      </w:pPr>
      <w:r>
        <w:rPr>
          <w:rFonts w:ascii="Arial" w:cs="Arial" w:eastAsia="Arial" w:hAnsi="Arial"/>
          <w:b w:val="false"/>
          <w:bCs w:val="false"/>
          <w:color w:val="1a1a1a"/>
          <w:sz w:val="20"/>
          <w:szCs w:val="20"/>
        </w:rPr>
        <w:t xml:space="preserve">AI-generated code comprehension resolved as a single scored dimension rather than both a dimension and an escalation condition</w:t>
      </w:r>
    </w:p>
    <w:p>
      <w:pPr>
        <w:pStyle w:val="ListParagraph"/>
        <w:numPr>
          <w:ilvl w:val="0"/>
          <w:numId w:val="2"/>
        </w:numPr>
        <w:spacing w:before="40" w:after="40"/>
      </w:pPr>
      <w:r>
        <w:rPr>
          <w:rFonts w:ascii="Arial" w:cs="Arial" w:eastAsia="Arial" w:hAnsi="Arial"/>
          <w:b w:val="false"/>
          <w:bCs w:val="false"/>
          <w:color w:val="1a1a1a"/>
          <w:sz w:val="20"/>
          <w:szCs w:val="20"/>
        </w:rPr>
        <w:t xml:space="preserve">Retroactive onboarding path defined for tools already in production</w:t>
      </w:r>
    </w:p>
    <w:p>
      <w:pPr>
        <w:pStyle w:val="ListParagraph"/>
        <w:numPr>
          <w:ilvl w:val="0"/>
          <w:numId w:val="2"/>
        </w:numPr>
        <w:spacing w:before="40" w:after="40"/>
      </w:pPr>
      <w:r>
        <w:rPr>
          <w:rFonts w:ascii="Arial" w:cs="Arial" w:eastAsia="Arial" w:hAnsi="Arial"/>
          <w:b w:val="false"/>
          <w:bCs w:val="false"/>
          <w:color w:val="1a1a1a"/>
          <w:sz w:val="20"/>
          <w:szCs w:val="20"/>
        </w:rPr>
        <w:t xml:space="preserve">Ownership lapse policy clarified: 30-day grace period before suspension</w:t>
      </w:r>
    </w:p>
    <w:p>
      <w:pPr>
        <w:spacing w:before="120" w:after="0"/>
      </w:pPr>
      <w:r>
        <w:t xml:space="preserve"/>
      </w:r>
    </w:p>
    <w:p>
      <w:pPr>
        <w:spacing w:before="40" w:after="16"/>
      </w:pPr>
      <w:r>
        <w:rPr>
          <w:rFonts w:ascii="Arial" w:cs="Arial" w:eastAsia="Arial" w:hAnsi="Arial"/>
          <w:b/>
          <w:bCs/>
          <w:color w:val="B8860B"/>
          <w:sz w:val="18"/>
          <w:szCs w:val="18"/>
        </w:rPr>
        <w:t xml:space="preserve">In Progress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Stress-testing routing logic against 5 to 10 real tools already in production. Target: validate that score thresholds route correctly and adjust bands before broader circulation.</w:t>
      </w:r>
    </w:p>
    <w:p>
      <w:pPr>
        <w:pStyle w:val="ListParagraph"/>
        <w:numPr>
          <w:ilvl w:val="0"/>
          <w:numId w:val="2"/>
        </w:numPr>
        <w:spacing w:before="40" w:after="40"/>
      </w:pPr>
      <w:r>
        <w:rPr>
          <w:rFonts w:ascii="Arial" w:cs="Arial" w:eastAsia="Arial" w:hAnsi="Arial"/>
          <w:b w:val="false"/>
          <w:bCs w:val="false"/>
          <w:color w:val="1a1a1a"/>
          <w:sz w:val="20"/>
          <w:szCs w:val="20"/>
        </w:rPr>
        <w:t xml:space="preserve">Defining the tool registry: required fields, maintenance responsibility, and integration with existing IT asset management or CMDB systems.</w:t>
      </w:r>
    </w:p>
    <w:p>
      <w:pPr>
        <w:pStyle w:val="ListParagraph"/>
        <w:numPr>
          <w:ilvl w:val="0"/>
          <w:numId w:val="2"/>
        </w:numPr>
        <w:spacing w:before="40" w:after="40"/>
      </w:pPr>
      <w:r>
        <w:rPr>
          <w:rFonts w:ascii="Arial" w:cs="Arial" w:eastAsia="Arial" w:hAnsi="Arial"/>
          <w:b w:val="false"/>
          <w:bCs w:val="false"/>
          <w:color w:val="1a1a1a"/>
          <w:sz w:val="20"/>
          <w:szCs w:val="20"/>
        </w:rPr>
        <w:t xml:space="preserve">Defining the post-production monitoring cadence: self-certification process for Pilot tools, automated re-scan schedule for Deploy tools, formal review calendar for Escalate tools.</w:t>
      </w:r>
    </w:p>
    <w:p>
      <w:pPr>
        <w:spacing w:before="120" w:after="0"/>
      </w:pPr>
      <w:r>
        <w:t xml:space="preserve"/>
      </w:r>
    </w:p>
    <w:p>
      <w:pPr>
        <w:spacing w:before="40" w:after="16"/>
      </w:pPr>
      <w:r>
        <w:rPr>
          <w:rFonts w:ascii="Arial" w:cs="Arial" w:eastAsia="Arial" w:hAnsi="Arial"/>
          <w:b/>
          <w:bCs/>
          <w:color w:val="B71C1C"/>
          <w:sz w:val="18"/>
          <w:szCs w:val="18"/>
        </w:rPr>
        <w:t xml:space="preserve">Required Before v1.0</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Build the Pilot Self-Assessment checklist — a tiered self-assessment whose length scales with the tool's score within the PILOT band (approximately 8-10 questions at score 3, 18-20 at score 5). The Beneficence question in particular must do real work: not just 'who benefits?' but 'what specific problem does this tool solve, and how would the owner know if it stopped solving it?' This checklist is referenced throughout the framework and does not yet exist. It is the single most important remaining deliverable.</w:t>
      </w:r>
    </w:p>
    <w:p>
      <w:pPr>
        <w:pStyle w:val="ListParagraph"/>
        <w:numPr>
          <w:ilvl w:val="0"/>
          <w:numId w:val="2"/>
        </w:numPr>
        <w:spacing w:before="40" w:after="40"/>
      </w:pPr>
      <w:r>
        <w:rPr>
          <w:rFonts w:ascii="Arial" w:cs="Arial" w:eastAsia="Arial" w:hAnsi="Arial"/>
          <w:b w:val="false"/>
          <w:bCs w:val="false"/>
          <w:color w:val="1a1a1a"/>
          <w:sz w:val="20"/>
          <w:szCs w:val="20"/>
        </w:rPr>
        <w:t xml:space="preserve">Faculty governance notification — share with faculty senate or equivalent body. Given the pedagogy escalation conditions, faculty awareness is a prerequisite for institutional adoption, not a courtesy.</w:t>
      </w:r>
    </w:p>
    <w:p>
      <w:pPr>
        <w:pStyle w:val="ListParagraph"/>
        <w:numPr>
          <w:ilvl w:val="0"/>
          <w:numId w:val="2"/>
        </w:numPr>
        <w:spacing w:before="40" w:after="40"/>
      </w:pPr>
      <w:r>
        <w:rPr>
          <w:rFonts w:ascii="Arial" w:cs="Arial" w:eastAsia="Arial" w:hAnsi="Arial"/>
          <w:b w:val="false"/>
          <w:bCs w:val="false"/>
          <w:color w:val="1a1a1a"/>
          <w:sz w:val="20"/>
          <w:szCs w:val="20"/>
        </w:rPr>
        <w:t xml:space="preserve">Legal and compliance review — General Counsel and Research Compliance must review the sign-off language, data handling requirements, and escalation conditions involving regulated data before this becomes policy.</w:t>
      </w:r>
    </w:p>
    <w:p>
      <w:pPr>
        <w:pStyle w:val="ListParagraph"/>
        <w:numPr>
          <w:ilvl w:val="0"/>
          <w:numId w:val="2"/>
        </w:numPr>
        <w:spacing w:before="40" w:after="40"/>
      </w:pPr>
      <w:r>
        <w:rPr>
          <w:rFonts w:ascii="Arial" w:cs="Arial" w:eastAsia="Arial" w:hAnsi="Arial"/>
          <w:b w:val="false"/>
          <w:bCs w:val="false"/>
          <w:color w:val="1a1a1a"/>
          <w:sz w:val="20"/>
          <w:szCs w:val="20"/>
        </w:rPr>
        <w:t xml:space="preserve">Alignment review — map framework requirements against existing institutional data governance policy, information security standards, and acceptable use policy. Identify and resolve conflicts before publication.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Pilot with one department — run the full framework against a real team before broad rollout. Capture what breaks, what is unclear, and what takes too long. Use findings to refine the Pilot Self-Assessment.</w:t>
      </w:r>
    </w:p>
    <w:p>
      <w:pPr>
        <w:pStyle w:val="ListParagraph"/>
        <w:numPr>
          <w:ilvl w:val="0"/>
          <w:numId w:val="2"/>
        </w:numPr>
        <w:spacing w:before="40" w:after="40"/>
      </w:pPr>
      <w:r>
        <w:rPr>
          <w:rFonts w:ascii="Arial" w:cs="Arial" w:eastAsia="Arial" w:hAnsi="Arial"/>
          <w:b w:val="false"/>
          <w:bCs w:val="false"/>
          <w:color w:val="1a1a1a"/>
          <w:sz w:val="20"/>
          <w:szCs w:val="20"/>
        </w:rPr>
        <w:t xml:space="preserve">CIO or institutional IT leadership sign-off — formal approval required before this document is published as policy.</w:t>
      </w:r>
    </w:p>
    <w:p>
      <w:pPr>
        <w:pStyle w:val="ListParagraph"/>
        <w:numPr>
          <w:ilvl w:val="0"/>
          <w:numId w:val="2"/>
        </w:numPr>
        <w:spacing w:before="40" w:after="40"/>
      </w:pPr>
      <w:r>
        <w:rPr>
          <w:rFonts w:ascii="Arial" w:cs="Arial" w:eastAsia="Arial" w:hAnsi="Arial"/>
          <w:b w:val="false"/>
          <w:bCs w:val="false"/>
          <w:color w:val="1a1a1a"/>
          <w:sz w:val="20"/>
          <w:szCs w:val="20"/>
        </w:rPr>
        <w:t xml:space="preserve">Build a proper References section with full citations for EDUCAUSE AI Ethical Guidelines (2025), EDUCAUSE AI Governance Action Plan (2024), the EDTech Magazine / EDUCAUSE 9% statistic, and each framework in the lineage section. Required for EDUCAUSE Review submission. Not required for internal v0.1 circulation.</w:t>
      </w:r>
    </w:p>
    <w:p>
      <w:pPr>
        <w:spacing w:before="120" w:after="0"/>
      </w:pPr>
      <w:r>
        <w:t xml:space="preserve"/>
      </w:r>
    </w:p>
    <w:p>
      <w:pPr>
        <w:spacing w:before="40" w:after="16"/>
      </w:pPr>
      <w:r>
        <w:rPr>
          <w:rFonts w:ascii="Arial" w:cs="Arial" w:eastAsia="Arial" w:hAnsi="Arial"/>
          <w:b/>
          <w:bCs/>
          <w:color w:val="1a1a1a"/>
          <w:sz w:val="18"/>
          <w:szCs w:val="18"/>
        </w:rPr>
        <w:t xml:space="preserve">Post-v1.0 Publication Goals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Develop a companion case study documenting the institutional implementation: which tools were stress-tested, what scores they received, what the rubric got right and wrong, and what thresholds were adjusted. A framework presented with a real case study is substantially more compelling for EDUCAUSE publication or conference presentation than a framework presented alone.</w:t>
      </w:r>
    </w:p>
    <w:p>
      <w:pPr>
        <w:pStyle w:val="ListParagraph"/>
        <w:numPr>
          <w:ilvl w:val="0"/>
          <w:numId w:val="2"/>
        </w:numPr>
        <w:spacing w:before="40" w:after="40"/>
      </w:pPr>
      <w:r>
        <w:rPr>
          <w:rFonts w:ascii="Arial" w:cs="Arial" w:eastAsia="Arial" w:hAnsi="Arial"/>
          <w:b w:val="false"/>
          <w:bCs w:val="false"/>
          <w:color w:val="1a1a1a"/>
          <w:sz w:val="20"/>
          <w:szCs w:val="20"/>
        </w:rPr>
        <w:t xml:space="preserve">Consider submitting to EDUCAUSE Review or presenting at the EDUCAUSE Annual Conference once v1.0 is complete and the case study exists.</w:t>
      </w:r>
    </w:p>
    <w:p>
      <w:pPr>
        <w:spacing w:before="80" w:after="0"/>
      </w:pPr>
      <w:r>
        <w:t xml:space="preserve"/>
      </w:r>
    </w:p>
    <w:p>
      <w:pPr>
        <w:spacing w:before="40" w:after="16"/>
      </w:pPr>
      <w:r>
        <w:rPr>
          <w:rFonts w:ascii="Arial" w:cs="Arial" w:eastAsia="Arial" w:hAnsi="Arial"/>
          <w:b/>
          <w:bCs/>
          <w:color w:val="1a1a1a"/>
          <w:sz w:val="18"/>
          <w:szCs w:val="18"/>
        </w:rPr>
        <w:t xml:space="preserve">Versioning</w:t>
      </w:r>
    </w:p>
    <w:p>
      <w:pPr>
        <w:spacing w:before="40" w:after="0"/>
      </w:pPr>
      <w:r>
        <w:t xml:space="preserve"/>
      </w:r>
    </w:p>
    <w:p>
      <w:pPr>
        <w:spacing w:before="60" w:after="60"/>
      </w:pPr>
      <w:r>
        <w:rPr>
          <w:rFonts w:ascii="Arial" w:cs="Arial" w:eastAsia="Arial" w:hAnsi="Arial"/>
          <w:color w:val="1a1a1a"/>
          <w:sz w:val="20"/>
          <w:szCs w:val="20"/>
        </w:rPr>
        <w:t xml:space="preserve">This document is v0.1. It advances to v1.0 when: the Pilot Self-Assessment checklist is complete, the stress-test is done and thresholds are validated, the tool registry structure is defined, legal and faculty governance reviews are complete, the department pilot is complete, and CIO sign-off is obtained. After v1.0, the framework is reviewed annually or when a material change in AI tooling, institutional policy, or applicable regulation warrants an update.</w:t>
      </w:r>
    </w:p>
    <w:p>
      <w:pPr>
        <w:spacing w:before="200" w:after="0"/>
      </w:pPr>
      <w:r>
        <w:t xml:space="preserve"/>
      </w:r>
    </w:p>
    <w:p>
      <w:pPr>
        <w:pBdr>
          <w:bottom w:val="single" w:color="6B1A29" w:sz="4" w:space="6"/>
        </w:pBdr>
        <w:spacing w:before="320" w:after="120"/>
      </w:pPr>
      <w:r>
        <w:rPr>
          <w:rFonts w:ascii="Arial" w:cs="Arial" w:eastAsia="Arial" w:hAnsi="Arial"/>
          <w:b/>
          <w:bCs/>
          <w:color w:val="6B1A29"/>
          <w:sz w:val="24"/>
          <w:szCs w:val="24"/>
        </w:rPr>
        <w:t xml:space="preserve">Document Preparation Notice</w:t>
      </w:r>
    </w:p>
    <w:p>
      <w:pPr>
        <w:spacing w:before="60" w:after="60"/>
      </w:pPr>
      <w:r>
        <w:rPr>
          <w:rFonts w:ascii="Arial" w:cs="Arial" w:eastAsia="Arial" w:hAnsi="Arial"/>
          <w:color w:val="1a1a1a"/>
          <w:sz w:val="20"/>
          <w:szCs w:val="20"/>
        </w:rPr>
        <w:t xml:space="preserve">This document was prepared collaboratively by institutional IT staff and an AI assistant (Anthropic Claude). The frameworks, decisions, institutional context, and editorial judgment reflected in this document are those of institutional IT leadership. AI was used to assist with research synthesis, drafting, and formatting. All content has been reviewed and approved by a human author prior to distribution.</w:t>
      </w:r>
    </w:p>
    <w:p>
      <w:pPr>
        <w:spacing w:before="80" w:after="0"/>
      </w:pPr>
      <w:r>
        <w:t xml:space="preserve"/>
      </w:r>
    </w:p>
    <w:p>
      <w:pPr>
        <w:spacing w:before="60" w:after="60"/>
      </w:pPr>
      <w:r>
        <w:rPr>
          <w:rFonts w:ascii="Arial" w:cs="Arial" w:eastAsia="Arial" w:hAnsi="Arial"/>
          <w:i/>
          <w:iCs/>
          <w:color w:val="1a1a1a"/>
          <w:sz w:val="20"/>
          <w:szCs w:val="20"/>
        </w:rPr>
        <w:t xml:space="preserve">This document is a living draft. It does not constitute legal advice, official institutional policy, or a final governance determination. Direct questions to the Office of the CIO or institutional IT governance body.</w:t>
      </w:r>
    </w:p>
    <w:p>
      <w:pPr>
        <w:spacing w:before="120" w:after="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1A29" w:sz="4" w:space="6"/>
      </w:pBdr>
      <w:tabs>
        <w:tab w:val="right" w:pos="9026"/>
      </w:tabs>
    </w:pPr>
    <w:r>
      <w:rPr>
        <w:rFonts w:ascii="Arial" w:cs="Arial" w:eastAsia="Arial" w:hAnsi="Arial"/>
        <w:color w:val="888888"/>
        <w:sz w:val="16"/>
        <w:szCs w:val="16"/>
      </w:rPr>
      <w:t xml:space="preserve">Institutional IT  |  Office of the CIO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A29" w:sz="6" w:space="6"/>
      </w:pBdr>
    </w:pPr>
    <w:r>
      <w:rPr>
        <w:rFonts w:ascii="Arial" w:cs="Arial" w:eastAsia="Arial" w:hAnsi="Arial"/>
        <w:b/>
        <w:bCs/>
        <w:color w:val="6B1A29"/>
        <w:sz w:val="18"/>
        <w:szCs w:val="18"/>
      </w:rPr>
      <w:t xml:space="preserve">AI PRODUCTION READINESS FRAMEWORK  </w:t>
    </w:r>
    <w:r>
      <w:rPr>
        <w:rFonts w:ascii="Arial" w:cs="Arial" w:eastAsia="Arial" w:hAnsi="Arial"/>
        <w:color w:val="888888"/>
        <w:sz w:val="18"/>
        <w:szCs w:val="18"/>
      </w:rPr>
      <w:t xml:space="preserve">v0.1 Draft  |  Higher Education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2026-02-28T23:24:30.815Z</dcterms:created>
  <dcterms:modified xsi:type="dcterms:W3CDTF">2026-02-28T23:24:30.816Z</dcterms:modified>
</cp:coreProperties>
</file>

<file path=docProps/custom.xml><?xml version="1.0" encoding="utf-8"?>
<Properties xmlns="http://schemas.openxmlformats.org/officeDocument/2006/custom-properties" xmlns:vt="http://schemas.openxmlformats.org/officeDocument/2006/docPropsVTypes"/>
</file>