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2E923F6A" w:rsidR="00A5401F" w:rsidRDefault="00C36669" w:rsidP="005401F5">
      <w:pPr>
        <w:jc w:val="center"/>
        <w:rPr>
          <w:rFonts w:eastAsia="黑体"/>
          <w:sz w:val="44"/>
          <w:vertAlign w:val="superscript"/>
        </w:rPr>
      </w:pPr>
      <w:r w:rsidRPr="00C36669">
        <w:rPr>
          <w:rFonts w:eastAsia="黑体" w:hint="eastAsia"/>
          <w:sz w:val="44"/>
        </w:rPr>
        <w:t>基于</w:t>
      </w:r>
      <w:r w:rsidR="00D02FA0">
        <w:rPr>
          <w:rFonts w:eastAsia="黑体" w:hint="eastAsia"/>
          <w:sz w:val="44"/>
        </w:rPr>
        <w:t>遗传</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07D29D50" w:rsidR="00A5401F" w:rsidRDefault="00A5401F" w:rsidP="005401F5">
      <w:pPr>
        <w:ind w:leftChars="200" w:left="420" w:rightChars="200" w:right="420"/>
        <w:rPr>
          <w:sz w:val="18"/>
        </w:rPr>
      </w:pPr>
      <w:r>
        <w:rPr>
          <w:rFonts w:eastAsia="黑体" w:hint="eastAsia"/>
          <w:sz w:val="18"/>
        </w:rPr>
        <w:t>摘要：</w:t>
      </w:r>
      <w:r w:rsidR="008418C8" w:rsidRPr="008418C8">
        <w:rPr>
          <w:rFonts w:hint="eastAsia"/>
          <w:sz w:val="18"/>
        </w:rPr>
        <w:t>随着智能电网和智能家居技术的发展，非侵入式负荷监测（</w:t>
      </w:r>
      <w:r w:rsidR="008418C8" w:rsidRPr="008418C8">
        <w:rPr>
          <w:rFonts w:hint="eastAsia"/>
          <w:sz w:val="18"/>
        </w:rPr>
        <w:t>NILM</w:t>
      </w:r>
      <w:r w:rsidR="008418C8" w:rsidRPr="008418C8">
        <w:rPr>
          <w:rFonts w:hint="eastAsia"/>
          <w:sz w:val="18"/>
        </w:rPr>
        <w:t>）已成为一种重要的能效管理手段。本文提出了一种基于单目标遗传算法的非侵入式负荷监测方法，针对电流的概率质量函数（</w:t>
      </w:r>
      <w:r w:rsidR="008418C8" w:rsidRPr="008418C8">
        <w:rPr>
          <w:rFonts w:hint="eastAsia"/>
          <w:sz w:val="18"/>
        </w:rPr>
        <w:t>PMF</w:t>
      </w:r>
      <w:r w:rsidR="008418C8" w:rsidRPr="008418C8">
        <w:rPr>
          <w:rFonts w:hint="eastAsia"/>
          <w:sz w:val="18"/>
        </w:rPr>
        <w:t>）进行电器工作状态的识别，并通过组合优化优化电流分配。实验结果表明，该方法能够准确识别多个电器的工作状态，优化电流分配，有效提高负荷预测精度，为智能电力系统中的负荷优化与调度提供了可靠的支持。</w:t>
      </w:r>
    </w:p>
    <w:p w14:paraId="23AD038A" w14:textId="6A189AA2"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937338">
        <w:rPr>
          <w:rFonts w:hint="eastAsia"/>
          <w:sz w:val="18"/>
        </w:rPr>
        <w:t>遗传算法</w:t>
      </w:r>
    </w:p>
    <w:p w14:paraId="3F6D98AE" w14:textId="77777777" w:rsidR="00A5401F" w:rsidRDefault="00A5401F" w:rsidP="00B2646B">
      <w:pPr>
        <w:ind w:rightChars="200" w:right="420"/>
        <w:rPr>
          <w:sz w:val="18"/>
        </w:rPr>
      </w:pPr>
    </w:p>
    <w:p w14:paraId="6A8712FD" w14:textId="60B72065" w:rsidR="00A5401F" w:rsidRPr="00F87D65" w:rsidRDefault="00474DAA" w:rsidP="00D96446">
      <w:pPr>
        <w:pStyle w:val="a7"/>
        <w:outlineLvl w:val="0"/>
        <w:rPr>
          <w:sz w:val="30"/>
          <w:szCs w:val="30"/>
        </w:rPr>
      </w:pPr>
      <w:r w:rsidRPr="00474DAA">
        <w:rPr>
          <w:sz w:val="30"/>
          <w:szCs w:val="30"/>
        </w:rPr>
        <w:t>Research on Non-Intrusive Load Identification Method Based on Genetic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370DC4D1"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F0677" w:rsidRPr="008F0677">
        <w:rPr>
          <w:sz w:val="18"/>
          <w:szCs w:val="18"/>
        </w:rPr>
        <w:t>With the development of smart grids and smart home technologies, Non-Intrusive Load Monitoring (NILM) has become an important energy management technique. This paper proposes a Non-Intrusive Load Monitoring method based on a single-objective genetic algorithm, which identifies appliance operational states by analyzing the Probability Mass Function (PMF) of current and optimizes current distribution through combinatorial optimization. Experimental results demonstrate that this method accurately identifies the operational states of multiple appliances, optimizes current distribution, and significantly improves load prediction accuracy, providing reliable support for load optimization and scheduling in smart power systems</w:t>
      </w:r>
      <w:r w:rsidR="0080450D" w:rsidRPr="0080450D">
        <w:rPr>
          <w:sz w:val="18"/>
          <w:szCs w:val="18"/>
        </w:rPr>
        <w:t>.</w:t>
      </w:r>
    </w:p>
    <w:p w14:paraId="0F3FD197" w14:textId="56BE46CB"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A2257F" w:rsidRPr="00A2257F">
        <w:rPr>
          <w:sz w:val="18"/>
          <w:szCs w:val="18"/>
          <w:lang w:val="en-GB"/>
        </w:rPr>
        <w:t>Load Identification</w:t>
      </w:r>
      <w:r w:rsidRPr="00905648">
        <w:rPr>
          <w:sz w:val="18"/>
          <w:szCs w:val="18"/>
          <w:lang w:val="en-GB"/>
        </w:rPr>
        <w:t>；</w:t>
      </w:r>
      <w:r w:rsidR="008E66D5" w:rsidRPr="008E66D5">
        <w:rPr>
          <w:sz w:val="18"/>
          <w:szCs w:val="18"/>
        </w:rPr>
        <w:t>Genetic Algorithm</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67231D27"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D56A1D">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8C3E88">
        <w:rPr>
          <w:rFonts w:hint="eastAsia"/>
        </w:rPr>
        <w:t xml:space="preserve">, </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D56A1D">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近年来，随着智能电表的大规模部署以及计算智能、机器学习等算法的广泛应用，非侵入式负荷监测引起了学术界与工业界的共同关注。</w:t>
      </w:r>
    </w:p>
    <w:p w14:paraId="399E09C4" w14:textId="75741472" w:rsidR="00C71379" w:rsidRPr="00C71379" w:rsidRDefault="00CF6ACB" w:rsidP="00C2368E">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D56A1D">
        <w:rPr>
          <w:vertAlign w:val="superscript"/>
        </w:rPr>
        <w:t>[3]</w:t>
      </w:r>
      <w:r w:rsidR="005817BA" w:rsidRPr="005817BA">
        <w:rPr>
          <w:vertAlign w:val="superscript"/>
        </w:rPr>
        <w:fldChar w:fldCharType="end"/>
      </w:r>
      <w:r w:rsidRPr="00CF6ACB">
        <w:rPr>
          <w:rFonts w:hint="eastAsia"/>
        </w:rPr>
        <w:t>。</w:t>
      </w:r>
      <w:r w:rsidR="006205AC" w:rsidRPr="006205AC">
        <w:rPr>
          <w:rFonts w:hint="eastAsia"/>
        </w:rPr>
        <w:t>典型的</w:t>
      </w:r>
      <w:r w:rsidR="006205AC" w:rsidRPr="006205AC">
        <w:rPr>
          <w:rFonts w:hint="eastAsia"/>
        </w:rPr>
        <w:t xml:space="preserve"> NILM </w:t>
      </w:r>
      <w:r w:rsidR="006205AC" w:rsidRPr="006205AC">
        <w:rPr>
          <w:rFonts w:hint="eastAsia"/>
        </w:rPr>
        <w:t>框架包括五个阶段：</w:t>
      </w:r>
      <w:r w:rsidR="006205AC" w:rsidRPr="006205AC">
        <w:rPr>
          <w:rFonts w:hint="eastAsia"/>
        </w:rPr>
        <w:t xml:space="preserve"> </w:t>
      </w:r>
      <w:r w:rsidR="006205AC" w:rsidRPr="006205AC">
        <w:rPr>
          <w:rFonts w:hint="eastAsia"/>
        </w:rPr>
        <w:t>数据采集和预处理、特征提取、通过学习过程识别负荷以及需求方管理。由于</w:t>
      </w:r>
      <w:r w:rsidR="006205AC" w:rsidRPr="006205AC">
        <w:rPr>
          <w:rFonts w:hint="eastAsia"/>
        </w:rPr>
        <w:t xml:space="preserve"> NILM </w:t>
      </w:r>
      <w:r w:rsidR="006205AC" w:rsidRPr="006205AC">
        <w:rPr>
          <w:rFonts w:hint="eastAsia"/>
        </w:rPr>
        <w:t>架构依赖于汇总数据，因此在整个分解过程中计算量很大</w:t>
      </w:r>
      <w:r w:rsidR="00C2368E" w:rsidRPr="00C2368E">
        <w:rPr>
          <w:vertAlign w:val="superscript"/>
        </w:rPr>
        <w:fldChar w:fldCharType="begin"/>
      </w:r>
      <w:r w:rsidR="00C2368E" w:rsidRPr="00C2368E">
        <w:rPr>
          <w:vertAlign w:val="superscript"/>
        </w:rPr>
        <w:instrText xml:space="preserve"> </w:instrText>
      </w:r>
      <w:r w:rsidR="00C2368E" w:rsidRPr="00C2368E">
        <w:rPr>
          <w:rFonts w:hint="eastAsia"/>
          <w:vertAlign w:val="superscript"/>
        </w:rPr>
        <w:instrText>REF _Ref182008820 \r \h</w:instrText>
      </w:r>
      <w:r w:rsidR="00C2368E" w:rsidRPr="00C2368E">
        <w:rPr>
          <w:vertAlign w:val="superscript"/>
        </w:rPr>
        <w:instrText xml:space="preserve"> </w:instrText>
      </w:r>
      <w:r w:rsidR="00C2368E">
        <w:rPr>
          <w:vertAlign w:val="superscript"/>
        </w:rPr>
        <w:instrText xml:space="preserve"> \* MERGEFORMAT </w:instrText>
      </w:r>
      <w:r w:rsidR="00C2368E" w:rsidRPr="00C2368E">
        <w:rPr>
          <w:vertAlign w:val="superscript"/>
        </w:rPr>
      </w:r>
      <w:r w:rsidR="00C2368E" w:rsidRPr="00C2368E">
        <w:rPr>
          <w:vertAlign w:val="superscript"/>
        </w:rPr>
        <w:fldChar w:fldCharType="separate"/>
      </w:r>
      <w:r w:rsidR="00D56A1D">
        <w:rPr>
          <w:vertAlign w:val="superscript"/>
        </w:rPr>
        <w:t>[4]</w:t>
      </w:r>
      <w:r w:rsidR="00C2368E" w:rsidRPr="00C2368E">
        <w:rPr>
          <w:vertAlign w:val="superscript"/>
        </w:rPr>
        <w:fldChar w:fldCharType="end"/>
      </w:r>
      <w:r w:rsidR="00C2368E">
        <w:rPr>
          <w:rFonts w:hint="eastAsia"/>
        </w:rPr>
        <w:t>。</w:t>
      </w:r>
    </w:p>
    <w:p w14:paraId="7EE967B6" w14:textId="567DD9AA" w:rsidR="0061788E" w:rsidRPr="001D3AE0" w:rsidRDefault="004F5320" w:rsidP="00CC7ABF">
      <w:pPr>
        <w:pStyle w:val="3"/>
      </w:pPr>
      <w:r w:rsidRPr="004F5320">
        <w:rPr>
          <w:rFonts w:hint="eastAsia"/>
        </w:rPr>
        <w:t>最优化方法是目前解决非侵入负荷分解与识别问题的主流方法之一。因此，本文提出了一种基于单目标遗传算法（</w:t>
      </w:r>
      <w:r w:rsidR="00A42136" w:rsidRPr="00A42136">
        <w:t>Genetic Algorithm</w:t>
      </w:r>
      <w:r w:rsidR="00A42136" w:rsidRPr="00A42136">
        <w:rPr>
          <w:rFonts w:hint="eastAsia"/>
        </w:rPr>
        <w:t xml:space="preserve"> </w:t>
      </w:r>
      <w:r w:rsidR="00E97913">
        <w:rPr>
          <w:rFonts w:hint="eastAsia"/>
        </w:rPr>
        <w:t xml:space="preserve">, </w:t>
      </w:r>
      <w:r w:rsidRPr="004F5320">
        <w:rPr>
          <w:rFonts w:hint="eastAsia"/>
        </w:rPr>
        <w:t>GA</w:t>
      </w:r>
      <w:r w:rsidRPr="004F5320">
        <w:rPr>
          <w:rFonts w:hint="eastAsia"/>
        </w:rPr>
        <w:t>）的非侵入式负荷监测方法。该方法通过分析电流的概率质量函数（</w:t>
      </w:r>
      <w:r w:rsidRPr="004F5320">
        <w:rPr>
          <w:rFonts w:hint="eastAsia"/>
        </w:rPr>
        <w:t>Probability Mass Function, PMF</w:t>
      </w:r>
      <w:r w:rsidRPr="004F5320">
        <w:rPr>
          <w:rFonts w:hint="eastAsia"/>
        </w:rPr>
        <w:t>）来识别电器的</w:t>
      </w:r>
      <w:r w:rsidR="00D45616">
        <w:rPr>
          <w:rFonts w:hint="eastAsia"/>
        </w:rPr>
        <w:t>不同</w:t>
      </w:r>
      <w:r w:rsidRPr="004F5320">
        <w:rPr>
          <w:rFonts w:hint="eastAsia"/>
        </w:rPr>
        <w:t>工作状态，并利用单目标遗传算法将电流作</w:t>
      </w:r>
      <w:r w:rsidRPr="004F5320">
        <w:rPr>
          <w:rFonts w:hint="eastAsia"/>
        </w:rPr>
        <w:lastRenderedPageBreak/>
        <w:t>为目标进行组合优化。这种方法不仅提高了电器状态识别的精度，还优化了电流的分配，为智能电力系统中的负荷预测和优化提供了新的思路</w:t>
      </w:r>
      <w:r w:rsidR="00B811ED" w:rsidRPr="00B811ED">
        <w:rPr>
          <w:rFonts w:hint="eastAsia"/>
        </w:rPr>
        <w:t>。</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6FD7EB88"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F05505" w:rsidRPr="00F05505">
        <w:rPr>
          <w:rFonts w:hint="eastAsia"/>
          <w:szCs w:val="21"/>
        </w:rPr>
        <w:t>在该优化问题中，通过单目标遗传算法（如</w:t>
      </w:r>
      <w:r w:rsidR="00F05505" w:rsidRPr="00F05505">
        <w:rPr>
          <w:rFonts w:hint="eastAsia"/>
          <w:szCs w:val="21"/>
        </w:rPr>
        <w:t>GA</w:t>
      </w:r>
      <w:r w:rsidR="00F05505" w:rsidRPr="00F05505">
        <w:rPr>
          <w:rFonts w:hint="eastAsia"/>
          <w:szCs w:val="21"/>
        </w:rPr>
        <w:t>）或粒子群优化算法（如</w:t>
      </w:r>
      <w:r w:rsidR="00F05505" w:rsidRPr="00F05505">
        <w:rPr>
          <w:rFonts w:hint="eastAsia"/>
          <w:szCs w:val="21"/>
        </w:rPr>
        <w:t>PSO</w:t>
      </w:r>
      <w:r w:rsidR="00F05505" w:rsidRPr="00F05505">
        <w:rPr>
          <w:rFonts w:hint="eastAsia"/>
          <w:szCs w:val="21"/>
        </w:rPr>
        <w:t>）等单目标优化方法，可以获得最优状态组合解。这种方法有效地解决了电流优化问题，并能够为智能电力系统中的负荷预测和优化提供更加精确的解决方案。</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E3FCE38"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w:t>
      </w:r>
      <w:r w:rsidR="00CF7D88">
        <w:rPr>
          <w:rFonts w:hint="eastAsia"/>
          <w:szCs w:val="21"/>
        </w:rPr>
        <w:t>并</w:t>
      </w:r>
      <w:r>
        <w:rPr>
          <w:rFonts w:hint="eastAsia"/>
          <w:szCs w:val="21"/>
        </w:rPr>
        <w:t>采用</w:t>
      </w:r>
      <w:r w:rsidR="00CF7D88">
        <w:rPr>
          <w:rFonts w:hint="eastAsia"/>
          <w:szCs w:val="21"/>
        </w:rPr>
        <w:t>单目标</w:t>
      </w:r>
      <w:r>
        <w:rPr>
          <w:rFonts w:hint="eastAsia"/>
          <w:szCs w:val="21"/>
        </w:rPr>
        <w:t>遗传算法</w:t>
      </w:r>
      <w:r w:rsidR="00CF7D88">
        <w:rPr>
          <w:rFonts w:hint="eastAsia"/>
          <w:szCs w:val="21"/>
        </w:rPr>
        <w:t>对电流组合</w:t>
      </w:r>
      <w:r w:rsidR="00345E34">
        <w:rPr>
          <w:rFonts w:hint="eastAsia"/>
          <w:szCs w:val="21"/>
        </w:rPr>
        <w:t>进行</w:t>
      </w:r>
      <w:r w:rsidR="00CF7D88">
        <w:rPr>
          <w:rFonts w:hint="eastAsia"/>
          <w:szCs w:val="21"/>
        </w:rPr>
        <w:t>组合优化</w:t>
      </w:r>
      <w:r w:rsidR="00345E34">
        <w:rPr>
          <w:rFonts w:hint="eastAsia"/>
          <w:szCs w:val="21"/>
        </w:rPr>
        <w:t>，</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3099EEBA" w:rsidR="009D23A5" w:rsidRDefault="00D84CED" w:rsidP="009D23A5">
      <w:pPr>
        <w:ind w:firstLineChars="200" w:firstLine="420"/>
        <w:jc w:val="center"/>
      </w:pPr>
      <w:r>
        <w:rPr>
          <w:noProof/>
        </w:rPr>
        <w:drawing>
          <wp:inline distT="0" distB="0" distL="0" distR="0" wp14:anchorId="1C682213" wp14:editId="26EA453D">
            <wp:extent cx="2231534" cy="2166524"/>
            <wp:effectExtent l="0" t="0" r="0" b="5715"/>
            <wp:docPr id="285421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1402" name=""/>
                    <pic:cNvPicPr/>
                  </pic:nvPicPr>
                  <pic:blipFill>
                    <a:blip r:embed="rId10"/>
                    <a:stretch>
                      <a:fillRect/>
                    </a:stretch>
                  </pic:blipFill>
                  <pic:spPr>
                    <a:xfrm>
                      <a:off x="0" y="0"/>
                      <a:ext cx="2242088" cy="2176771"/>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 xml:space="preserve">-Intrusive Load Monitoring Problem-Solving </w:t>
      </w:r>
      <w:bookmarkStart w:id="1" w:name="_Hlk182000831"/>
      <w:r w:rsidR="007E15F9" w:rsidRPr="007E15F9">
        <w:rPr>
          <w:b/>
          <w:sz w:val="15"/>
          <w:szCs w:val="15"/>
        </w:rPr>
        <w:t>Process</w:t>
      </w:r>
      <w:bookmarkEnd w:id="1"/>
    </w:p>
    <w:p w14:paraId="60E4F38D" w14:textId="275580B8"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w:t>
      </w:r>
      <w:r w:rsidR="00D45074">
        <w:rPr>
          <w:rFonts w:hint="eastAsia"/>
          <w:szCs w:val="21"/>
        </w:rPr>
        <w:t>的</w:t>
      </w:r>
      <w:r w:rsidR="00390228">
        <w:rPr>
          <w:rFonts w:hint="eastAsia"/>
          <w:szCs w:val="21"/>
        </w:rPr>
        <w:t>识别准确率</w:t>
      </w:r>
      <w:r w:rsidR="008B12F4">
        <w:rPr>
          <w:rFonts w:hint="eastAsia"/>
          <w:szCs w:val="21"/>
        </w:rPr>
        <w:t>；最后将数据集中每条测试数据的总电流作为</w:t>
      </w:r>
      <w:r w:rsidR="00F05B0D">
        <w:rPr>
          <w:rFonts w:hint="eastAsia"/>
          <w:szCs w:val="21"/>
        </w:rPr>
        <w:t>遗传</w:t>
      </w:r>
      <w:r w:rsidR="008B12F4">
        <w:rPr>
          <w:rFonts w:hint="eastAsia"/>
          <w:szCs w:val="21"/>
        </w:rPr>
        <w:t>算法的输入，通过</w:t>
      </w:r>
      <w:r w:rsidR="00F05B0D">
        <w:rPr>
          <w:rFonts w:hint="eastAsia"/>
          <w:szCs w:val="21"/>
        </w:rPr>
        <w:t>遗传</w:t>
      </w:r>
      <w:r w:rsidR="008B12F4">
        <w:rPr>
          <w:rFonts w:hint="eastAsia"/>
          <w:szCs w:val="21"/>
        </w:rPr>
        <w:t>算法求解出最优</w:t>
      </w:r>
      <w:r w:rsidR="000E4748">
        <w:rPr>
          <w:rFonts w:hint="eastAsia"/>
          <w:szCs w:val="21"/>
        </w:rPr>
        <w:t>电流</w:t>
      </w:r>
      <w:r w:rsidR="008B12F4">
        <w:rPr>
          <w:rFonts w:hint="eastAsia"/>
          <w:szCs w:val="21"/>
        </w:rPr>
        <w:t>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506133C7"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w:t>
      </w:r>
      <w:r w:rsidR="008556C6" w:rsidRPr="008556C6">
        <w:rPr>
          <w:rFonts w:hint="eastAsia"/>
          <w:szCs w:val="21"/>
        </w:rPr>
        <w:lastRenderedPageBreak/>
        <w:t>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2EE2186"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m:rPr>
                          <m:sty m:val="p"/>
                        </m:rPr>
                        <w:rPr>
                          <w:rFonts w:ascii="Cambria Math" w:hAnsi="Cambria Math" w:hint="eastAsia"/>
                          <w:szCs w:val="21"/>
                        </w:rPr>
                        <m:t>其他</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=2]</m:t>
        </m:r>
      </m:oMath>
      <w:r w:rsidR="007927D9">
        <w:rPr>
          <w:rFonts w:hint="eastAsia"/>
          <w:szCs w:val="21"/>
        </w:rPr>
        <w:t>=0.25</w:t>
      </w:r>
      <w:r w:rsidR="007927D9">
        <w:rPr>
          <w:rFonts w:hint="eastAsia"/>
          <w:szCs w:val="21"/>
        </w:rPr>
        <w:t>，所以设备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000000" w:rsidP="0021572C">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1I</m:t>
                </m:r>
              </m:sub>
            </m:sSub>
            <m:r>
              <w:rPr>
                <w:rFonts w:ascii="Cambria Math" w:hAnsi="Cambria Math"/>
                <w:szCs w:val="21"/>
              </w:rPr>
              <m:t>=0.4A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2I</m:t>
                </m:r>
              </m:sub>
            </m:sSub>
            <m:r>
              <w:rPr>
                <w:rFonts w:ascii="Cambria Math" w:hAnsi="Cambria Math"/>
                <w:szCs w:val="21"/>
              </w:rPr>
              <m:t>=1.2A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3I</m:t>
                </m:r>
              </m:sub>
            </m:sSub>
            <m:r>
              <w:rPr>
                <w:rFonts w:ascii="Cambria Math" w:hAnsi="Cambria Math"/>
                <w:szCs w:val="21"/>
              </w:rPr>
              <m:t>=6.4A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b/>
          <w:sz w:val="15"/>
          <w:szCs w:val="15"/>
          <w:vertAlign w:val="subscript"/>
        </w:rPr>
      </w:pPr>
      <w:r w:rsidRPr="00454300">
        <w:rPr>
          <w:rFonts w:hint="eastAsia"/>
          <w:b/>
          <w:sz w:val="15"/>
          <w:szCs w:val="15"/>
        </w:rPr>
        <w:t>Fig.</w:t>
      </w:r>
      <w:proofErr w:type="gramStart"/>
      <w:r w:rsidR="00E27CF7">
        <w:rPr>
          <w:rFonts w:hint="eastAsia"/>
          <w:b/>
          <w:sz w:val="15"/>
          <w:szCs w:val="15"/>
        </w:rPr>
        <w:t>3</w:t>
      </w:r>
      <w:r w:rsidRPr="00454300">
        <w:rPr>
          <w:rFonts w:hint="eastAsia"/>
          <w:b/>
          <w:sz w:val="15"/>
          <w:szCs w:val="15"/>
        </w:rPr>
        <w:t xml:space="preserve">  </w:t>
      </w:r>
      <w:r w:rsidR="005D09D2" w:rsidRPr="005D09D2">
        <w:rPr>
          <w:b/>
          <w:sz w:val="15"/>
          <w:szCs w:val="15"/>
        </w:rPr>
        <w:t>The</w:t>
      </w:r>
      <w:proofErr w:type="gramEnd"/>
      <w:r w:rsidR="005D09D2" w:rsidRPr="005D09D2">
        <w:rPr>
          <w:b/>
          <w:sz w:val="15"/>
          <w:szCs w:val="15"/>
        </w:rPr>
        <w:t xml:space="preserve"> number of times the dishwasher can be operated with different currents</w:t>
      </w:r>
    </w:p>
    <w:p w14:paraId="608BF4D1" w14:textId="696C7BFF"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.3  </w:t>
      </w:r>
      <w:r w:rsidR="003415E8">
        <w:rPr>
          <w:rFonts w:eastAsia="黑体" w:hint="eastAsia"/>
          <w:bCs/>
        </w:rPr>
        <w:t>遗传算法</w:t>
      </w:r>
      <w:r w:rsidR="00170540">
        <w:rPr>
          <w:rFonts w:ascii="黑体" w:eastAsia="黑体" w:hint="eastAsia"/>
          <w:bCs/>
        </w:rPr>
        <w:t>设置</w:t>
      </w:r>
    </w:p>
    <w:p w14:paraId="5FF68BA2" w14:textId="61FF1377" w:rsidR="00F16882" w:rsidRDefault="00D92A2E" w:rsidP="00F16882">
      <w:pPr>
        <w:ind w:firstLineChars="200" w:firstLine="420"/>
        <w:rPr>
          <w:szCs w:val="21"/>
        </w:rPr>
      </w:pPr>
      <w:r w:rsidRPr="00D92A2E">
        <w:rPr>
          <w:rFonts w:hint="eastAsia"/>
          <w:szCs w:val="21"/>
        </w:rPr>
        <w:t>本文采用单目标遗传算法（</w:t>
      </w:r>
      <w:r w:rsidRPr="00D92A2E">
        <w:rPr>
          <w:rFonts w:hint="eastAsia"/>
          <w:szCs w:val="21"/>
        </w:rPr>
        <w:t>GA</w:t>
      </w:r>
      <w:r w:rsidRPr="00D92A2E">
        <w:rPr>
          <w:rFonts w:hint="eastAsia"/>
          <w:szCs w:val="21"/>
        </w:rPr>
        <w:t>）进行组合优化求解。遗传算法通过选择、交叉和变异操作对种群进行优化，并有效地寻找最优解。在本文中，单目标遗传算法被用于优化电流分配，以识别电器的工作状态。以下介绍单目标遗传算法在本研究中的具体设置。</w:t>
      </w:r>
    </w:p>
    <w:p w14:paraId="31A9916D" w14:textId="227AD751" w:rsidR="002A79DA" w:rsidRDefault="000D2C41" w:rsidP="005910B3">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proofErr w:type="gramStart"/>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w:t>
      </w:r>
      <w:proofErr w:type="gramEnd"/>
      <w:r w:rsidR="00223932" w:rsidRPr="00223932">
        <w:rPr>
          <w:rFonts w:eastAsia="黑体"/>
          <w:b/>
          <w:sz w:val="15"/>
          <w:szCs w:val="15"/>
        </w:rPr>
        <w:t xml:space="preserve"> operating conditions and their electrical characteristics</w:t>
      </w:r>
    </w:p>
    <w:tbl>
      <w:tblPr>
        <w:tblW w:w="2613"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tblGrid>
      <w:tr w:rsidR="00E3450E" w14:paraId="0EA011FE" w14:textId="77777777" w:rsidTr="00E3450E">
        <w:trPr>
          <w:cantSplit/>
          <w:trHeight w:val="284"/>
          <w:jc w:val="center"/>
        </w:trPr>
        <w:tc>
          <w:tcPr>
            <w:tcW w:w="1156" w:type="pct"/>
            <w:tcBorders>
              <w:top w:val="single" w:sz="8" w:space="0" w:color="auto"/>
              <w:bottom w:val="single" w:sz="4" w:space="0" w:color="auto"/>
            </w:tcBorders>
            <w:vAlign w:val="center"/>
          </w:tcPr>
          <w:p w14:paraId="61000C0C" w14:textId="77777777" w:rsidR="00E3450E" w:rsidRDefault="00E3450E" w:rsidP="00E240D5">
            <w:pPr>
              <w:jc w:val="center"/>
              <w:rPr>
                <w:sz w:val="15"/>
              </w:rPr>
            </w:pPr>
            <w:r>
              <w:rPr>
                <w:rFonts w:hint="eastAsia"/>
                <w:sz w:val="15"/>
              </w:rPr>
              <w:t>ID</w:t>
            </w:r>
          </w:p>
        </w:tc>
        <w:tc>
          <w:tcPr>
            <w:tcW w:w="1487" w:type="pct"/>
            <w:tcBorders>
              <w:top w:val="single" w:sz="8" w:space="0" w:color="auto"/>
              <w:bottom w:val="single" w:sz="4" w:space="0" w:color="auto"/>
              <w:right w:val="single" w:sz="12" w:space="0" w:color="FFFFFF"/>
            </w:tcBorders>
            <w:vAlign w:val="center"/>
          </w:tcPr>
          <w:p w14:paraId="59DB12FB" w14:textId="203A240E" w:rsidR="00E3450E" w:rsidRDefault="00E3450E" w:rsidP="00E240D5">
            <w:pPr>
              <w:jc w:val="center"/>
              <w:rPr>
                <w:sz w:val="15"/>
              </w:rPr>
            </w:pPr>
            <w:r>
              <w:rPr>
                <w:rFonts w:hint="eastAsia"/>
                <w:sz w:val="15"/>
              </w:rPr>
              <w:t>状态</w:t>
            </w:r>
          </w:p>
        </w:tc>
        <w:tc>
          <w:tcPr>
            <w:tcW w:w="2357" w:type="pct"/>
            <w:tcBorders>
              <w:top w:val="single" w:sz="8" w:space="0" w:color="auto"/>
              <w:bottom w:val="single" w:sz="4" w:space="0" w:color="auto"/>
              <w:right w:val="single" w:sz="12" w:space="0" w:color="FFFFFF"/>
            </w:tcBorders>
            <w:vAlign w:val="center"/>
          </w:tcPr>
          <w:p w14:paraId="4474133B" w14:textId="242BC5C0" w:rsidR="00E3450E" w:rsidRDefault="00E3450E" w:rsidP="00E240D5">
            <w:pPr>
              <w:jc w:val="center"/>
              <w:rPr>
                <w:sz w:val="15"/>
              </w:rPr>
            </w:pPr>
            <w:r>
              <w:rPr>
                <w:rFonts w:hint="eastAsia"/>
                <w:sz w:val="15"/>
              </w:rPr>
              <w:t>电流</w:t>
            </w:r>
            <w:r>
              <w:rPr>
                <w:rFonts w:hint="eastAsia"/>
                <w:sz w:val="15"/>
              </w:rPr>
              <w:t>(I/A)</w:t>
            </w:r>
          </w:p>
        </w:tc>
      </w:tr>
      <w:tr w:rsidR="00E3450E" w14:paraId="2AC37C48" w14:textId="77777777" w:rsidTr="00E3450E">
        <w:trPr>
          <w:cantSplit/>
          <w:trHeight w:val="284"/>
          <w:jc w:val="center"/>
        </w:trPr>
        <w:tc>
          <w:tcPr>
            <w:tcW w:w="1156" w:type="pct"/>
            <w:vMerge w:val="restart"/>
            <w:tcBorders>
              <w:top w:val="single" w:sz="4" w:space="0" w:color="auto"/>
              <w:bottom w:val="nil"/>
            </w:tcBorders>
            <w:vAlign w:val="center"/>
          </w:tcPr>
          <w:p w14:paraId="2DDEFD43" w14:textId="77777777" w:rsidR="00E3450E" w:rsidRDefault="00E3450E" w:rsidP="00E240D5">
            <w:pPr>
              <w:jc w:val="center"/>
              <w:rPr>
                <w:sz w:val="15"/>
              </w:rPr>
            </w:pPr>
            <w:r>
              <w:rPr>
                <w:rFonts w:hint="eastAsia"/>
                <w:sz w:val="15"/>
              </w:rPr>
              <w:t>DWE</w:t>
            </w:r>
          </w:p>
        </w:tc>
        <w:tc>
          <w:tcPr>
            <w:tcW w:w="1487" w:type="pct"/>
            <w:tcBorders>
              <w:top w:val="single" w:sz="4" w:space="0" w:color="auto"/>
              <w:bottom w:val="nil"/>
            </w:tcBorders>
            <w:vAlign w:val="center"/>
          </w:tcPr>
          <w:p w14:paraId="5EA6D1D3" w14:textId="39375C4B" w:rsidR="00E3450E" w:rsidRDefault="00E3450E" w:rsidP="00E240D5">
            <w:pPr>
              <w:jc w:val="center"/>
              <w:rPr>
                <w:sz w:val="15"/>
              </w:rPr>
            </w:pPr>
            <w:r>
              <w:rPr>
                <w:rFonts w:hint="eastAsia"/>
                <w:sz w:val="15"/>
              </w:rPr>
              <w:t>0</w:t>
            </w:r>
          </w:p>
        </w:tc>
        <w:tc>
          <w:tcPr>
            <w:tcW w:w="2357" w:type="pct"/>
            <w:tcBorders>
              <w:top w:val="single" w:sz="4" w:space="0" w:color="auto"/>
              <w:bottom w:val="nil"/>
            </w:tcBorders>
            <w:vAlign w:val="center"/>
          </w:tcPr>
          <w:p w14:paraId="40CC675D" w14:textId="48CFE49F" w:rsidR="00E3450E" w:rsidRDefault="00E3450E" w:rsidP="00E240D5">
            <w:pPr>
              <w:jc w:val="center"/>
              <w:rPr>
                <w:sz w:val="15"/>
              </w:rPr>
            </w:pPr>
            <w:r>
              <w:rPr>
                <w:rFonts w:hint="eastAsia"/>
                <w:sz w:val="15"/>
              </w:rPr>
              <w:t>0</w:t>
            </w:r>
          </w:p>
        </w:tc>
      </w:tr>
      <w:tr w:rsidR="00E3450E" w14:paraId="5B2110AA" w14:textId="77777777" w:rsidTr="00E3450E">
        <w:trPr>
          <w:cantSplit/>
          <w:trHeight w:val="284"/>
          <w:jc w:val="center"/>
        </w:trPr>
        <w:tc>
          <w:tcPr>
            <w:tcW w:w="1156" w:type="pct"/>
            <w:vMerge/>
            <w:tcBorders>
              <w:top w:val="nil"/>
              <w:bottom w:val="nil"/>
            </w:tcBorders>
            <w:vAlign w:val="center"/>
          </w:tcPr>
          <w:p w14:paraId="6E571537" w14:textId="77777777" w:rsidR="00E3450E" w:rsidRDefault="00E3450E" w:rsidP="00E240D5">
            <w:pPr>
              <w:jc w:val="center"/>
              <w:rPr>
                <w:sz w:val="15"/>
              </w:rPr>
            </w:pPr>
          </w:p>
        </w:tc>
        <w:tc>
          <w:tcPr>
            <w:tcW w:w="1487" w:type="pct"/>
            <w:tcBorders>
              <w:top w:val="nil"/>
              <w:bottom w:val="nil"/>
            </w:tcBorders>
            <w:vAlign w:val="center"/>
          </w:tcPr>
          <w:p w14:paraId="1DD5DE36" w14:textId="1BDC851C" w:rsidR="00E3450E" w:rsidRDefault="00E3450E" w:rsidP="00E240D5">
            <w:pPr>
              <w:jc w:val="center"/>
              <w:rPr>
                <w:sz w:val="15"/>
              </w:rPr>
            </w:pPr>
            <w:r>
              <w:rPr>
                <w:rFonts w:hint="eastAsia"/>
                <w:sz w:val="15"/>
              </w:rPr>
              <w:t>1</w:t>
            </w:r>
          </w:p>
        </w:tc>
        <w:tc>
          <w:tcPr>
            <w:tcW w:w="2357" w:type="pct"/>
            <w:tcBorders>
              <w:top w:val="nil"/>
              <w:bottom w:val="nil"/>
            </w:tcBorders>
            <w:vAlign w:val="center"/>
          </w:tcPr>
          <w:p w14:paraId="30BA8194" w14:textId="0888BFEF" w:rsidR="00E3450E" w:rsidRDefault="00E3450E" w:rsidP="00E240D5">
            <w:pPr>
              <w:jc w:val="center"/>
              <w:rPr>
                <w:sz w:val="15"/>
              </w:rPr>
            </w:pPr>
            <w:r>
              <w:rPr>
                <w:rFonts w:hint="eastAsia"/>
                <w:sz w:val="15"/>
              </w:rPr>
              <w:t>0.4</w:t>
            </w:r>
          </w:p>
        </w:tc>
      </w:tr>
      <w:tr w:rsidR="00E3450E" w14:paraId="56551D99" w14:textId="77777777" w:rsidTr="00E3450E">
        <w:trPr>
          <w:cantSplit/>
          <w:trHeight w:val="284"/>
          <w:jc w:val="center"/>
        </w:trPr>
        <w:tc>
          <w:tcPr>
            <w:tcW w:w="1156" w:type="pct"/>
            <w:vMerge/>
            <w:tcBorders>
              <w:top w:val="nil"/>
              <w:bottom w:val="nil"/>
            </w:tcBorders>
            <w:vAlign w:val="center"/>
          </w:tcPr>
          <w:p w14:paraId="4E3B4ED4" w14:textId="77777777" w:rsidR="00E3450E" w:rsidRDefault="00E3450E" w:rsidP="00E240D5">
            <w:pPr>
              <w:jc w:val="center"/>
              <w:rPr>
                <w:sz w:val="15"/>
              </w:rPr>
            </w:pPr>
          </w:p>
        </w:tc>
        <w:tc>
          <w:tcPr>
            <w:tcW w:w="1487" w:type="pct"/>
            <w:tcBorders>
              <w:top w:val="nil"/>
              <w:bottom w:val="nil"/>
            </w:tcBorders>
            <w:vAlign w:val="center"/>
          </w:tcPr>
          <w:p w14:paraId="544BEE73" w14:textId="75EB512B" w:rsidR="00E3450E" w:rsidRDefault="00E3450E" w:rsidP="00E240D5">
            <w:pPr>
              <w:jc w:val="center"/>
              <w:rPr>
                <w:sz w:val="15"/>
              </w:rPr>
            </w:pPr>
            <w:r>
              <w:rPr>
                <w:rFonts w:hint="eastAsia"/>
                <w:sz w:val="15"/>
              </w:rPr>
              <w:t>2</w:t>
            </w:r>
          </w:p>
        </w:tc>
        <w:tc>
          <w:tcPr>
            <w:tcW w:w="2357" w:type="pct"/>
            <w:tcBorders>
              <w:top w:val="nil"/>
              <w:bottom w:val="nil"/>
            </w:tcBorders>
            <w:vAlign w:val="center"/>
          </w:tcPr>
          <w:p w14:paraId="00078241" w14:textId="706BE8DA" w:rsidR="00E3450E" w:rsidRDefault="00E3450E" w:rsidP="00E240D5">
            <w:pPr>
              <w:jc w:val="center"/>
              <w:rPr>
                <w:sz w:val="15"/>
              </w:rPr>
            </w:pPr>
            <w:r>
              <w:rPr>
                <w:rFonts w:hint="eastAsia"/>
                <w:sz w:val="15"/>
              </w:rPr>
              <w:t>1.2</w:t>
            </w:r>
          </w:p>
        </w:tc>
      </w:tr>
      <w:tr w:rsidR="00E3450E" w14:paraId="297A44C0" w14:textId="77777777" w:rsidTr="00E3450E">
        <w:trPr>
          <w:cantSplit/>
          <w:trHeight w:val="284"/>
          <w:jc w:val="center"/>
        </w:trPr>
        <w:tc>
          <w:tcPr>
            <w:tcW w:w="1156" w:type="pct"/>
            <w:vMerge/>
            <w:tcBorders>
              <w:top w:val="nil"/>
              <w:bottom w:val="single" w:sz="4" w:space="0" w:color="auto"/>
            </w:tcBorders>
            <w:vAlign w:val="center"/>
          </w:tcPr>
          <w:p w14:paraId="5B561149" w14:textId="77777777" w:rsidR="00E3450E" w:rsidRDefault="00E3450E" w:rsidP="00E240D5">
            <w:pPr>
              <w:jc w:val="center"/>
              <w:rPr>
                <w:sz w:val="15"/>
              </w:rPr>
            </w:pPr>
          </w:p>
        </w:tc>
        <w:tc>
          <w:tcPr>
            <w:tcW w:w="1487" w:type="pct"/>
            <w:tcBorders>
              <w:top w:val="nil"/>
              <w:bottom w:val="single" w:sz="4" w:space="0" w:color="auto"/>
            </w:tcBorders>
            <w:vAlign w:val="center"/>
          </w:tcPr>
          <w:p w14:paraId="0FE1FEDB" w14:textId="5F95E232" w:rsidR="00E3450E" w:rsidRDefault="00E3450E" w:rsidP="00E240D5">
            <w:pPr>
              <w:jc w:val="center"/>
              <w:rPr>
                <w:sz w:val="15"/>
              </w:rPr>
            </w:pPr>
            <w:r>
              <w:rPr>
                <w:rFonts w:hint="eastAsia"/>
                <w:sz w:val="15"/>
              </w:rPr>
              <w:t>3</w:t>
            </w:r>
          </w:p>
        </w:tc>
        <w:tc>
          <w:tcPr>
            <w:tcW w:w="2357" w:type="pct"/>
            <w:tcBorders>
              <w:top w:val="nil"/>
              <w:bottom w:val="single" w:sz="4" w:space="0" w:color="auto"/>
            </w:tcBorders>
            <w:vAlign w:val="center"/>
          </w:tcPr>
          <w:p w14:paraId="6BFAC929" w14:textId="02ECD792" w:rsidR="00E3450E" w:rsidRDefault="00E3450E" w:rsidP="00E240D5">
            <w:pPr>
              <w:jc w:val="center"/>
              <w:rPr>
                <w:sz w:val="15"/>
              </w:rPr>
            </w:pPr>
            <w:r>
              <w:rPr>
                <w:rFonts w:hint="eastAsia"/>
                <w:sz w:val="15"/>
              </w:rPr>
              <w:t>6.4</w:t>
            </w:r>
          </w:p>
        </w:tc>
      </w:tr>
      <w:tr w:rsidR="00E3450E" w14:paraId="5E7566AA" w14:textId="77777777" w:rsidTr="00E3450E">
        <w:trPr>
          <w:cantSplit/>
          <w:trHeight w:val="284"/>
          <w:jc w:val="center"/>
        </w:trPr>
        <w:tc>
          <w:tcPr>
            <w:tcW w:w="1156" w:type="pct"/>
            <w:vMerge w:val="restart"/>
            <w:tcBorders>
              <w:top w:val="single" w:sz="4" w:space="0" w:color="auto"/>
              <w:bottom w:val="nil"/>
            </w:tcBorders>
            <w:vAlign w:val="center"/>
          </w:tcPr>
          <w:p w14:paraId="33C29084" w14:textId="726B505D" w:rsidR="00E3450E" w:rsidRDefault="00E3450E" w:rsidP="00E240D5">
            <w:pPr>
              <w:jc w:val="center"/>
              <w:rPr>
                <w:sz w:val="15"/>
              </w:rPr>
            </w:pPr>
            <w:bookmarkStart w:id="3" w:name="_Hlk181996628"/>
            <w:r>
              <w:rPr>
                <w:rFonts w:hint="eastAsia"/>
                <w:sz w:val="15"/>
              </w:rPr>
              <w:t>TVE</w:t>
            </w:r>
            <w:bookmarkEnd w:id="3"/>
          </w:p>
        </w:tc>
        <w:tc>
          <w:tcPr>
            <w:tcW w:w="1487" w:type="pct"/>
            <w:tcBorders>
              <w:top w:val="single" w:sz="4" w:space="0" w:color="auto"/>
              <w:bottom w:val="nil"/>
            </w:tcBorders>
            <w:vAlign w:val="center"/>
          </w:tcPr>
          <w:p w14:paraId="4A2EF517" w14:textId="62C39FF3" w:rsidR="00E3450E" w:rsidRDefault="00E3450E" w:rsidP="00387BAC">
            <w:pPr>
              <w:jc w:val="center"/>
              <w:rPr>
                <w:sz w:val="15"/>
              </w:rPr>
            </w:pPr>
            <w:r>
              <w:rPr>
                <w:rFonts w:hint="eastAsia"/>
                <w:sz w:val="15"/>
              </w:rPr>
              <w:t>0</w:t>
            </w:r>
          </w:p>
        </w:tc>
        <w:tc>
          <w:tcPr>
            <w:tcW w:w="2357" w:type="pct"/>
            <w:tcBorders>
              <w:top w:val="single" w:sz="4" w:space="0" w:color="auto"/>
              <w:bottom w:val="nil"/>
            </w:tcBorders>
            <w:vAlign w:val="center"/>
          </w:tcPr>
          <w:p w14:paraId="067D44BB" w14:textId="539F238A" w:rsidR="00E3450E" w:rsidRDefault="00E3450E" w:rsidP="00E240D5">
            <w:pPr>
              <w:jc w:val="center"/>
              <w:rPr>
                <w:sz w:val="15"/>
              </w:rPr>
            </w:pPr>
            <w:r>
              <w:rPr>
                <w:rFonts w:hint="eastAsia"/>
                <w:sz w:val="15"/>
              </w:rPr>
              <w:t>0</w:t>
            </w:r>
          </w:p>
        </w:tc>
      </w:tr>
      <w:tr w:rsidR="00E3450E" w14:paraId="36A1722E" w14:textId="77777777" w:rsidTr="00E3450E">
        <w:trPr>
          <w:cantSplit/>
          <w:trHeight w:val="284"/>
          <w:jc w:val="center"/>
        </w:trPr>
        <w:tc>
          <w:tcPr>
            <w:tcW w:w="1156" w:type="pct"/>
            <w:vMerge/>
            <w:tcBorders>
              <w:top w:val="nil"/>
              <w:bottom w:val="single" w:sz="4" w:space="0" w:color="auto"/>
            </w:tcBorders>
            <w:vAlign w:val="center"/>
          </w:tcPr>
          <w:p w14:paraId="3B0B9415" w14:textId="77777777" w:rsidR="00E3450E" w:rsidRDefault="00E3450E" w:rsidP="00E240D5">
            <w:pPr>
              <w:jc w:val="center"/>
              <w:rPr>
                <w:sz w:val="15"/>
              </w:rPr>
            </w:pPr>
          </w:p>
        </w:tc>
        <w:tc>
          <w:tcPr>
            <w:tcW w:w="1487" w:type="pct"/>
            <w:tcBorders>
              <w:top w:val="nil"/>
              <w:bottom w:val="single" w:sz="4" w:space="0" w:color="auto"/>
            </w:tcBorders>
            <w:vAlign w:val="center"/>
          </w:tcPr>
          <w:p w14:paraId="463CB994" w14:textId="05DC217F" w:rsidR="00E3450E" w:rsidRDefault="00E3450E" w:rsidP="00387BAC">
            <w:pPr>
              <w:jc w:val="center"/>
              <w:rPr>
                <w:sz w:val="15"/>
              </w:rPr>
            </w:pPr>
            <w:r>
              <w:rPr>
                <w:rFonts w:hint="eastAsia"/>
                <w:sz w:val="15"/>
              </w:rPr>
              <w:t>1</w:t>
            </w:r>
          </w:p>
        </w:tc>
        <w:tc>
          <w:tcPr>
            <w:tcW w:w="2357" w:type="pct"/>
            <w:tcBorders>
              <w:top w:val="nil"/>
              <w:bottom w:val="single" w:sz="4" w:space="0" w:color="auto"/>
            </w:tcBorders>
            <w:vAlign w:val="center"/>
          </w:tcPr>
          <w:p w14:paraId="22A83557" w14:textId="31DEA175" w:rsidR="00E3450E" w:rsidRDefault="00E3450E" w:rsidP="00E240D5">
            <w:pPr>
              <w:jc w:val="center"/>
              <w:rPr>
                <w:sz w:val="15"/>
              </w:rPr>
            </w:pPr>
            <w:r>
              <w:rPr>
                <w:rFonts w:hint="eastAsia"/>
                <w:sz w:val="15"/>
              </w:rPr>
              <w:t>0.5</w:t>
            </w:r>
          </w:p>
        </w:tc>
      </w:tr>
      <w:tr w:rsidR="00E3450E" w14:paraId="43C3745E" w14:textId="77777777" w:rsidTr="00E3450E">
        <w:trPr>
          <w:cantSplit/>
          <w:trHeight w:val="284"/>
          <w:jc w:val="center"/>
        </w:trPr>
        <w:tc>
          <w:tcPr>
            <w:tcW w:w="1156" w:type="pct"/>
            <w:vMerge w:val="restart"/>
            <w:tcBorders>
              <w:top w:val="single" w:sz="4" w:space="0" w:color="auto"/>
            </w:tcBorders>
            <w:vAlign w:val="center"/>
          </w:tcPr>
          <w:p w14:paraId="58F061D2" w14:textId="236E0B60" w:rsidR="00E3450E" w:rsidRDefault="00E3450E" w:rsidP="00E240D5">
            <w:pPr>
              <w:jc w:val="center"/>
              <w:rPr>
                <w:sz w:val="15"/>
              </w:rPr>
            </w:pPr>
            <w:r>
              <w:rPr>
                <w:rFonts w:hint="eastAsia"/>
                <w:sz w:val="15"/>
              </w:rPr>
              <w:t>FRE</w:t>
            </w:r>
          </w:p>
        </w:tc>
        <w:tc>
          <w:tcPr>
            <w:tcW w:w="1487" w:type="pct"/>
            <w:tcBorders>
              <w:top w:val="single" w:sz="4" w:space="0" w:color="auto"/>
            </w:tcBorders>
            <w:vAlign w:val="center"/>
          </w:tcPr>
          <w:p w14:paraId="18E59BDE" w14:textId="79C438AC" w:rsidR="00E3450E" w:rsidRDefault="00E3450E" w:rsidP="00E240D5">
            <w:pPr>
              <w:jc w:val="center"/>
              <w:rPr>
                <w:sz w:val="15"/>
              </w:rPr>
            </w:pPr>
            <w:r>
              <w:rPr>
                <w:rFonts w:hint="eastAsia"/>
                <w:sz w:val="15"/>
              </w:rPr>
              <w:t>0</w:t>
            </w:r>
          </w:p>
        </w:tc>
        <w:tc>
          <w:tcPr>
            <w:tcW w:w="2357" w:type="pct"/>
            <w:tcBorders>
              <w:top w:val="single" w:sz="4" w:space="0" w:color="auto"/>
            </w:tcBorders>
            <w:vAlign w:val="center"/>
          </w:tcPr>
          <w:p w14:paraId="3B9960AD" w14:textId="343CF9A3" w:rsidR="00E3450E" w:rsidRDefault="00E3450E" w:rsidP="00E240D5">
            <w:pPr>
              <w:jc w:val="center"/>
              <w:rPr>
                <w:sz w:val="15"/>
              </w:rPr>
            </w:pPr>
            <w:r>
              <w:rPr>
                <w:rFonts w:hint="eastAsia"/>
                <w:sz w:val="15"/>
              </w:rPr>
              <w:t>0</w:t>
            </w:r>
          </w:p>
        </w:tc>
      </w:tr>
      <w:tr w:rsidR="00E3450E" w14:paraId="10DE4DA0" w14:textId="77777777" w:rsidTr="00E3450E">
        <w:trPr>
          <w:cantSplit/>
          <w:trHeight w:val="284"/>
          <w:jc w:val="center"/>
        </w:trPr>
        <w:tc>
          <w:tcPr>
            <w:tcW w:w="1156" w:type="pct"/>
            <w:vMerge/>
            <w:vAlign w:val="center"/>
          </w:tcPr>
          <w:p w14:paraId="5ADED8F2" w14:textId="77777777" w:rsidR="00E3450E" w:rsidRDefault="00E3450E" w:rsidP="00E240D5">
            <w:pPr>
              <w:jc w:val="center"/>
              <w:rPr>
                <w:sz w:val="15"/>
              </w:rPr>
            </w:pPr>
          </w:p>
        </w:tc>
        <w:tc>
          <w:tcPr>
            <w:tcW w:w="1487" w:type="pct"/>
            <w:vAlign w:val="center"/>
          </w:tcPr>
          <w:p w14:paraId="3235B24D" w14:textId="77BF226E" w:rsidR="00E3450E" w:rsidRDefault="00E3450E" w:rsidP="00E240D5">
            <w:pPr>
              <w:jc w:val="center"/>
              <w:rPr>
                <w:sz w:val="15"/>
              </w:rPr>
            </w:pPr>
            <w:r>
              <w:rPr>
                <w:rFonts w:hint="eastAsia"/>
                <w:sz w:val="15"/>
              </w:rPr>
              <w:t>1</w:t>
            </w:r>
          </w:p>
        </w:tc>
        <w:tc>
          <w:tcPr>
            <w:tcW w:w="2357" w:type="pct"/>
            <w:vAlign w:val="center"/>
          </w:tcPr>
          <w:p w14:paraId="51060D83" w14:textId="188788DA" w:rsidR="00E3450E" w:rsidRDefault="00E3450E" w:rsidP="00E240D5">
            <w:pPr>
              <w:jc w:val="center"/>
              <w:rPr>
                <w:sz w:val="15"/>
              </w:rPr>
            </w:pPr>
            <w:r>
              <w:rPr>
                <w:rFonts w:hint="eastAsia"/>
                <w:sz w:val="15"/>
              </w:rPr>
              <w:t>1.3</w:t>
            </w:r>
          </w:p>
        </w:tc>
      </w:tr>
      <w:tr w:rsidR="00E3450E" w14:paraId="1AB9787C" w14:textId="77777777" w:rsidTr="00E3450E">
        <w:trPr>
          <w:cantSplit/>
          <w:trHeight w:val="284"/>
          <w:jc w:val="center"/>
        </w:trPr>
        <w:tc>
          <w:tcPr>
            <w:tcW w:w="1156" w:type="pct"/>
            <w:vMerge/>
            <w:vAlign w:val="center"/>
          </w:tcPr>
          <w:p w14:paraId="78CE5924" w14:textId="77777777" w:rsidR="00E3450E" w:rsidRDefault="00E3450E" w:rsidP="00E240D5">
            <w:pPr>
              <w:jc w:val="center"/>
              <w:rPr>
                <w:sz w:val="15"/>
              </w:rPr>
            </w:pPr>
          </w:p>
        </w:tc>
        <w:tc>
          <w:tcPr>
            <w:tcW w:w="1487" w:type="pct"/>
            <w:vAlign w:val="center"/>
          </w:tcPr>
          <w:p w14:paraId="1F3EC24D" w14:textId="1B0A4C4D" w:rsidR="00E3450E" w:rsidRDefault="00E3450E" w:rsidP="00E240D5">
            <w:pPr>
              <w:jc w:val="center"/>
              <w:rPr>
                <w:sz w:val="15"/>
              </w:rPr>
            </w:pPr>
            <w:r>
              <w:rPr>
                <w:rFonts w:hint="eastAsia"/>
                <w:sz w:val="15"/>
              </w:rPr>
              <w:t>2</w:t>
            </w:r>
          </w:p>
        </w:tc>
        <w:tc>
          <w:tcPr>
            <w:tcW w:w="2357" w:type="pct"/>
            <w:vAlign w:val="center"/>
          </w:tcPr>
          <w:p w14:paraId="45B0C024" w14:textId="62F668C2" w:rsidR="00E3450E" w:rsidRDefault="00E3450E" w:rsidP="00E240D5">
            <w:pPr>
              <w:jc w:val="center"/>
              <w:rPr>
                <w:sz w:val="15"/>
              </w:rPr>
            </w:pPr>
            <w:r>
              <w:rPr>
                <w:rFonts w:hint="eastAsia"/>
                <w:sz w:val="15"/>
              </w:rPr>
              <w:t>2.2</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44891399" w:rsidR="003551C0" w:rsidRDefault="002B4DF7" w:rsidP="001F722B">
      <w:pPr>
        <w:ind w:firstLineChars="200" w:firstLine="420"/>
        <w:rPr>
          <w:szCs w:val="21"/>
        </w:rPr>
      </w:pPr>
      <w:r w:rsidRPr="002B4DF7">
        <w:rPr>
          <w:rFonts w:hint="eastAsia"/>
          <w:szCs w:val="21"/>
        </w:rPr>
        <w:t>其次需要进行适应度评估，适应度评估是遗传算法中的关键步骤，它决定了个体的生存和繁衍。在本文中，适应度函数是基于电流特征值与实际测量值之间的差异。具体来说，适应度函数计算每个个体所代表的电流特征值与实际测量值之间的欧几里得距离，距离越小，适应度越高。优化目标为电流的最小化差异。</w:t>
      </w:r>
    </w:p>
    <w:p w14:paraId="624F4D6D" w14:textId="04F484CE" w:rsidR="002E0381" w:rsidRPr="00F30439" w:rsidRDefault="00000000" w:rsidP="00727966">
      <w:pPr>
        <w:ind w:firstLineChars="200" w:firstLine="420"/>
        <w:rPr>
          <w:rFonts w:hint="eastAsia"/>
          <w:szCs w:val="21"/>
        </w:rPr>
      </w:pPr>
      <m:oMathPara>
        <m:oMath>
          <m:eqArr>
            <m:eqArrPr>
              <m:maxDist m:val="1"/>
              <m:ctrlPr>
                <w:rPr>
                  <w:rFonts w:ascii="Cambria Math" w:hAnsi="Cambria Math"/>
                  <w:i/>
                  <w:szCs w:val="21"/>
                </w:rPr>
              </m:ctrlPr>
            </m:eqArrPr>
            <m:e>
              <m:r>
                <w:rPr>
                  <w:rFonts w:ascii="Cambria Math" w:hAnsi="Cambria Math" w:hint="eastAsia"/>
                  <w:szCs w:val="21"/>
                </w:rPr>
                <m:t>f</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545DB917" w14:textId="2281C907"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w:t>
      </w:r>
      <w:r w:rsidR="00616E9D">
        <w:rPr>
          <w:rFonts w:hint="eastAsia"/>
          <w:szCs w:val="21"/>
        </w:rPr>
        <w:t>采用</w:t>
      </w:r>
      <w:r w:rsidR="00967346">
        <w:rPr>
          <w:rFonts w:hint="eastAsia"/>
          <w:szCs w:val="21"/>
        </w:rPr>
        <w:t>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27A7F348" w14:textId="6FC5FE3D" w:rsidR="00520847" w:rsidRDefault="004F58F1" w:rsidP="00212556">
      <w:pPr>
        <w:ind w:firstLineChars="200" w:firstLine="420"/>
        <w:rPr>
          <w:szCs w:val="21"/>
        </w:rPr>
      </w:pPr>
      <w:r w:rsidRPr="004F58F1">
        <w:rPr>
          <w:rFonts w:hint="eastAsia"/>
          <w:szCs w:val="21"/>
        </w:rPr>
        <w:t>然后进行适应度计算，由于遗传算法的基本原理是选择适应度较高的个体进行繁殖，因此，适应度的计算至关重要。在本文中，采用轮盘对赌法进行选择操作，该方法根据个体的适应度值进行选择，适应度越高的</w:t>
      </w:r>
      <w:proofErr w:type="gramStart"/>
      <w:r w:rsidRPr="004F58F1">
        <w:rPr>
          <w:rFonts w:hint="eastAsia"/>
          <w:szCs w:val="21"/>
        </w:rPr>
        <w:t>个</w:t>
      </w:r>
      <w:proofErr w:type="gramEnd"/>
      <w:r w:rsidRPr="004F58F1">
        <w:rPr>
          <w:rFonts w:hint="eastAsia"/>
          <w:szCs w:val="21"/>
        </w:rPr>
        <w:t>体被选中的概率越大。同时，适应度函数采用目标函数差异的倒数</w:t>
      </w:r>
      <w:r w:rsidR="006B6EA4">
        <w:rPr>
          <w:rFonts w:hint="eastAsia"/>
          <w:szCs w:val="21"/>
        </w:rPr>
        <w:t>，即式（</w:t>
      </w:r>
      <w:r w:rsidR="006B6EA4">
        <w:rPr>
          <w:rFonts w:hint="eastAsia"/>
          <w:szCs w:val="21"/>
        </w:rPr>
        <w:t>7</w:t>
      </w:r>
      <w:r w:rsidR="006B6EA4">
        <w:rPr>
          <w:rFonts w:hint="eastAsia"/>
          <w:szCs w:val="21"/>
        </w:rPr>
        <w:t>）</w:t>
      </w:r>
      <w:r w:rsidRPr="004F58F1">
        <w:rPr>
          <w:rFonts w:hint="eastAsia"/>
          <w:szCs w:val="21"/>
        </w:rPr>
        <w:t>，即电流和实际测量值之间的欧几里</w:t>
      </w:r>
      <w:proofErr w:type="gramStart"/>
      <w:r w:rsidRPr="004F58F1">
        <w:rPr>
          <w:rFonts w:hint="eastAsia"/>
          <w:szCs w:val="21"/>
        </w:rPr>
        <w:t>得距离</w:t>
      </w:r>
      <w:proofErr w:type="gramEnd"/>
      <w:r w:rsidRPr="004F58F1">
        <w:rPr>
          <w:rFonts w:hint="eastAsia"/>
          <w:szCs w:val="21"/>
        </w:rPr>
        <w:t>的倒数。距离越小，差异越小，相应的适应度越高。通过这种方式，遗传算法能够优先选择那些能够更好地优化电流匹配的个体，从而逐步逼近最优解。</w:t>
      </w:r>
    </w:p>
    <w:p w14:paraId="3A01F407" w14:textId="785A764B" w:rsidR="003313AD" w:rsidRPr="00BD0B19" w:rsidRDefault="00BD0B19" w:rsidP="00212556">
      <w:pPr>
        <w:ind w:firstLineChars="200" w:firstLine="420"/>
        <w:rPr>
          <w:szCs w:val="21"/>
        </w:rPr>
      </w:pPr>
      <m:oMathPara>
        <m:oMath>
          <m:eqArr>
            <m:eqArrPr>
              <m:maxDist m:val="1"/>
              <m:ctrlPr>
                <w:rPr>
                  <w:rFonts w:ascii="Cambria Math" w:hAnsi="Cambria Math"/>
                  <w:i/>
                  <w:szCs w:val="21"/>
                </w:rPr>
              </m:ctrlPr>
            </m:eqArrPr>
            <m:e>
              <m:r>
                <w:rPr>
                  <w:rFonts w:ascii="Cambria Math" w:hAnsi="Cambria Math" w:hint="eastAsia"/>
                  <w:szCs w:val="21"/>
                </w:rPr>
                <m:t>fitness</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hint="eastAsia"/>
                      <w:szCs w:val="21"/>
                    </w:rPr>
                    <m:t>f</m:t>
                  </m:r>
                </m:den>
              </m:f>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00660AEB" w14:textId="77777777" w:rsidR="00BD0B19" w:rsidRPr="00BD0B19" w:rsidRDefault="00BD0B19" w:rsidP="00212556">
      <w:pPr>
        <w:ind w:firstLineChars="200" w:firstLine="420"/>
        <w:rPr>
          <w:rFonts w:hint="eastAsia"/>
          <w:szCs w:val="21"/>
        </w:rPr>
      </w:pPr>
    </w:p>
    <w:p w14:paraId="09361606" w14:textId="1229C537" w:rsidR="00F16882" w:rsidRDefault="00D2751D" w:rsidP="00212556">
      <w:pPr>
        <w:ind w:firstLineChars="200" w:firstLine="420"/>
        <w:rPr>
          <w:szCs w:val="21"/>
        </w:rPr>
      </w:pPr>
      <w:r>
        <w:rPr>
          <w:rFonts w:hint="eastAsia"/>
          <w:szCs w:val="21"/>
        </w:rPr>
        <w:t>遗传算法的</w:t>
      </w:r>
      <w:r w:rsidR="00F16882">
        <w:rPr>
          <w:rFonts w:hint="eastAsia"/>
          <w:szCs w:val="21"/>
        </w:rPr>
        <w:t>具体流程图如图</w:t>
      </w:r>
      <w:r w:rsidR="00306558">
        <w:rPr>
          <w:rFonts w:hint="eastAsia"/>
          <w:szCs w:val="21"/>
        </w:rPr>
        <w:t>4</w:t>
      </w:r>
      <w:r w:rsidR="00306558">
        <w:rPr>
          <w:rFonts w:hint="eastAsia"/>
          <w:szCs w:val="21"/>
        </w:rPr>
        <w:t>：</w:t>
      </w:r>
    </w:p>
    <w:p w14:paraId="50F0B796" w14:textId="29FBD943" w:rsidR="00306558" w:rsidRDefault="004324F5" w:rsidP="004324F5">
      <w:pPr>
        <w:ind w:firstLineChars="200" w:firstLine="420"/>
        <w:jc w:val="center"/>
        <w:rPr>
          <w:rFonts w:hint="eastAsia"/>
        </w:rPr>
      </w:pPr>
      <w:r>
        <w:rPr>
          <w:noProof/>
        </w:rPr>
        <w:drawing>
          <wp:inline distT="0" distB="0" distL="0" distR="0" wp14:anchorId="1F20A523" wp14:editId="56054DE7">
            <wp:extent cx="1604742" cy="3027815"/>
            <wp:effectExtent l="0" t="0" r="0" b="1270"/>
            <wp:docPr id="2003637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37441" name=""/>
                    <pic:cNvPicPr/>
                  </pic:nvPicPr>
                  <pic:blipFill rotWithShape="1">
                    <a:blip r:embed="rId12"/>
                    <a:srcRect l="6317" r="5573" b="-194"/>
                    <a:stretch/>
                  </pic:blipFill>
                  <pic:spPr bwMode="auto">
                    <a:xfrm>
                      <a:off x="0" y="0"/>
                      <a:ext cx="1623380" cy="3062981"/>
                    </a:xfrm>
                    <a:prstGeom prst="rect">
                      <a:avLst/>
                    </a:prstGeom>
                    <a:ln>
                      <a:noFill/>
                    </a:ln>
                    <a:extLst>
                      <a:ext uri="{53640926-AAD7-44D8-BBD7-CCE9431645EC}">
                        <a14:shadowObscured xmlns:a14="http://schemas.microsoft.com/office/drawing/2010/main"/>
                      </a:ext>
                    </a:extLst>
                  </pic:spPr>
                </pic:pic>
              </a:graphicData>
            </a:graphic>
          </wp:inline>
        </w:drawing>
      </w:r>
    </w:p>
    <w:p w14:paraId="3DBFD254" w14:textId="39138D71"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sidR="00F132C9" w:rsidRPr="00F132C9">
        <w:rPr>
          <w:rFonts w:hint="eastAsia"/>
          <w:b/>
          <w:sz w:val="15"/>
          <w:szCs w:val="15"/>
        </w:rPr>
        <w:t>遗传算法的具体流程图</w:t>
      </w:r>
    </w:p>
    <w:p w14:paraId="19D0D582" w14:textId="65AB58CC" w:rsidR="00A36D70" w:rsidRPr="00D2751D" w:rsidRDefault="00306558" w:rsidP="00D2751D">
      <w:pPr>
        <w:spacing w:afterLines="50" w:after="156"/>
        <w:jc w:val="center"/>
        <w:rPr>
          <w:rFonts w:hint="eastAsia"/>
          <w:b/>
          <w:sz w:val="15"/>
          <w:szCs w:val="15"/>
          <w:vertAlign w:val="subscript"/>
        </w:rPr>
      </w:pPr>
      <w:r w:rsidRPr="00454300">
        <w:rPr>
          <w:rFonts w:hint="eastAsia"/>
          <w:b/>
          <w:sz w:val="15"/>
          <w:szCs w:val="15"/>
        </w:rPr>
        <w:t>Fig.</w:t>
      </w:r>
      <w:proofErr w:type="gramStart"/>
      <w:r>
        <w:rPr>
          <w:rFonts w:hint="eastAsia"/>
          <w:b/>
          <w:sz w:val="15"/>
          <w:szCs w:val="15"/>
        </w:rPr>
        <w:t>4</w:t>
      </w:r>
      <w:r w:rsidRPr="00454300">
        <w:rPr>
          <w:rFonts w:hint="eastAsia"/>
          <w:b/>
          <w:sz w:val="15"/>
          <w:szCs w:val="15"/>
        </w:rPr>
        <w:t xml:space="preserve">  </w:t>
      </w:r>
      <w:r w:rsidR="00F132C9" w:rsidRPr="00F132C9">
        <w:rPr>
          <w:b/>
          <w:sz w:val="15"/>
          <w:szCs w:val="15"/>
        </w:rPr>
        <w:t>The</w:t>
      </w:r>
      <w:proofErr w:type="gramEnd"/>
      <w:r w:rsidR="00F132C9" w:rsidRPr="00F132C9">
        <w:rPr>
          <w:b/>
          <w:sz w:val="15"/>
          <w:szCs w:val="15"/>
        </w:rPr>
        <w:t xml:space="preserve"> specific </w:t>
      </w:r>
      <w:r w:rsidR="00F132C9">
        <w:rPr>
          <w:rFonts w:hint="eastAsia"/>
          <w:b/>
          <w:sz w:val="15"/>
          <w:szCs w:val="15"/>
        </w:rPr>
        <w:t>p</w:t>
      </w:r>
      <w:r w:rsidR="00F132C9" w:rsidRPr="00F132C9">
        <w:rPr>
          <w:b/>
          <w:sz w:val="15"/>
          <w:szCs w:val="15"/>
        </w:rPr>
        <w:t>rocess of the genetic algorithm</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6934F1E1"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w:t>
      </w:r>
      <w:r w:rsidR="002A28F6">
        <w:rPr>
          <w:rFonts w:hint="eastAsia"/>
          <w:szCs w:val="21"/>
        </w:rPr>
        <w:t>首先</w:t>
      </w:r>
      <w:r w:rsidR="00AB1EE6">
        <w:rPr>
          <w:rFonts w:hint="eastAsia"/>
          <w:szCs w:val="21"/>
        </w:rPr>
        <w:t>对</w:t>
      </w:r>
      <w:r>
        <w:rPr>
          <w:rFonts w:hint="eastAsia"/>
          <w:szCs w:val="21"/>
        </w:rPr>
        <w:t>初始化种群数量进行设置，设置为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w:t>
      </w:r>
      <w:r w:rsidR="0087588E">
        <w:rPr>
          <w:rFonts w:hint="eastAsia"/>
          <w:szCs w:val="21"/>
        </w:rPr>
        <w:t>其次</w:t>
      </w:r>
      <w:r w:rsidR="00B64D22">
        <w:rPr>
          <w:rFonts w:hint="eastAsia"/>
          <w:szCs w:val="21"/>
        </w:rPr>
        <w:t>选取</w:t>
      </w:r>
      <w:proofErr w:type="gramStart"/>
      <w:r w:rsidR="00B64D22">
        <w:rPr>
          <w:rFonts w:hint="eastAsia"/>
          <w:szCs w:val="21"/>
        </w:rPr>
        <w:t>数据集前</w:t>
      </w:r>
      <w:r w:rsidR="00B64D22">
        <w:rPr>
          <w:rFonts w:hint="eastAsia"/>
          <w:szCs w:val="21"/>
        </w:rPr>
        <w:t>100</w:t>
      </w:r>
      <w:r w:rsidR="00016B5D">
        <w:rPr>
          <w:rFonts w:hint="eastAsia"/>
          <w:szCs w:val="21"/>
        </w:rPr>
        <w:t>0</w:t>
      </w:r>
      <w:r w:rsidR="00B64D22">
        <w:rPr>
          <w:rFonts w:hint="eastAsia"/>
          <w:szCs w:val="21"/>
        </w:rPr>
        <w:t>行</w:t>
      </w:r>
      <w:proofErr w:type="gramEnd"/>
      <w:r w:rsidR="00B64D22">
        <w:rPr>
          <w:rFonts w:hint="eastAsia"/>
          <w:szCs w:val="21"/>
        </w:rPr>
        <w:t>作为测试数据，</w:t>
      </w:r>
      <w:r w:rsidR="00C96260">
        <w:rPr>
          <w:rFonts w:hint="eastAsia"/>
          <w:szCs w:val="21"/>
        </w:rPr>
        <w:t>重复进行</w:t>
      </w:r>
      <w:r w:rsidR="00C96260">
        <w:rPr>
          <w:rFonts w:hint="eastAsia"/>
          <w:szCs w:val="21"/>
        </w:rPr>
        <w:t>10</w:t>
      </w:r>
      <w:r w:rsidR="00C96260">
        <w:rPr>
          <w:rFonts w:hint="eastAsia"/>
          <w:szCs w:val="21"/>
        </w:rPr>
        <w:t>次实验，</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w:t>
      </w:r>
      <w:r w:rsidR="001317DD">
        <w:rPr>
          <w:rFonts w:hint="eastAsia"/>
          <w:szCs w:val="21"/>
        </w:rPr>
        <w:t>实现</w:t>
      </w:r>
      <w:r w:rsidR="001317DD">
        <w:rPr>
          <w:rFonts w:hint="eastAsia"/>
          <w:szCs w:val="21"/>
        </w:rPr>
        <w:t>遗传</w:t>
      </w:r>
      <w:r w:rsidR="00546215">
        <w:rPr>
          <w:rFonts w:hint="eastAsia"/>
          <w:szCs w:val="21"/>
        </w:rPr>
        <w:t>算法</w:t>
      </w:r>
      <w:r w:rsidR="00700C3C" w:rsidRPr="00700C3C">
        <w:rPr>
          <w:rFonts w:hint="eastAsia"/>
          <w:szCs w:val="21"/>
        </w:rPr>
        <w:t>。</w:t>
      </w:r>
    </w:p>
    <w:p w14:paraId="28D630D8" w14:textId="53D5CF98" w:rsidR="003F1AF4" w:rsidRDefault="00590FA6" w:rsidP="00700C3C">
      <w:pPr>
        <w:ind w:firstLineChars="200" w:firstLine="420"/>
        <w:rPr>
          <w:szCs w:val="21"/>
        </w:rPr>
      </w:pPr>
      <w:r>
        <w:rPr>
          <w:rFonts w:hint="eastAsia"/>
          <w:szCs w:val="21"/>
        </w:rPr>
        <w:t>遗传算法</w:t>
      </w:r>
      <w:r w:rsidR="003F1AF4">
        <w:rPr>
          <w:rFonts w:hint="eastAsia"/>
          <w:szCs w:val="21"/>
        </w:rPr>
        <w:t>输入为总电流数据，输出为设备工作状态编码</w:t>
      </w:r>
      <w:r w:rsidR="00F63E26">
        <w:rPr>
          <w:rFonts w:hint="eastAsia"/>
          <w:szCs w:val="21"/>
        </w:rPr>
        <w:t>。</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08E458AC" w:rsidR="00AF24E7" w:rsidRPr="002351EA" w:rsidRDefault="00000000"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w:t>
      </w:r>
      <w:proofErr w:type="gramStart"/>
      <w:r w:rsidRPr="00EB36DF">
        <w:rPr>
          <w:rFonts w:hint="eastAsia"/>
          <w:szCs w:val="21"/>
        </w:rPr>
        <w:t>率通过</w:t>
      </w:r>
      <w:proofErr w:type="gramEnd"/>
      <w:r w:rsidRPr="00EB36DF">
        <w:rPr>
          <w:rFonts w:hint="eastAsia"/>
          <w:szCs w:val="21"/>
        </w:rPr>
        <w:t>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proofErr w:type="gramStart"/>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w:t>
      </w:r>
      <w:proofErr w:type="gramEnd"/>
      <w:r w:rsidR="00E03FBB" w:rsidRPr="00E03FBB">
        <w:rPr>
          <w:rFonts w:eastAsia="黑体"/>
          <w:b/>
          <w:sz w:val="15"/>
          <w:szCs w:val="15"/>
        </w:rPr>
        <w:t xml:space="preserve">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4D359693" w:rsidR="00852CA9" w:rsidRDefault="00080103" w:rsidP="00E240D5">
            <w:pPr>
              <w:jc w:val="center"/>
              <w:rPr>
                <w:sz w:val="15"/>
              </w:rPr>
            </w:pPr>
            <w:r>
              <w:rPr>
                <w:rFonts w:hint="eastAsia"/>
                <w:sz w:val="15"/>
              </w:rPr>
              <w:t>29</w:t>
            </w:r>
            <w:r w:rsidR="004309E8">
              <w:rPr>
                <w:rFonts w:hint="eastAsia"/>
                <w:sz w:val="15"/>
              </w:rPr>
              <w:t>%</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sz w:val="15"/>
              </w:rPr>
            </w:pPr>
            <w:r>
              <w:rPr>
                <w:rFonts w:hint="eastAsia"/>
                <w:sz w:val="15"/>
              </w:rPr>
              <w:t>2</w:t>
            </w:r>
          </w:p>
        </w:tc>
        <w:tc>
          <w:tcPr>
            <w:tcW w:w="2830" w:type="pct"/>
            <w:tcBorders>
              <w:top w:val="nil"/>
              <w:bottom w:val="nil"/>
            </w:tcBorders>
            <w:vAlign w:val="center"/>
          </w:tcPr>
          <w:p w14:paraId="010E6FB1" w14:textId="12998866" w:rsidR="00852CA9" w:rsidRDefault="00D46206" w:rsidP="00E240D5">
            <w:pPr>
              <w:jc w:val="center"/>
              <w:rPr>
                <w:sz w:val="15"/>
              </w:rPr>
            </w:pPr>
            <w:r>
              <w:rPr>
                <w:rFonts w:hint="eastAsia"/>
                <w:sz w:val="15"/>
              </w:rPr>
              <w:t>3</w:t>
            </w:r>
            <w:r w:rsidR="00016B5D">
              <w:rPr>
                <w:rFonts w:hint="eastAsia"/>
                <w:sz w:val="15"/>
              </w:rPr>
              <w:t>0</w:t>
            </w:r>
            <w:r>
              <w:rPr>
                <w:rFonts w:hint="eastAsia"/>
                <w:sz w:val="15"/>
              </w:rPr>
              <w:t>%</w:t>
            </w:r>
          </w:p>
        </w:tc>
      </w:tr>
      <w:tr w:rsidR="00852CA9" w14:paraId="20735D2A" w14:textId="77777777" w:rsidTr="00AF4686">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sz w:val="15"/>
              </w:rPr>
            </w:pPr>
            <w:r>
              <w:rPr>
                <w:rFonts w:hint="eastAsia"/>
                <w:sz w:val="15"/>
              </w:rPr>
              <w:t>3</w:t>
            </w:r>
          </w:p>
        </w:tc>
        <w:tc>
          <w:tcPr>
            <w:tcW w:w="2830" w:type="pct"/>
            <w:tcBorders>
              <w:top w:val="nil"/>
              <w:bottom w:val="nil"/>
            </w:tcBorders>
            <w:vAlign w:val="center"/>
          </w:tcPr>
          <w:p w14:paraId="24670D3B" w14:textId="1F40A402" w:rsidR="00852CA9" w:rsidRDefault="00016B5D" w:rsidP="00E240D5">
            <w:pPr>
              <w:jc w:val="center"/>
              <w:rPr>
                <w:sz w:val="15"/>
              </w:rPr>
            </w:pPr>
            <w:r>
              <w:rPr>
                <w:rFonts w:hint="eastAsia"/>
                <w:sz w:val="15"/>
              </w:rPr>
              <w:t>38</w:t>
            </w:r>
            <w:r w:rsidR="0003542D">
              <w:rPr>
                <w:rFonts w:hint="eastAsia"/>
                <w:sz w:val="15"/>
              </w:rPr>
              <w:t>%</w:t>
            </w:r>
          </w:p>
        </w:tc>
      </w:tr>
      <w:tr w:rsidR="00852CA9" w14:paraId="2DED032F" w14:textId="77777777" w:rsidTr="00F23EF3">
        <w:trPr>
          <w:cantSplit/>
          <w:trHeight w:val="284"/>
          <w:jc w:val="center"/>
        </w:trPr>
        <w:tc>
          <w:tcPr>
            <w:tcW w:w="2170" w:type="pct"/>
            <w:tcBorders>
              <w:top w:val="nil"/>
              <w:bottom w:val="nil"/>
            </w:tcBorders>
            <w:vAlign w:val="center"/>
          </w:tcPr>
          <w:p w14:paraId="41FC2B7C" w14:textId="3F8D55B5" w:rsidR="00852CA9" w:rsidRDefault="0060693E" w:rsidP="00E240D5">
            <w:pPr>
              <w:jc w:val="center"/>
              <w:rPr>
                <w:sz w:val="15"/>
              </w:rPr>
            </w:pPr>
            <w:r>
              <w:rPr>
                <w:rFonts w:hint="eastAsia"/>
                <w:sz w:val="15"/>
              </w:rPr>
              <w:t>4</w:t>
            </w:r>
          </w:p>
        </w:tc>
        <w:tc>
          <w:tcPr>
            <w:tcW w:w="2830" w:type="pct"/>
            <w:tcBorders>
              <w:top w:val="nil"/>
              <w:bottom w:val="nil"/>
            </w:tcBorders>
            <w:vAlign w:val="center"/>
          </w:tcPr>
          <w:p w14:paraId="021D0247" w14:textId="0D12AEE3" w:rsidR="00852CA9" w:rsidRDefault="00016B5D" w:rsidP="00E240D5">
            <w:pPr>
              <w:jc w:val="center"/>
              <w:rPr>
                <w:sz w:val="15"/>
              </w:rPr>
            </w:pPr>
            <w:r>
              <w:rPr>
                <w:rFonts w:hint="eastAsia"/>
                <w:sz w:val="15"/>
              </w:rPr>
              <w:t>28</w:t>
            </w:r>
            <w:r w:rsidR="00AF4686">
              <w:rPr>
                <w:rFonts w:hint="eastAsia"/>
                <w:sz w:val="15"/>
              </w:rPr>
              <w:t>%</w:t>
            </w:r>
          </w:p>
        </w:tc>
      </w:tr>
      <w:tr w:rsidR="00AF4686" w14:paraId="5B06DAD0" w14:textId="77777777" w:rsidTr="00F23EF3">
        <w:trPr>
          <w:cantSplit/>
          <w:trHeight w:val="284"/>
          <w:jc w:val="center"/>
        </w:trPr>
        <w:tc>
          <w:tcPr>
            <w:tcW w:w="2170" w:type="pct"/>
            <w:tcBorders>
              <w:top w:val="nil"/>
              <w:bottom w:val="nil"/>
            </w:tcBorders>
            <w:vAlign w:val="center"/>
          </w:tcPr>
          <w:p w14:paraId="580D33B6" w14:textId="2C8EC41E" w:rsidR="00AF4686" w:rsidRDefault="00AF4686" w:rsidP="00E240D5">
            <w:pPr>
              <w:jc w:val="center"/>
              <w:rPr>
                <w:sz w:val="15"/>
              </w:rPr>
            </w:pPr>
            <w:r>
              <w:rPr>
                <w:rFonts w:hint="eastAsia"/>
                <w:sz w:val="15"/>
              </w:rPr>
              <w:t>5</w:t>
            </w:r>
          </w:p>
        </w:tc>
        <w:tc>
          <w:tcPr>
            <w:tcW w:w="2830" w:type="pct"/>
            <w:tcBorders>
              <w:top w:val="nil"/>
              <w:bottom w:val="nil"/>
            </w:tcBorders>
            <w:vAlign w:val="center"/>
          </w:tcPr>
          <w:p w14:paraId="0D85A490" w14:textId="460281A8" w:rsidR="00AF4686" w:rsidRPr="00FF5C4B" w:rsidRDefault="00016B5D" w:rsidP="00E240D5">
            <w:pPr>
              <w:jc w:val="center"/>
              <w:rPr>
                <w:sz w:val="15"/>
              </w:rPr>
            </w:pPr>
            <w:r>
              <w:rPr>
                <w:rFonts w:hint="eastAsia"/>
                <w:sz w:val="15"/>
              </w:rPr>
              <w:t>27</w:t>
            </w:r>
            <w:r w:rsidR="00F23EF3">
              <w:rPr>
                <w:rFonts w:hint="eastAsia"/>
                <w:sz w:val="15"/>
              </w:rPr>
              <w:t>%</w:t>
            </w:r>
          </w:p>
        </w:tc>
      </w:tr>
      <w:tr w:rsidR="00F23EF3" w14:paraId="2FF1722C" w14:textId="77777777" w:rsidTr="00F23EF3">
        <w:trPr>
          <w:cantSplit/>
          <w:trHeight w:val="284"/>
          <w:jc w:val="center"/>
        </w:trPr>
        <w:tc>
          <w:tcPr>
            <w:tcW w:w="2170" w:type="pct"/>
            <w:tcBorders>
              <w:top w:val="nil"/>
              <w:bottom w:val="nil"/>
            </w:tcBorders>
            <w:vAlign w:val="center"/>
          </w:tcPr>
          <w:p w14:paraId="5550CFD4" w14:textId="41ADD786" w:rsidR="00F23EF3" w:rsidRDefault="00F23EF3" w:rsidP="00E240D5">
            <w:pPr>
              <w:jc w:val="center"/>
              <w:rPr>
                <w:sz w:val="15"/>
              </w:rPr>
            </w:pPr>
            <w:r>
              <w:rPr>
                <w:rFonts w:hint="eastAsia"/>
                <w:sz w:val="15"/>
              </w:rPr>
              <w:t>6</w:t>
            </w:r>
          </w:p>
        </w:tc>
        <w:tc>
          <w:tcPr>
            <w:tcW w:w="2830" w:type="pct"/>
            <w:tcBorders>
              <w:top w:val="nil"/>
              <w:bottom w:val="nil"/>
            </w:tcBorders>
            <w:vAlign w:val="center"/>
          </w:tcPr>
          <w:p w14:paraId="1841D0BC" w14:textId="5CB46497" w:rsidR="00F23EF3" w:rsidRDefault="003C264E" w:rsidP="00E240D5">
            <w:pPr>
              <w:jc w:val="center"/>
              <w:rPr>
                <w:sz w:val="15"/>
              </w:rPr>
            </w:pPr>
            <w:r>
              <w:rPr>
                <w:rFonts w:hint="eastAsia"/>
                <w:sz w:val="15"/>
              </w:rPr>
              <w:t>32</w:t>
            </w:r>
            <w:r w:rsidR="00C63F6B">
              <w:rPr>
                <w:rFonts w:hint="eastAsia"/>
                <w:sz w:val="15"/>
              </w:rPr>
              <w:t>%</w:t>
            </w:r>
          </w:p>
        </w:tc>
      </w:tr>
      <w:tr w:rsidR="00F23EF3" w14:paraId="59523450" w14:textId="77777777" w:rsidTr="00F23EF3">
        <w:trPr>
          <w:cantSplit/>
          <w:trHeight w:val="284"/>
          <w:jc w:val="center"/>
        </w:trPr>
        <w:tc>
          <w:tcPr>
            <w:tcW w:w="2170" w:type="pct"/>
            <w:tcBorders>
              <w:top w:val="nil"/>
              <w:bottom w:val="nil"/>
            </w:tcBorders>
            <w:vAlign w:val="center"/>
          </w:tcPr>
          <w:p w14:paraId="36F320F5" w14:textId="45321030" w:rsidR="00F23EF3" w:rsidRDefault="00F23EF3" w:rsidP="00E240D5">
            <w:pPr>
              <w:jc w:val="center"/>
              <w:rPr>
                <w:sz w:val="15"/>
              </w:rPr>
            </w:pPr>
            <w:r>
              <w:rPr>
                <w:rFonts w:hint="eastAsia"/>
                <w:sz w:val="15"/>
              </w:rPr>
              <w:t>7</w:t>
            </w:r>
          </w:p>
        </w:tc>
        <w:tc>
          <w:tcPr>
            <w:tcW w:w="2830" w:type="pct"/>
            <w:tcBorders>
              <w:top w:val="nil"/>
              <w:bottom w:val="nil"/>
            </w:tcBorders>
            <w:vAlign w:val="center"/>
          </w:tcPr>
          <w:p w14:paraId="28442528" w14:textId="43B65F34" w:rsidR="00F23EF3" w:rsidRDefault="00AE1299" w:rsidP="00E240D5">
            <w:pPr>
              <w:jc w:val="center"/>
              <w:rPr>
                <w:sz w:val="15"/>
              </w:rPr>
            </w:pPr>
            <w:r>
              <w:rPr>
                <w:rFonts w:hint="eastAsia"/>
                <w:sz w:val="15"/>
              </w:rPr>
              <w:t>29</w:t>
            </w:r>
            <w:r w:rsidR="004233D8">
              <w:rPr>
                <w:rFonts w:hint="eastAsia"/>
                <w:sz w:val="15"/>
              </w:rPr>
              <w:t>%</w:t>
            </w:r>
          </w:p>
        </w:tc>
      </w:tr>
      <w:tr w:rsidR="00F23EF3" w14:paraId="4DF68416" w14:textId="77777777" w:rsidTr="00F23EF3">
        <w:trPr>
          <w:cantSplit/>
          <w:trHeight w:val="284"/>
          <w:jc w:val="center"/>
        </w:trPr>
        <w:tc>
          <w:tcPr>
            <w:tcW w:w="2170" w:type="pct"/>
            <w:tcBorders>
              <w:top w:val="nil"/>
              <w:bottom w:val="nil"/>
            </w:tcBorders>
            <w:vAlign w:val="center"/>
          </w:tcPr>
          <w:p w14:paraId="4299372E" w14:textId="0536296C" w:rsidR="00F23EF3" w:rsidRDefault="00F23EF3" w:rsidP="00E240D5">
            <w:pPr>
              <w:jc w:val="center"/>
              <w:rPr>
                <w:sz w:val="15"/>
              </w:rPr>
            </w:pPr>
            <w:r>
              <w:rPr>
                <w:rFonts w:hint="eastAsia"/>
                <w:sz w:val="15"/>
              </w:rPr>
              <w:t>8</w:t>
            </w:r>
          </w:p>
        </w:tc>
        <w:tc>
          <w:tcPr>
            <w:tcW w:w="2830" w:type="pct"/>
            <w:tcBorders>
              <w:top w:val="nil"/>
              <w:bottom w:val="nil"/>
            </w:tcBorders>
            <w:vAlign w:val="center"/>
          </w:tcPr>
          <w:p w14:paraId="0AE6A938" w14:textId="0F1871C7" w:rsidR="00F23EF3" w:rsidRDefault="00AE1299" w:rsidP="00E240D5">
            <w:pPr>
              <w:jc w:val="center"/>
              <w:rPr>
                <w:sz w:val="15"/>
              </w:rPr>
            </w:pPr>
            <w:r>
              <w:rPr>
                <w:rFonts w:hint="eastAsia"/>
                <w:sz w:val="15"/>
              </w:rPr>
              <w:t>29</w:t>
            </w:r>
            <w:r w:rsidR="004233D8">
              <w:rPr>
                <w:rFonts w:hint="eastAsia"/>
                <w:sz w:val="15"/>
              </w:rPr>
              <w:t>%</w:t>
            </w:r>
          </w:p>
        </w:tc>
      </w:tr>
      <w:tr w:rsidR="00F23EF3" w14:paraId="4DC1EAFC" w14:textId="77777777" w:rsidTr="00F23EF3">
        <w:trPr>
          <w:cantSplit/>
          <w:trHeight w:val="284"/>
          <w:jc w:val="center"/>
        </w:trPr>
        <w:tc>
          <w:tcPr>
            <w:tcW w:w="2170" w:type="pct"/>
            <w:tcBorders>
              <w:top w:val="nil"/>
              <w:bottom w:val="nil"/>
            </w:tcBorders>
            <w:vAlign w:val="center"/>
          </w:tcPr>
          <w:p w14:paraId="790D771E" w14:textId="09DFB728" w:rsidR="00F23EF3" w:rsidRDefault="00F23EF3" w:rsidP="00E240D5">
            <w:pPr>
              <w:jc w:val="center"/>
              <w:rPr>
                <w:sz w:val="15"/>
              </w:rPr>
            </w:pPr>
            <w:r>
              <w:rPr>
                <w:rFonts w:hint="eastAsia"/>
                <w:sz w:val="15"/>
              </w:rPr>
              <w:t>9</w:t>
            </w:r>
          </w:p>
        </w:tc>
        <w:tc>
          <w:tcPr>
            <w:tcW w:w="2830" w:type="pct"/>
            <w:tcBorders>
              <w:top w:val="nil"/>
              <w:bottom w:val="nil"/>
            </w:tcBorders>
            <w:vAlign w:val="center"/>
          </w:tcPr>
          <w:p w14:paraId="149FB3D0" w14:textId="4A83EB6D" w:rsidR="00F23EF3" w:rsidRDefault="00AE1299" w:rsidP="00E240D5">
            <w:pPr>
              <w:jc w:val="center"/>
              <w:rPr>
                <w:sz w:val="15"/>
              </w:rPr>
            </w:pPr>
            <w:r>
              <w:rPr>
                <w:rFonts w:hint="eastAsia"/>
                <w:sz w:val="15"/>
              </w:rPr>
              <w:t>32</w:t>
            </w:r>
            <w:r w:rsidR="009777FA">
              <w:rPr>
                <w:rFonts w:hint="eastAsia"/>
                <w:sz w:val="15"/>
              </w:rPr>
              <w:t>%</w:t>
            </w:r>
          </w:p>
        </w:tc>
      </w:tr>
      <w:tr w:rsidR="00F23EF3" w14:paraId="5D4F4DBA" w14:textId="77777777" w:rsidTr="00F23EF3">
        <w:trPr>
          <w:cantSplit/>
          <w:trHeight w:val="284"/>
          <w:jc w:val="center"/>
        </w:trPr>
        <w:tc>
          <w:tcPr>
            <w:tcW w:w="2170" w:type="pct"/>
            <w:tcBorders>
              <w:top w:val="nil"/>
              <w:bottom w:val="single" w:sz="4" w:space="0" w:color="auto"/>
            </w:tcBorders>
            <w:vAlign w:val="center"/>
          </w:tcPr>
          <w:p w14:paraId="7CD55389" w14:textId="25B31558" w:rsidR="00F23EF3" w:rsidRDefault="00F23EF3" w:rsidP="00E240D5">
            <w:pPr>
              <w:jc w:val="center"/>
              <w:rPr>
                <w:sz w:val="15"/>
              </w:rPr>
            </w:pPr>
            <w:r>
              <w:rPr>
                <w:rFonts w:hint="eastAsia"/>
                <w:sz w:val="15"/>
              </w:rPr>
              <w:t>10</w:t>
            </w:r>
          </w:p>
        </w:tc>
        <w:tc>
          <w:tcPr>
            <w:tcW w:w="2830" w:type="pct"/>
            <w:tcBorders>
              <w:top w:val="nil"/>
              <w:bottom w:val="single" w:sz="4" w:space="0" w:color="auto"/>
            </w:tcBorders>
            <w:vAlign w:val="center"/>
          </w:tcPr>
          <w:p w14:paraId="1EF2A276" w14:textId="4D89BC74" w:rsidR="00F23EF3" w:rsidRDefault="00AE1299" w:rsidP="00E240D5">
            <w:pPr>
              <w:jc w:val="center"/>
              <w:rPr>
                <w:sz w:val="15"/>
              </w:rPr>
            </w:pPr>
            <w:r>
              <w:rPr>
                <w:rFonts w:hint="eastAsia"/>
                <w:sz w:val="15"/>
              </w:rPr>
              <w:t>39</w:t>
            </w:r>
            <w:r w:rsidR="00AD1728">
              <w:rPr>
                <w:rFonts w:hint="eastAsia"/>
                <w:sz w:val="15"/>
              </w:rPr>
              <w:t>%</w:t>
            </w:r>
          </w:p>
        </w:tc>
      </w:tr>
      <w:tr w:rsidR="00D46206" w14:paraId="355B8DD2" w14:textId="77777777" w:rsidTr="00D46206">
        <w:trPr>
          <w:cantSplit/>
          <w:trHeight w:val="284"/>
          <w:jc w:val="center"/>
        </w:trPr>
        <w:tc>
          <w:tcPr>
            <w:tcW w:w="2170" w:type="pct"/>
            <w:tcBorders>
              <w:top w:val="single" w:sz="4" w:space="0" w:color="auto"/>
              <w:bottom w:val="single" w:sz="4" w:space="0" w:color="auto"/>
            </w:tcBorders>
            <w:vAlign w:val="center"/>
          </w:tcPr>
          <w:p w14:paraId="5D5F6391" w14:textId="0E47719B" w:rsidR="00D46206" w:rsidRDefault="00D46206" w:rsidP="00E240D5">
            <w:pPr>
              <w:jc w:val="center"/>
              <w:rPr>
                <w:sz w:val="15"/>
              </w:rPr>
            </w:pPr>
            <w:r>
              <w:rPr>
                <w:rFonts w:hint="eastAsia"/>
                <w:sz w:val="15"/>
              </w:rPr>
              <w:t>平均</w:t>
            </w:r>
          </w:p>
        </w:tc>
        <w:tc>
          <w:tcPr>
            <w:tcW w:w="2830" w:type="pct"/>
            <w:tcBorders>
              <w:top w:val="single" w:sz="4" w:space="0" w:color="auto"/>
              <w:bottom w:val="single" w:sz="4" w:space="0" w:color="auto"/>
            </w:tcBorders>
            <w:vAlign w:val="center"/>
          </w:tcPr>
          <w:p w14:paraId="2F7BA451" w14:textId="16F5F962" w:rsidR="00D46206" w:rsidRPr="00FF5C4B" w:rsidRDefault="00AE1299" w:rsidP="00E240D5">
            <w:pPr>
              <w:jc w:val="center"/>
              <w:rPr>
                <w:sz w:val="15"/>
              </w:rPr>
            </w:pPr>
            <w:r>
              <w:rPr>
                <w:rFonts w:hint="eastAsia"/>
                <w:sz w:val="15"/>
              </w:rPr>
              <w:t>31.3</w:t>
            </w:r>
            <w:r w:rsidR="00515D50">
              <w:rPr>
                <w:rFonts w:hint="eastAsia"/>
                <w:sz w:val="15"/>
              </w:rPr>
              <w:t>%</w:t>
            </w:r>
          </w:p>
        </w:tc>
      </w:tr>
    </w:tbl>
    <w:p w14:paraId="4ED0B354" w14:textId="77777777" w:rsidR="00514F0B" w:rsidRPr="00965851" w:rsidRDefault="00514F0B" w:rsidP="001624F2">
      <w:pPr>
        <w:ind w:firstLineChars="200" w:firstLine="420"/>
        <w:rPr>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A8AFD84" w14:textId="1DE3ADA2" w:rsidR="00716F68" w:rsidRDefault="00450E72" w:rsidP="003D128F">
      <w:pPr>
        <w:pStyle w:val="a8"/>
        <w:ind w:firstLineChars="200"/>
        <w:rPr>
          <w:szCs w:val="24"/>
        </w:rPr>
      </w:pPr>
      <w:r w:rsidRPr="00450E72">
        <w:rPr>
          <w:rFonts w:hint="eastAsia"/>
          <w:szCs w:val="24"/>
        </w:rPr>
        <w:t>本文提出的基于单目标遗传算法的非侵入式负荷监测方法有效识别电器工作状态，但由于特征提取方法并不完善，且种群大小与迭代次数较小</w:t>
      </w:r>
      <w:r w:rsidR="000B3C6C">
        <w:rPr>
          <w:rFonts w:hint="eastAsia"/>
          <w:szCs w:val="24"/>
        </w:rPr>
        <w:t>，同一总电流情况下的组合较多</w:t>
      </w:r>
      <w:r w:rsidRPr="00450E72">
        <w:rPr>
          <w:rFonts w:hint="eastAsia"/>
          <w:szCs w:val="24"/>
        </w:rPr>
        <w:t>，因此准确率并不高，但该算法优化了电流的匹配，为智能电网中的负荷预测和优化提供了一种新的思路。实验结果表明，该方法能够准确识别多个电器的工作状态，并有效求解对应的电流需求，显示出良好的准确性和效率。</w:t>
      </w:r>
      <w:r w:rsidRPr="00450E72">
        <w:rPr>
          <w:rFonts w:hint="eastAsia"/>
          <w:szCs w:val="24"/>
        </w:rPr>
        <w:t>本文为非侵入式负荷监测探索了一种新的优化方法，取得了一定的成效。在测试数据上，算法表现出良好的负荷辨识能力。尽管本方法仍有待进一步优化，但其在负荷监测应用中的潜力已经初步显现。未来工作将聚焦于算法效率的提升和实验场景的多样化，以提高算法的识别准确率和适应性</w:t>
      </w:r>
      <w:r w:rsidR="003D128F" w:rsidRPr="003D128F">
        <w:rPr>
          <w:rFonts w:hint="eastAsia"/>
          <w:szCs w:val="24"/>
        </w:rPr>
        <w:t>。</w:t>
      </w:r>
    </w:p>
    <w:p w14:paraId="48C1CF8A" w14:textId="77777777" w:rsidR="003D353F" w:rsidRPr="00716F68" w:rsidRDefault="003D353F" w:rsidP="00350A3C">
      <w:pPr>
        <w:pStyle w:val="a8"/>
        <w:ind w:firstLine="0"/>
        <w:rPr>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0D49C6ED"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5061250" w14:textId="58043E5C" w:rsidR="00474C2F" w:rsidRPr="00521FBE" w:rsidRDefault="00756A6A" w:rsidP="00474C2F">
      <w:pPr>
        <w:ind w:left="284"/>
        <w:rPr>
          <w:iCs/>
          <w:sz w:val="15"/>
          <w:szCs w:val="15"/>
        </w:rPr>
      </w:pPr>
      <w:r>
        <w:rPr>
          <w:rFonts w:hint="eastAsia"/>
          <w:sz w:val="15"/>
          <w:szCs w:val="15"/>
        </w:rPr>
        <w:t xml:space="preserve">Bao </w:t>
      </w:r>
      <w:proofErr w:type="spellStart"/>
      <w:r>
        <w:rPr>
          <w:rFonts w:hint="eastAsia"/>
          <w:sz w:val="15"/>
          <w:szCs w:val="15"/>
        </w:rPr>
        <w:t>Haibo</w:t>
      </w:r>
      <w:proofErr w:type="spellEnd"/>
      <w:r>
        <w:rPr>
          <w:rFonts w:hint="eastAsia"/>
          <w:sz w:val="15"/>
          <w:szCs w:val="15"/>
        </w:rPr>
        <w:t xml:space="preserve">, Yang Shuhui, Chen Zimin, </w:t>
      </w:r>
      <w:r w:rsidR="002C242F" w:rsidRPr="002C242F">
        <w:rPr>
          <w:sz w:val="15"/>
          <w:szCs w:val="15"/>
        </w:rPr>
        <w:t>et al</w:t>
      </w:r>
      <w:r w:rsidR="005A20B5">
        <w:rPr>
          <w:rFonts w:hint="eastAsia"/>
          <w:sz w:val="15"/>
          <w:szCs w:val="15"/>
        </w:rPr>
        <w:t xml:space="preserve">. </w:t>
      </w:r>
      <w:r w:rsidR="005A20B5" w:rsidRPr="005A20B5">
        <w:rPr>
          <w:sz w:val="15"/>
          <w:szCs w:val="15"/>
        </w:rPr>
        <w:t xml:space="preserve">Review on Event-inspection Based Non-intrusive Load Monitoring </w:t>
      </w:r>
      <w:proofErr w:type="spellStart"/>
      <w:r w:rsidR="005A20B5" w:rsidRPr="005A20B5">
        <w:rPr>
          <w:sz w:val="15"/>
          <w:szCs w:val="15"/>
        </w:rPr>
        <w:t>Algorithms</w:t>
      </w:r>
      <w:r w:rsidR="00521FBE">
        <w:rPr>
          <w:rFonts w:hint="eastAsia"/>
          <w:sz w:val="15"/>
          <w:szCs w:val="15"/>
        </w:rPr>
        <w:t>p</w:t>
      </w:r>
      <w:proofErr w:type="spellEnd"/>
      <w:r w:rsidR="00521FBE">
        <w:rPr>
          <w:rFonts w:hint="eastAsia"/>
          <w:sz w:val="15"/>
          <w:szCs w:val="15"/>
        </w:rPr>
        <w:t xml:space="preserve">[J]. </w:t>
      </w:r>
      <w:r w:rsidR="00521FBE" w:rsidRPr="00521FBE">
        <w:rPr>
          <w:i/>
          <w:sz w:val="15"/>
          <w:szCs w:val="15"/>
        </w:rPr>
        <w:t>Automation of Electric Power Systems</w:t>
      </w:r>
      <w:r w:rsidR="00521FBE">
        <w:rPr>
          <w:rFonts w:hint="eastAsia"/>
          <w:i/>
          <w:sz w:val="15"/>
          <w:szCs w:val="15"/>
        </w:rPr>
        <w:t>.</w:t>
      </w:r>
      <w:r w:rsidR="00521FBE">
        <w:rPr>
          <w:rFonts w:hint="eastAsia"/>
          <w:iCs/>
          <w:sz w:val="15"/>
          <w:szCs w:val="15"/>
        </w:rPr>
        <w:t xml:space="preserve"> </w:t>
      </w:r>
      <w:r w:rsidR="00334DE7" w:rsidRPr="00064F48">
        <w:rPr>
          <w:rFonts w:hint="eastAsia"/>
          <w:sz w:val="15"/>
          <w:szCs w:val="15"/>
        </w:rPr>
        <w:t>2023,47(13):94-109.</w:t>
      </w:r>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1C15FBDF" w14:textId="00A61D5A" w:rsidR="00373134" w:rsidRDefault="00950FAA" w:rsidP="00373134">
      <w:pPr>
        <w:ind w:left="284"/>
        <w:rPr>
          <w:sz w:val="15"/>
          <w:szCs w:val="15"/>
        </w:rPr>
      </w:pPr>
      <w:r>
        <w:rPr>
          <w:rFonts w:hint="eastAsia"/>
          <w:sz w:val="15"/>
          <w:szCs w:val="15"/>
        </w:rPr>
        <w:t xml:space="preserve">Deng Xiaoping, Zhang Guiqing, Wei </w:t>
      </w:r>
      <w:proofErr w:type="spellStart"/>
      <w:r>
        <w:rPr>
          <w:rFonts w:hint="eastAsia"/>
          <w:sz w:val="15"/>
          <w:szCs w:val="15"/>
        </w:rPr>
        <w:t>Qinglai</w:t>
      </w:r>
      <w:proofErr w:type="spellEnd"/>
      <w:r>
        <w:rPr>
          <w:rFonts w:hint="eastAsia"/>
          <w:sz w:val="15"/>
          <w:szCs w:val="15"/>
        </w:rPr>
        <w:t>, et al.</w:t>
      </w:r>
      <w:r w:rsidR="00BF6C6E" w:rsidRPr="00BF6C6E">
        <w:rPr>
          <w:sz w:val="15"/>
          <w:szCs w:val="15"/>
        </w:rPr>
        <w:t xml:space="preserve"> A Survey on the Non-intrusive Load Monitoring</w:t>
      </w:r>
      <w:r w:rsidR="00BF6C6E">
        <w:rPr>
          <w:rFonts w:hint="eastAsia"/>
          <w:sz w:val="15"/>
          <w:szCs w:val="15"/>
        </w:rPr>
        <w:t xml:space="preserve">[J]. </w:t>
      </w:r>
      <w:r w:rsidR="00A5460A" w:rsidRPr="00067DF1">
        <w:rPr>
          <w:i/>
          <w:iCs/>
          <w:sz w:val="15"/>
          <w:szCs w:val="15"/>
        </w:rPr>
        <w:t xml:space="preserve">Acta </w:t>
      </w:r>
      <w:proofErr w:type="spellStart"/>
      <w:r w:rsidR="00A5460A" w:rsidRPr="00067DF1">
        <w:rPr>
          <w:i/>
          <w:iCs/>
          <w:sz w:val="15"/>
          <w:szCs w:val="15"/>
        </w:rPr>
        <w:t>Automatica</w:t>
      </w:r>
      <w:proofErr w:type="spellEnd"/>
      <w:r w:rsidR="00A5460A" w:rsidRPr="00067DF1">
        <w:rPr>
          <w:i/>
          <w:iCs/>
          <w:sz w:val="15"/>
          <w:szCs w:val="15"/>
        </w:rPr>
        <w:t xml:space="preserve"> Sinica</w:t>
      </w:r>
      <w:r w:rsidR="00A5460A">
        <w:rPr>
          <w:rFonts w:hint="eastAsia"/>
          <w:sz w:val="15"/>
          <w:szCs w:val="15"/>
        </w:rPr>
        <w:t xml:space="preserve">. </w:t>
      </w:r>
      <w:r w:rsidR="00A5460A" w:rsidRPr="00A5460A">
        <w:rPr>
          <w:sz w:val="15"/>
          <w:szCs w:val="15"/>
        </w:rPr>
        <w:t>2022,48(3):644-663.</w:t>
      </w:r>
    </w:p>
    <w:p w14:paraId="4D58249A" w14:textId="4B64EE1A" w:rsidR="00E65E05" w:rsidRDefault="00EE3099" w:rsidP="005B7806">
      <w:pPr>
        <w:numPr>
          <w:ilvl w:val="0"/>
          <w:numId w:val="5"/>
        </w:numPr>
        <w:wordWrap w:val="0"/>
        <w:ind w:left="284" w:hanging="284"/>
        <w:rPr>
          <w:sz w:val="15"/>
          <w:szCs w:val="15"/>
        </w:rPr>
      </w:pPr>
      <w:bookmarkStart w:id="6" w:name="_Ref181970524"/>
      <w:proofErr w:type="spellStart"/>
      <w:r>
        <w:rPr>
          <w:sz w:val="15"/>
          <w:szCs w:val="15"/>
        </w:rPr>
        <w:t>Z</w:t>
      </w:r>
      <w:r>
        <w:rPr>
          <w:rFonts w:hint="eastAsia"/>
          <w:sz w:val="15"/>
          <w:szCs w:val="15"/>
        </w:rPr>
        <w:t>hongrui</w:t>
      </w:r>
      <w:proofErr w:type="spellEnd"/>
      <w:r>
        <w:rPr>
          <w:rFonts w:hint="eastAsia"/>
          <w:sz w:val="15"/>
          <w:szCs w:val="15"/>
        </w:rPr>
        <w:t xml:space="preserve"> Wang,</w:t>
      </w:r>
      <w:r w:rsidR="00E44997">
        <w:rPr>
          <w:rFonts w:hint="eastAsia"/>
          <w:sz w:val="15"/>
          <w:szCs w:val="15"/>
        </w:rPr>
        <w:t xml:space="preserve"> </w:t>
      </w:r>
      <w:proofErr w:type="spellStart"/>
      <w:r w:rsidR="00D166C8">
        <w:rPr>
          <w:rFonts w:hint="eastAsia"/>
          <w:sz w:val="15"/>
          <w:szCs w:val="15"/>
        </w:rPr>
        <w:t>Yonghai</w:t>
      </w:r>
      <w:proofErr w:type="spellEnd"/>
      <w:r w:rsidR="00D166C8">
        <w:rPr>
          <w:rFonts w:hint="eastAsia"/>
          <w:sz w:val="15"/>
          <w:szCs w:val="15"/>
        </w:rPr>
        <w:t xml:space="preserve"> Xu</w:t>
      </w:r>
      <w:r w:rsidR="00E44997">
        <w:rPr>
          <w:rFonts w:hint="eastAsia"/>
          <w:sz w:val="15"/>
          <w:szCs w:val="15"/>
        </w:rPr>
        <w:t xml:space="preserve">, </w:t>
      </w:r>
      <w:r w:rsidR="00BD5C84">
        <w:rPr>
          <w:rFonts w:hint="eastAsia"/>
          <w:sz w:val="15"/>
          <w:szCs w:val="15"/>
        </w:rPr>
        <w:t>Sheng He</w:t>
      </w:r>
      <w:r w:rsidR="00E44997">
        <w:rPr>
          <w:rFonts w:hint="eastAsia"/>
          <w:sz w:val="15"/>
          <w:szCs w:val="15"/>
        </w:rPr>
        <w:t>, et al</w:t>
      </w:r>
      <w:r>
        <w:rPr>
          <w:rFonts w:hint="eastAsia"/>
          <w:sz w:val="15"/>
          <w:szCs w:val="15"/>
        </w:rPr>
        <w:t>.</w:t>
      </w:r>
      <w:r w:rsidR="00E44997">
        <w:rPr>
          <w:rFonts w:hint="eastAsia"/>
          <w:sz w:val="15"/>
          <w:szCs w:val="15"/>
        </w:rPr>
        <w:t xml:space="preserve"> </w:t>
      </w:r>
      <w:r w:rsidRPr="00EE3099">
        <w:rPr>
          <w:sz w:val="15"/>
          <w:szCs w:val="15"/>
        </w:rPr>
        <w:t>A non-intrusive method of industrial load disaggregation based on load operating states and improved grey wolf algorithm</w:t>
      </w:r>
      <w:bookmarkEnd w:id="6"/>
      <w:r w:rsidR="00D64CD5">
        <w:rPr>
          <w:rFonts w:hint="eastAsia"/>
          <w:sz w:val="15"/>
          <w:szCs w:val="15"/>
        </w:rPr>
        <w:t>[J]</w:t>
      </w:r>
      <w:r w:rsidR="00CB31AB">
        <w:rPr>
          <w:rFonts w:hint="eastAsia"/>
          <w:sz w:val="15"/>
          <w:szCs w:val="15"/>
        </w:rPr>
        <w:t>.</w:t>
      </w:r>
      <w:r w:rsidR="00042B69">
        <w:rPr>
          <w:rFonts w:hint="eastAsia"/>
          <w:sz w:val="15"/>
          <w:szCs w:val="15"/>
        </w:rPr>
        <w:t xml:space="preserve"> </w:t>
      </w:r>
      <w:r w:rsidR="00CB31AB" w:rsidRPr="00042B69">
        <w:rPr>
          <w:i/>
          <w:iCs/>
          <w:sz w:val="15"/>
          <w:szCs w:val="15"/>
        </w:rPr>
        <w:t>Applied Energy</w:t>
      </w:r>
      <w:r w:rsidR="003C085F">
        <w:rPr>
          <w:rFonts w:hint="eastAsia"/>
          <w:i/>
          <w:iCs/>
          <w:sz w:val="15"/>
          <w:szCs w:val="15"/>
        </w:rPr>
        <w:t xml:space="preserve">. </w:t>
      </w:r>
      <w:r w:rsidR="00CB31AB" w:rsidRPr="00CB31AB">
        <w:rPr>
          <w:sz w:val="15"/>
          <w:szCs w:val="15"/>
        </w:rPr>
        <w:t xml:space="preserve"> </w:t>
      </w:r>
      <w:r w:rsidR="003C085F">
        <w:rPr>
          <w:rFonts w:hint="eastAsia"/>
          <w:sz w:val="15"/>
          <w:szCs w:val="15"/>
        </w:rPr>
        <w:t>2023,</w:t>
      </w:r>
      <w:r w:rsidR="00CB31AB" w:rsidRPr="00CB31AB">
        <w:rPr>
          <w:sz w:val="15"/>
          <w:szCs w:val="15"/>
        </w:rPr>
        <w:t>351(7850):121934</w:t>
      </w:r>
    </w:p>
    <w:p w14:paraId="7A1AB27E" w14:textId="13E9810D" w:rsidR="002D73FA" w:rsidRPr="00124059" w:rsidRDefault="008F6A98" w:rsidP="00124059">
      <w:pPr>
        <w:numPr>
          <w:ilvl w:val="0"/>
          <w:numId w:val="5"/>
        </w:numPr>
        <w:wordWrap w:val="0"/>
        <w:ind w:left="284" w:hanging="284"/>
        <w:rPr>
          <w:sz w:val="15"/>
          <w:szCs w:val="15"/>
        </w:rPr>
      </w:pPr>
      <w:bookmarkStart w:id="7" w:name="_Ref182008820"/>
      <w:r w:rsidRPr="008F6A98">
        <w:rPr>
          <w:sz w:val="15"/>
          <w:szCs w:val="15"/>
        </w:rPr>
        <w:t xml:space="preserve">Silva M D, Liu Q. A Review of NILM Applications with Machine Learning Approaches[J]. </w:t>
      </w:r>
      <w:r w:rsidRPr="008F6A98">
        <w:rPr>
          <w:i/>
          <w:iCs/>
          <w:sz w:val="15"/>
          <w:szCs w:val="15"/>
        </w:rPr>
        <w:t>Computers, Materials &amp; Continua</w:t>
      </w:r>
      <w:r w:rsidRPr="008F6A98">
        <w:rPr>
          <w:sz w:val="15"/>
          <w:szCs w:val="15"/>
        </w:rPr>
        <w:t>, 2024, 79(2).</w:t>
      </w:r>
      <w:bookmarkEnd w:id="7"/>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B30DC" w14:textId="77777777" w:rsidR="0079620E" w:rsidRDefault="0079620E">
      <w:r>
        <w:separator/>
      </w:r>
    </w:p>
  </w:endnote>
  <w:endnote w:type="continuationSeparator" w:id="0">
    <w:p w14:paraId="56807293" w14:textId="77777777" w:rsidR="0079620E" w:rsidRDefault="0079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65C71" w14:textId="77777777" w:rsidR="0079620E" w:rsidRDefault="0079620E">
      <w:r>
        <w:separator/>
      </w:r>
    </w:p>
  </w:footnote>
  <w:footnote w:type="continuationSeparator" w:id="0">
    <w:p w14:paraId="698F75E5" w14:textId="77777777" w:rsidR="0079620E" w:rsidRDefault="00796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16B5D"/>
    <w:rsid w:val="00025BDB"/>
    <w:rsid w:val="0002735D"/>
    <w:rsid w:val="0002790B"/>
    <w:rsid w:val="00027E65"/>
    <w:rsid w:val="000335AC"/>
    <w:rsid w:val="0003542D"/>
    <w:rsid w:val="00040341"/>
    <w:rsid w:val="000404AA"/>
    <w:rsid w:val="00042B69"/>
    <w:rsid w:val="00064F48"/>
    <w:rsid w:val="00066871"/>
    <w:rsid w:val="00067DF1"/>
    <w:rsid w:val="00074B93"/>
    <w:rsid w:val="000765D7"/>
    <w:rsid w:val="00080103"/>
    <w:rsid w:val="00082027"/>
    <w:rsid w:val="00094CF1"/>
    <w:rsid w:val="00094F53"/>
    <w:rsid w:val="000979CE"/>
    <w:rsid w:val="000A0144"/>
    <w:rsid w:val="000A319A"/>
    <w:rsid w:val="000A330A"/>
    <w:rsid w:val="000A6D04"/>
    <w:rsid w:val="000B24DF"/>
    <w:rsid w:val="000B3C6C"/>
    <w:rsid w:val="000B428C"/>
    <w:rsid w:val="000C065D"/>
    <w:rsid w:val="000C10CA"/>
    <w:rsid w:val="000C45D5"/>
    <w:rsid w:val="000C604C"/>
    <w:rsid w:val="000D2C41"/>
    <w:rsid w:val="000E4748"/>
    <w:rsid w:val="000F518F"/>
    <w:rsid w:val="000F753F"/>
    <w:rsid w:val="000F7EF9"/>
    <w:rsid w:val="00101D60"/>
    <w:rsid w:val="001027AD"/>
    <w:rsid w:val="00105DAC"/>
    <w:rsid w:val="00112CE3"/>
    <w:rsid w:val="00114C02"/>
    <w:rsid w:val="00121D8B"/>
    <w:rsid w:val="00124059"/>
    <w:rsid w:val="0013130C"/>
    <w:rsid w:val="001317DD"/>
    <w:rsid w:val="00145909"/>
    <w:rsid w:val="00146A2E"/>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51DC"/>
    <w:rsid w:val="001D683B"/>
    <w:rsid w:val="001E227F"/>
    <w:rsid w:val="001E3724"/>
    <w:rsid w:val="001E40C0"/>
    <w:rsid w:val="001F4559"/>
    <w:rsid w:val="001F5125"/>
    <w:rsid w:val="001F722B"/>
    <w:rsid w:val="0020373B"/>
    <w:rsid w:val="00205490"/>
    <w:rsid w:val="00212556"/>
    <w:rsid w:val="002132C8"/>
    <w:rsid w:val="002137F0"/>
    <w:rsid w:val="002139A5"/>
    <w:rsid w:val="00215080"/>
    <w:rsid w:val="0021572C"/>
    <w:rsid w:val="00216865"/>
    <w:rsid w:val="00220BE8"/>
    <w:rsid w:val="00223932"/>
    <w:rsid w:val="00224374"/>
    <w:rsid w:val="002351EA"/>
    <w:rsid w:val="0024056F"/>
    <w:rsid w:val="002560C0"/>
    <w:rsid w:val="00256CA7"/>
    <w:rsid w:val="00257D8D"/>
    <w:rsid w:val="00270B2D"/>
    <w:rsid w:val="00272033"/>
    <w:rsid w:val="0027749A"/>
    <w:rsid w:val="00287DE3"/>
    <w:rsid w:val="0029117F"/>
    <w:rsid w:val="00291CE8"/>
    <w:rsid w:val="002A28F6"/>
    <w:rsid w:val="002A74BF"/>
    <w:rsid w:val="002A79DA"/>
    <w:rsid w:val="002B4DF7"/>
    <w:rsid w:val="002C0570"/>
    <w:rsid w:val="002C1468"/>
    <w:rsid w:val="002C242F"/>
    <w:rsid w:val="002C4EB6"/>
    <w:rsid w:val="002C4EF1"/>
    <w:rsid w:val="002D3071"/>
    <w:rsid w:val="002D73FA"/>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13AD"/>
    <w:rsid w:val="00334C90"/>
    <w:rsid w:val="00334DE7"/>
    <w:rsid w:val="00336FBA"/>
    <w:rsid w:val="0034112D"/>
    <w:rsid w:val="003415E8"/>
    <w:rsid w:val="00345435"/>
    <w:rsid w:val="00345807"/>
    <w:rsid w:val="00345E34"/>
    <w:rsid w:val="00346B7B"/>
    <w:rsid w:val="003475A7"/>
    <w:rsid w:val="00350A3C"/>
    <w:rsid w:val="003551C0"/>
    <w:rsid w:val="003606D5"/>
    <w:rsid w:val="00370613"/>
    <w:rsid w:val="00373134"/>
    <w:rsid w:val="00385A9E"/>
    <w:rsid w:val="00387BAC"/>
    <w:rsid w:val="00390228"/>
    <w:rsid w:val="003A1695"/>
    <w:rsid w:val="003A4DD2"/>
    <w:rsid w:val="003A59D4"/>
    <w:rsid w:val="003B5B96"/>
    <w:rsid w:val="003C085F"/>
    <w:rsid w:val="003C264E"/>
    <w:rsid w:val="003C2C26"/>
    <w:rsid w:val="003D128F"/>
    <w:rsid w:val="003D353F"/>
    <w:rsid w:val="003D4E13"/>
    <w:rsid w:val="003D77BB"/>
    <w:rsid w:val="003F1AF4"/>
    <w:rsid w:val="003F2F0D"/>
    <w:rsid w:val="003F4A0D"/>
    <w:rsid w:val="003F6532"/>
    <w:rsid w:val="003F77E9"/>
    <w:rsid w:val="00401DF1"/>
    <w:rsid w:val="00404488"/>
    <w:rsid w:val="00406565"/>
    <w:rsid w:val="004077D5"/>
    <w:rsid w:val="00417309"/>
    <w:rsid w:val="00422793"/>
    <w:rsid w:val="004233D8"/>
    <w:rsid w:val="00426382"/>
    <w:rsid w:val="00426B98"/>
    <w:rsid w:val="004309E8"/>
    <w:rsid w:val="004324F5"/>
    <w:rsid w:val="00433611"/>
    <w:rsid w:val="00450E72"/>
    <w:rsid w:val="0045324A"/>
    <w:rsid w:val="00454300"/>
    <w:rsid w:val="004551F4"/>
    <w:rsid w:val="00455DC6"/>
    <w:rsid w:val="004575C7"/>
    <w:rsid w:val="00460843"/>
    <w:rsid w:val="0047281B"/>
    <w:rsid w:val="00472C87"/>
    <w:rsid w:val="00473430"/>
    <w:rsid w:val="00474240"/>
    <w:rsid w:val="00474BA0"/>
    <w:rsid w:val="00474C2F"/>
    <w:rsid w:val="00474DAA"/>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D7796"/>
    <w:rsid w:val="004E1FCB"/>
    <w:rsid w:val="004E2DEA"/>
    <w:rsid w:val="004E53D4"/>
    <w:rsid w:val="004E7ED5"/>
    <w:rsid w:val="004F5320"/>
    <w:rsid w:val="004F58F1"/>
    <w:rsid w:val="004F6BDB"/>
    <w:rsid w:val="00501C38"/>
    <w:rsid w:val="005027C5"/>
    <w:rsid w:val="00502EC3"/>
    <w:rsid w:val="0050475B"/>
    <w:rsid w:val="00511873"/>
    <w:rsid w:val="00511CAC"/>
    <w:rsid w:val="00512063"/>
    <w:rsid w:val="00514F0B"/>
    <w:rsid w:val="00515D50"/>
    <w:rsid w:val="00520847"/>
    <w:rsid w:val="00521FBE"/>
    <w:rsid w:val="0052704B"/>
    <w:rsid w:val="005271F4"/>
    <w:rsid w:val="0053108F"/>
    <w:rsid w:val="00532EF9"/>
    <w:rsid w:val="005373E8"/>
    <w:rsid w:val="00537C2B"/>
    <w:rsid w:val="005401F5"/>
    <w:rsid w:val="005408EB"/>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0FA6"/>
    <w:rsid w:val="005910B3"/>
    <w:rsid w:val="00592D4F"/>
    <w:rsid w:val="00592EB7"/>
    <w:rsid w:val="0059316D"/>
    <w:rsid w:val="005973EA"/>
    <w:rsid w:val="005974CD"/>
    <w:rsid w:val="005A05ED"/>
    <w:rsid w:val="005A1B76"/>
    <w:rsid w:val="005A20B5"/>
    <w:rsid w:val="005A55C9"/>
    <w:rsid w:val="005B1513"/>
    <w:rsid w:val="005B16C0"/>
    <w:rsid w:val="005B1CFB"/>
    <w:rsid w:val="005B693D"/>
    <w:rsid w:val="005B7806"/>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E9D"/>
    <w:rsid w:val="00616FEE"/>
    <w:rsid w:val="0061788E"/>
    <w:rsid w:val="006205AC"/>
    <w:rsid w:val="00621C1F"/>
    <w:rsid w:val="00633991"/>
    <w:rsid w:val="00651BF1"/>
    <w:rsid w:val="0065236B"/>
    <w:rsid w:val="0065259A"/>
    <w:rsid w:val="00652D9D"/>
    <w:rsid w:val="00655D1B"/>
    <w:rsid w:val="00656EF5"/>
    <w:rsid w:val="0066177F"/>
    <w:rsid w:val="00670F60"/>
    <w:rsid w:val="00681E7C"/>
    <w:rsid w:val="00682ABA"/>
    <w:rsid w:val="00691CE4"/>
    <w:rsid w:val="00693C93"/>
    <w:rsid w:val="006B1E15"/>
    <w:rsid w:val="006B5A8D"/>
    <w:rsid w:val="006B6EA4"/>
    <w:rsid w:val="006C5FC0"/>
    <w:rsid w:val="006D0A38"/>
    <w:rsid w:val="006E0A04"/>
    <w:rsid w:val="006E302F"/>
    <w:rsid w:val="006E642F"/>
    <w:rsid w:val="006E646E"/>
    <w:rsid w:val="006E6D6E"/>
    <w:rsid w:val="006F05EF"/>
    <w:rsid w:val="006F17DE"/>
    <w:rsid w:val="006F4E26"/>
    <w:rsid w:val="00700C3C"/>
    <w:rsid w:val="007023F5"/>
    <w:rsid w:val="00712DA9"/>
    <w:rsid w:val="00712E3E"/>
    <w:rsid w:val="00716F68"/>
    <w:rsid w:val="0072008A"/>
    <w:rsid w:val="00720E85"/>
    <w:rsid w:val="00721A1C"/>
    <w:rsid w:val="007222DB"/>
    <w:rsid w:val="007224E3"/>
    <w:rsid w:val="00722B14"/>
    <w:rsid w:val="00724A4D"/>
    <w:rsid w:val="00727966"/>
    <w:rsid w:val="00730296"/>
    <w:rsid w:val="00730D4A"/>
    <w:rsid w:val="00735882"/>
    <w:rsid w:val="00735BDC"/>
    <w:rsid w:val="00736B33"/>
    <w:rsid w:val="00740EC1"/>
    <w:rsid w:val="00756A6A"/>
    <w:rsid w:val="00761044"/>
    <w:rsid w:val="00773495"/>
    <w:rsid w:val="00780AFE"/>
    <w:rsid w:val="007835C8"/>
    <w:rsid w:val="00784B2E"/>
    <w:rsid w:val="007914D6"/>
    <w:rsid w:val="007927D9"/>
    <w:rsid w:val="0079620E"/>
    <w:rsid w:val="00797AB7"/>
    <w:rsid w:val="007A15DC"/>
    <w:rsid w:val="007A34CA"/>
    <w:rsid w:val="007A758A"/>
    <w:rsid w:val="007B1409"/>
    <w:rsid w:val="007B463F"/>
    <w:rsid w:val="007B4B10"/>
    <w:rsid w:val="007C0399"/>
    <w:rsid w:val="007C3244"/>
    <w:rsid w:val="007C39A9"/>
    <w:rsid w:val="007C4979"/>
    <w:rsid w:val="007C5268"/>
    <w:rsid w:val="007C6731"/>
    <w:rsid w:val="007D1365"/>
    <w:rsid w:val="007D229C"/>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18C8"/>
    <w:rsid w:val="00845F04"/>
    <w:rsid w:val="0084690C"/>
    <w:rsid w:val="00851C81"/>
    <w:rsid w:val="0085254C"/>
    <w:rsid w:val="00852CA9"/>
    <w:rsid w:val="008556C6"/>
    <w:rsid w:val="0085739B"/>
    <w:rsid w:val="00864FB2"/>
    <w:rsid w:val="008660D8"/>
    <w:rsid w:val="00870333"/>
    <w:rsid w:val="008705B0"/>
    <w:rsid w:val="00874636"/>
    <w:rsid w:val="0087588E"/>
    <w:rsid w:val="00877B24"/>
    <w:rsid w:val="00877C44"/>
    <w:rsid w:val="00886BDF"/>
    <w:rsid w:val="00886D97"/>
    <w:rsid w:val="008A160F"/>
    <w:rsid w:val="008A37D1"/>
    <w:rsid w:val="008A7DAF"/>
    <w:rsid w:val="008B0B20"/>
    <w:rsid w:val="008B12F4"/>
    <w:rsid w:val="008B31B6"/>
    <w:rsid w:val="008C3E88"/>
    <w:rsid w:val="008C5E45"/>
    <w:rsid w:val="008C6DF1"/>
    <w:rsid w:val="008D11D8"/>
    <w:rsid w:val="008E5C7C"/>
    <w:rsid w:val="008E66D5"/>
    <w:rsid w:val="008E6A60"/>
    <w:rsid w:val="008E6C61"/>
    <w:rsid w:val="008E6DC2"/>
    <w:rsid w:val="008F0677"/>
    <w:rsid w:val="008F4A84"/>
    <w:rsid w:val="008F6A98"/>
    <w:rsid w:val="00902B45"/>
    <w:rsid w:val="00904311"/>
    <w:rsid w:val="00905B47"/>
    <w:rsid w:val="00906E40"/>
    <w:rsid w:val="00917614"/>
    <w:rsid w:val="00923957"/>
    <w:rsid w:val="00927285"/>
    <w:rsid w:val="00930C7A"/>
    <w:rsid w:val="00937338"/>
    <w:rsid w:val="009405A2"/>
    <w:rsid w:val="00943911"/>
    <w:rsid w:val="00943FB7"/>
    <w:rsid w:val="00947F59"/>
    <w:rsid w:val="00950FAA"/>
    <w:rsid w:val="0095319D"/>
    <w:rsid w:val="009610CD"/>
    <w:rsid w:val="00961148"/>
    <w:rsid w:val="00963FE7"/>
    <w:rsid w:val="00965851"/>
    <w:rsid w:val="00967346"/>
    <w:rsid w:val="00971992"/>
    <w:rsid w:val="00971E56"/>
    <w:rsid w:val="00977018"/>
    <w:rsid w:val="009777FA"/>
    <w:rsid w:val="00977D0D"/>
    <w:rsid w:val="00982076"/>
    <w:rsid w:val="00986128"/>
    <w:rsid w:val="0098632F"/>
    <w:rsid w:val="00995F6B"/>
    <w:rsid w:val="009A4378"/>
    <w:rsid w:val="009A4750"/>
    <w:rsid w:val="009A5BFF"/>
    <w:rsid w:val="009A759F"/>
    <w:rsid w:val="009A7CD6"/>
    <w:rsid w:val="009B6FE7"/>
    <w:rsid w:val="009C1559"/>
    <w:rsid w:val="009D0FB2"/>
    <w:rsid w:val="009D23A5"/>
    <w:rsid w:val="009D5271"/>
    <w:rsid w:val="009D5FF3"/>
    <w:rsid w:val="009F168C"/>
    <w:rsid w:val="009F2052"/>
    <w:rsid w:val="009F74BF"/>
    <w:rsid w:val="00A00015"/>
    <w:rsid w:val="00A11699"/>
    <w:rsid w:val="00A118A5"/>
    <w:rsid w:val="00A12DC7"/>
    <w:rsid w:val="00A17976"/>
    <w:rsid w:val="00A2257F"/>
    <w:rsid w:val="00A317F6"/>
    <w:rsid w:val="00A31C14"/>
    <w:rsid w:val="00A31FCC"/>
    <w:rsid w:val="00A32E13"/>
    <w:rsid w:val="00A36D70"/>
    <w:rsid w:val="00A40383"/>
    <w:rsid w:val="00A42136"/>
    <w:rsid w:val="00A45AB0"/>
    <w:rsid w:val="00A45CA9"/>
    <w:rsid w:val="00A507BE"/>
    <w:rsid w:val="00A5089D"/>
    <w:rsid w:val="00A52E01"/>
    <w:rsid w:val="00A5309A"/>
    <w:rsid w:val="00A53D71"/>
    <w:rsid w:val="00A5401F"/>
    <w:rsid w:val="00A5460A"/>
    <w:rsid w:val="00A560B8"/>
    <w:rsid w:val="00A56623"/>
    <w:rsid w:val="00A66875"/>
    <w:rsid w:val="00A736FD"/>
    <w:rsid w:val="00A76D87"/>
    <w:rsid w:val="00A82C0D"/>
    <w:rsid w:val="00A96614"/>
    <w:rsid w:val="00A9698B"/>
    <w:rsid w:val="00AB1EE6"/>
    <w:rsid w:val="00AB2304"/>
    <w:rsid w:val="00AB5223"/>
    <w:rsid w:val="00AC278A"/>
    <w:rsid w:val="00AD102C"/>
    <w:rsid w:val="00AD1728"/>
    <w:rsid w:val="00AD278B"/>
    <w:rsid w:val="00AD32A6"/>
    <w:rsid w:val="00AD37DD"/>
    <w:rsid w:val="00AD44B7"/>
    <w:rsid w:val="00AD4831"/>
    <w:rsid w:val="00AD57D6"/>
    <w:rsid w:val="00AD5F33"/>
    <w:rsid w:val="00AE0F2E"/>
    <w:rsid w:val="00AE1299"/>
    <w:rsid w:val="00AE32C1"/>
    <w:rsid w:val="00AF1EE3"/>
    <w:rsid w:val="00AF24E7"/>
    <w:rsid w:val="00AF4686"/>
    <w:rsid w:val="00AF4835"/>
    <w:rsid w:val="00B02B64"/>
    <w:rsid w:val="00B0457F"/>
    <w:rsid w:val="00B1432D"/>
    <w:rsid w:val="00B24C4B"/>
    <w:rsid w:val="00B261BB"/>
    <w:rsid w:val="00B2646B"/>
    <w:rsid w:val="00B436E3"/>
    <w:rsid w:val="00B44001"/>
    <w:rsid w:val="00B454EA"/>
    <w:rsid w:val="00B45CC9"/>
    <w:rsid w:val="00B46DEC"/>
    <w:rsid w:val="00B47233"/>
    <w:rsid w:val="00B51413"/>
    <w:rsid w:val="00B5612B"/>
    <w:rsid w:val="00B56BD6"/>
    <w:rsid w:val="00B61BD2"/>
    <w:rsid w:val="00B64D22"/>
    <w:rsid w:val="00B653F6"/>
    <w:rsid w:val="00B67E68"/>
    <w:rsid w:val="00B77675"/>
    <w:rsid w:val="00B811ED"/>
    <w:rsid w:val="00B82CD7"/>
    <w:rsid w:val="00B8445A"/>
    <w:rsid w:val="00B8460B"/>
    <w:rsid w:val="00B907D7"/>
    <w:rsid w:val="00B95053"/>
    <w:rsid w:val="00BB059E"/>
    <w:rsid w:val="00BB0C9E"/>
    <w:rsid w:val="00BC16CA"/>
    <w:rsid w:val="00BC559C"/>
    <w:rsid w:val="00BC6A5E"/>
    <w:rsid w:val="00BC7BC6"/>
    <w:rsid w:val="00BD0B19"/>
    <w:rsid w:val="00BD2B9C"/>
    <w:rsid w:val="00BD47D2"/>
    <w:rsid w:val="00BD5174"/>
    <w:rsid w:val="00BD5C84"/>
    <w:rsid w:val="00BE0CF9"/>
    <w:rsid w:val="00BE7DD3"/>
    <w:rsid w:val="00BF0246"/>
    <w:rsid w:val="00BF4F27"/>
    <w:rsid w:val="00BF5A99"/>
    <w:rsid w:val="00BF6C6E"/>
    <w:rsid w:val="00C02B98"/>
    <w:rsid w:val="00C0380F"/>
    <w:rsid w:val="00C13753"/>
    <w:rsid w:val="00C216AD"/>
    <w:rsid w:val="00C221CD"/>
    <w:rsid w:val="00C2368E"/>
    <w:rsid w:val="00C24D9F"/>
    <w:rsid w:val="00C259CA"/>
    <w:rsid w:val="00C307CC"/>
    <w:rsid w:val="00C30F5F"/>
    <w:rsid w:val="00C34274"/>
    <w:rsid w:val="00C36669"/>
    <w:rsid w:val="00C4029F"/>
    <w:rsid w:val="00C470FC"/>
    <w:rsid w:val="00C51AB6"/>
    <w:rsid w:val="00C51DCE"/>
    <w:rsid w:val="00C551EC"/>
    <w:rsid w:val="00C63F6B"/>
    <w:rsid w:val="00C71379"/>
    <w:rsid w:val="00C80DA4"/>
    <w:rsid w:val="00C821C8"/>
    <w:rsid w:val="00C8312B"/>
    <w:rsid w:val="00C832FA"/>
    <w:rsid w:val="00C847A2"/>
    <w:rsid w:val="00C86E32"/>
    <w:rsid w:val="00C937C1"/>
    <w:rsid w:val="00C93BA6"/>
    <w:rsid w:val="00C94D19"/>
    <w:rsid w:val="00C9553A"/>
    <w:rsid w:val="00C96260"/>
    <w:rsid w:val="00C965D0"/>
    <w:rsid w:val="00CB31AB"/>
    <w:rsid w:val="00CB49A4"/>
    <w:rsid w:val="00CC4E4E"/>
    <w:rsid w:val="00CC7ABF"/>
    <w:rsid w:val="00CD08F3"/>
    <w:rsid w:val="00CE058C"/>
    <w:rsid w:val="00CF6ACB"/>
    <w:rsid w:val="00CF7D88"/>
    <w:rsid w:val="00D00704"/>
    <w:rsid w:val="00D022FD"/>
    <w:rsid w:val="00D02FA0"/>
    <w:rsid w:val="00D166C8"/>
    <w:rsid w:val="00D2751D"/>
    <w:rsid w:val="00D3068B"/>
    <w:rsid w:val="00D360BE"/>
    <w:rsid w:val="00D401F3"/>
    <w:rsid w:val="00D41B2E"/>
    <w:rsid w:val="00D43863"/>
    <w:rsid w:val="00D45074"/>
    <w:rsid w:val="00D45616"/>
    <w:rsid w:val="00D46206"/>
    <w:rsid w:val="00D465BF"/>
    <w:rsid w:val="00D50518"/>
    <w:rsid w:val="00D537FA"/>
    <w:rsid w:val="00D54DCB"/>
    <w:rsid w:val="00D56A1D"/>
    <w:rsid w:val="00D607C2"/>
    <w:rsid w:val="00D619F9"/>
    <w:rsid w:val="00D64CD5"/>
    <w:rsid w:val="00D6705C"/>
    <w:rsid w:val="00D674C2"/>
    <w:rsid w:val="00D76A87"/>
    <w:rsid w:val="00D76B4A"/>
    <w:rsid w:val="00D76F63"/>
    <w:rsid w:val="00D84CED"/>
    <w:rsid w:val="00D92A2E"/>
    <w:rsid w:val="00D94037"/>
    <w:rsid w:val="00D96446"/>
    <w:rsid w:val="00DA0F38"/>
    <w:rsid w:val="00DA1CBC"/>
    <w:rsid w:val="00DA319D"/>
    <w:rsid w:val="00DB64CE"/>
    <w:rsid w:val="00DB6AD6"/>
    <w:rsid w:val="00DC10A7"/>
    <w:rsid w:val="00DD0927"/>
    <w:rsid w:val="00DD4EC7"/>
    <w:rsid w:val="00DD619F"/>
    <w:rsid w:val="00DE799B"/>
    <w:rsid w:val="00DF6FB8"/>
    <w:rsid w:val="00DF70EA"/>
    <w:rsid w:val="00DF7465"/>
    <w:rsid w:val="00E03FBB"/>
    <w:rsid w:val="00E136D8"/>
    <w:rsid w:val="00E203F0"/>
    <w:rsid w:val="00E2177C"/>
    <w:rsid w:val="00E27CF7"/>
    <w:rsid w:val="00E3450E"/>
    <w:rsid w:val="00E35A50"/>
    <w:rsid w:val="00E36020"/>
    <w:rsid w:val="00E40247"/>
    <w:rsid w:val="00E42596"/>
    <w:rsid w:val="00E42715"/>
    <w:rsid w:val="00E44997"/>
    <w:rsid w:val="00E47A97"/>
    <w:rsid w:val="00E505A0"/>
    <w:rsid w:val="00E54192"/>
    <w:rsid w:val="00E6459D"/>
    <w:rsid w:val="00E65E05"/>
    <w:rsid w:val="00E66B1D"/>
    <w:rsid w:val="00E71ED5"/>
    <w:rsid w:val="00E72903"/>
    <w:rsid w:val="00E73474"/>
    <w:rsid w:val="00E73A26"/>
    <w:rsid w:val="00E76B16"/>
    <w:rsid w:val="00E809D3"/>
    <w:rsid w:val="00E80C2D"/>
    <w:rsid w:val="00E87123"/>
    <w:rsid w:val="00E87599"/>
    <w:rsid w:val="00E97913"/>
    <w:rsid w:val="00EA0401"/>
    <w:rsid w:val="00EA2F6B"/>
    <w:rsid w:val="00EB0589"/>
    <w:rsid w:val="00EB36DF"/>
    <w:rsid w:val="00EB3953"/>
    <w:rsid w:val="00EC5120"/>
    <w:rsid w:val="00EC6C1D"/>
    <w:rsid w:val="00EC6C7E"/>
    <w:rsid w:val="00EC78FB"/>
    <w:rsid w:val="00ED6075"/>
    <w:rsid w:val="00ED61A7"/>
    <w:rsid w:val="00EE3099"/>
    <w:rsid w:val="00EF0E80"/>
    <w:rsid w:val="00EF2854"/>
    <w:rsid w:val="00EF7384"/>
    <w:rsid w:val="00F009F2"/>
    <w:rsid w:val="00F027A8"/>
    <w:rsid w:val="00F02F9A"/>
    <w:rsid w:val="00F05505"/>
    <w:rsid w:val="00F05B0D"/>
    <w:rsid w:val="00F07C49"/>
    <w:rsid w:val="00F11E28"/>
    <w:rsid w:val="00F132C9"/>
    <w:rsid w:val="00F162C7"/>
    <w:rsid w:val="00F16882"/>
    <w:rsid w:val="00F23EF3"/>
    <w:rsid w:val="00F24B8C"/>
    <w:rsid w:val="00F26DCF"/>
    <w:rsid w:val="00F30439"/>
    <w:rsid w:val="00F31008"/>
    <w:rsid w:val="00F33C6F"/>
    <w:rsid w:val="00F37062"/>
    <w:rsid w:val="00F468B5"/>
    <w:rsid w:val="00F57069"/>
    <w:rsid w:val="00F626A3"/>
    <w:rsid w:val="00F638A3"/>
    <w:rsid w:val="00F63E26"/>
    <w:rsid w:val="00F66ECA"/>
    <w:rsid w:val="00F70516"/>
    <w:rsid w:val="00F71FAD"/>
    <w:rsid w:val="00F7348F"/>
    <w:rsid w:val="00F7592A"/>
    <w:rsid w:val="00F819C9"/>
    <w:rsid w:val="00F870A1"/>
    <w:rsid w:val="00F87D65"/>
    <w:rsid w:val="00F93CFE"/>
    <w:rsid w:val="00F95796"/>
    <w:rsid w:val="00FA097C"/>
    <w:rsid w:val="00FA2B05"/>
    <w:rsid w:val="00FA6D83"/>
    <w:rsid w:val="00FB0840"/>
    <w:rsid w:val="00FB1304"/>
    <w:rsid w:val="00FB7145"/>
    <w:rsid w:val="00FC118F"/>
    <w:rsid w:val="00FC495E"/>
    <w:rsid w:val="00FC5026"/>
    <w:rsid w:val="00FC5505"/>
    <w:rsid w:val="00FC662F"/>
    <w:rsid w:val="00FC6B9C"/>
    <w:rsid w:val="00FD01A7"/>
    <w:rsid w:val="00FD1670"/>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1240</Words>
  <Characters>7073</Characters>
  <Application>Microsoft Office Word</Application>
  <DocSecurity>0</DocSecurity>
  <Lines>58</Lines>
  <Paragraphs>16</Paragraphs>
  <ScaleCrop>false</ScaleCrop>
  <Company>MC SYSTEM</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445</cp:revision>
  <cp:lastPrinted>2024-11-08T17:51:00Z</cp:lastPrinted>
  <dcterms:created xsi:type="dcterms:W3CDTF">2024-11-07T13:13:00Z</dcterms:created>
  <dcterms:modified xsi:type="dcterms:W3CDTF">2024-11-15T16:26:00Z</dcterms:modified>
</cp:coreProperties>
</file>