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401F" w:rsidRDefault="00A5401F" w:rsidP="005401F5">
      <w:pPr>
        <w:rPr>
          <w:rFonts w:eastAsia="黑体" w:hint="eastAsia"/>
          <w:sz w:val="44"/>
        </w:rPr>
      </w:pPr>
    </w:p>
    <w:p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rsidR="00A5401F" w:rsidRDefault="00A5401F" w:rsidP="005401F5">
      <w:pPr>
        <w:rPr>
          <w:rFonts w:hint="eastAsia"/>
        </w:rPr>
      </w:pPr>
    </w:p>
    <w:p w:rsidR="00A5401F" w:rsidRDefault="00A5401F" w:rsidP="005401F5">
      <w:pPr>
        <w:ind w:leftChars="200" w:left="420" w:rightChars="200" w:right="420"/>
        <w:rPr>
          <w:rFonts w:hint="eastAsia"/>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rsidR="00A5401F" w:rsidRDefault="00A5401F" w:rsidP="005401F5">
      <w:pPr>
        <w:ind w:leftChars="200" w:left="420" w:rightChars="200" w:right="420"/>
        <w:rPr>
          <w:rFonts w:hint="eastAsia"/>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rsidR="00A5401F" w:rsidRDefault="00A5401F" w:rsidP="00B2646B">
      <w:pPr>
        <w:ind w:rightChars="200" w:right="420"/>
        <w:rPr>
          <w:rFonts w:hint="eastAsia"/>
          <w:sz w:val="18"/>
        </w:rPr>
      </w:pPr>
    </w:p>
    <w:p w:rsidR="00A5401F" w:rsidRPr="00F87D65" w:rsidRDefault="00B82CD7" w:rsidP="00D96446">
      <w:pPr>
        <w:pStyle w:val="a7"/>
        <w:outlineLvl w:val="0"/>
        <w:rPr>
          <w:rFonts w:hint="eastAsia"/>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rsidR="00E505A0" w:rsidRDefault="00E505A0" w:rsidP="005401F5">
      <w:pPr>
        <w:rPr>
          <w:b/>
          <w:bCs/>
          <w:sz w:val="18"/>
          <w:szCs w:val="18"/>
        </w:rPr>
      </w:pPr>
    </w:p>
    <w:p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rsidR="00A5401F" w:rsidRPr="00905648" w:rsidRDefault="00A5401F" w:rsidP="005401F5">
      <w:pPr>
        <w:rPr>
          <w:rFonts w:hint="eastAsia"/>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rsidR="00E36020" w:rsidRPr="00B8445A" w:rsidRDefault="00E36020" w:rsidP="005401F5">
      <w:pPr>
        <w:pStyle w:val="3"/>
        <w:spacing w:line="240" w:lineRule="auto"/>
      </w:pPr>
    </w:p>
    <w:p w:rsidR="00E36020" w:rsidRPr="00E36020" w:rsidRDefault="00A53D71" w:rsidP="00E36020">
      <w:pPr>
        <w:outlineLvl w:val="0"/>
        <w:rPr>
          <w:rFonts w:ascii="黑体" w:eastAsia="黑体" w:hint="eastAsia"/>
          <w:sz w:val="28"/>
        </w:rPr>
      </w:pPr>
      <w:r>
        <w:rPr>
          <w:rFonts w:ascii="黑体" w:eastAsia="黑体" w:hint="eastAsia"/>
          <w:sz w:val="28"/>
        </w:rPr>
        <w:t xml:space="preserve">0  </w:t>
      </w:r>
      <w:r w:rsidR="00E36020" w:rsidRPr="00E36020">
        <w:rPr>
          <w:rFonts w:ascii="黑体" w:eastAsia="黑体" w:hint="eastAsia"/>
          <w:sz w:val="28"/>
        </w:rPr>
        <w:t>引言</w:t>
      </w:r>
    </w:p>
    <w:p w:rsidR="005401F5" w:rsidRDefault="005401F5" w:rsidP="005401F5">
      <w:pPr>
        <w:pStyle w:val="3"/>
        <w:spacing w:line="240" w:lineRule="auto"/>
        <w:rPr>
          <w:rFonts w:hint="eastAsia"/>
        </w:rPr>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rsidR="00812AA5" w:rsidRDefault="00B261BB" w:rsidP="00B261BB">
      <w:pPr>
        <w:pStyle w:val="3"/>
      </w:pPr>
      <w:r>
        <w:rPr>
          <w:rFonts w:hint="eastAsia"/>
        </w:rPr>
        <w:t>负荷监测技术可以实现</w:t>
      </w:r>
      <w:proofErr w:type="gramStart"/>
      <w:r>
        <w:rPr>
          <w:rFonts w:hint="eastAsia"/>
        </w:rPr>
        <w:t>设备级用电</w:t>
      </w:r>
      <w:proofErr w:type="gramEnd"/>
      <w:r>
        <w:rPr>
          <w:rFonts w:hint="eastAsia"/>
        </w:rPr>
        <w:t>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sidRPr="00C937C1">
        <w:rPr>
          <w:vertAlign w:val="superscript"/>
        </w:rPr>
      </w:r>
      <w:r w:rsidR="00C937C1">
        <w:rPr>
          <w:vertAlign w:val="superscript"/>
        </w:rPr>
        <w:instrText xml:space="preserve"> \* MERGEFORMAT </w:instrText>
      </w:r>
      <w:r w:rsidR="00C937C1" w:rsidRPr="00C937C1">
        <w:rPr>
          <w:vertAlign w:val="superscript"/>
        </w:rPr>
        <w:fldChar w:fldCharType="separate"/>
      </w:r>
      <w:r w:rsidR="00C937C1" w:rsidRPr="00C937C1">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sidRPr="00313314">
        <w:rPr>
          <w:vertAlign w:val="superscript"/>
        </w:rPr>
      </w:r>
      <w:r w:rsidR="00313314">
        <w:rPr>
          <w:vertAlign w:val="superscript"/>
        </w:rPr>
        <w:instrText xml:space="preserve"> \* MERGEFORMAT </w:instrText>
      </w:r>
      <w:r w:rsidR="00313314" w:rsidRPr="00313314">
        <w:rPr>
          <w:vertAlign w:val="superscript"/>
        </w:rPr>
        <w:fldChar w:fldCharType="separate"/>
      </w:r>
      <w:r w:rsidR="00313314" w:rsidRPr="00313314">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rsidR="0061788E" w:rsidRPr="001D3AE0" w:rsidRDefault="00CC7ABF" w:rsidP="00CC7ABF">
      <w:pPr>
        <w:pStyle w:val="3"/>
        <w:rPr>
          <w:rFonts w:hint="eastAsia"/>
        </w:rPr>
      </w:pPr>
      <w:r>
        <w:rPr>
          <w:rFonts w:hint="eastAsia"/>
        </w:rPr>
        <w:t>最优化方法是目前解决非侵入负荷分解与识别问题的主流方法之一</w:t>
      </w:r>
      <w:r>
        <w:rPr>
          <w:rFonts w:hint="eastAsia"/>
        </w:rPr>
        <w:t>。</w:t>
      </w:r>
      <w:r w:rsidR="00B5612B" w:rsidRPr="00B5612B">
        <w:rPr>
          <w:rFonts w:hint="eastAsia"/>
        </w:rPr>
        <w:t>为此，本文提出了一种基于电流概率质量函数（</w:t>
      </w:r>
      <w:r w:rsidR="00334C90">
        <w:rPr>
          <w:rFonts w:hint="eastAsia"/>
        </w:rPr>
        <w:t>P</w:t>
      </w:r>
      <w:r w:rsidR="00334C90" w:rsidRPr="00334C90">
        <w:t>robability</w:t>
      </w:r>
      <w:r w:rsidR="00334C90">
        <w:rPr>
          <w:rFonts w:hint="eastAsia"/>
        </w:rPr>
        <w:t xml:space="preserve"> M</w:t>
      </w:r>
      <w:r w:rsidR="00334C90" w:rsidRPr="00334C90">
        <w:t xml:space="preserve">ass </w:t>
      </w:r>
      <w:r w:rsidR="00334C90">
        <w:rPr>
          <w:rFonts w:hint="eastAsia"/>
        </w:rPr>
        <w:t>F</w:t>
      </w:r>
      <w:r w:rsidR="00334C90" w:rsidRPr="00334C90">
        <w:t>unction</w:t>
      </w:r>
      <w:r w:rsidR="00334C90">
        <w:rPr>
          <w:rFonts w:hint="eastAsia"/>
        </w:rPr>
        <w:t>，</w:t>
      </w:r>
      <w:r w:rsidR="00B5612B" w:rsidRPr="00B5612B">
        <w:rPr>
          <w:rFonts w:hint="eastAsia"/>
        </w:rPr>
        <w:t>PMF</w:t>
      </w:r>
      <w:r w:rsidR="00B5612B" w:rsidRPr="00B5612B">
        <w:rPr>
          <w:rFonts w:hint="eastAsia"/>
        </w:rPr>
        <w:t>）分析和多目标优化（</w:t>
      </w:r>
      <w:r w:rsidR="00B5612B" w:rsidRPr="00B5612B">
        <w:rPr>
          <w:rFonts w:hint="eastAsia"/>
        </w:rPr>
        <w:t>NSGA-II</w:t>
      </w:r>
      <w:r w:rsidR="00B5612B" w:rsidRPr="00B5612B">
        <w:rPr>
          <w:rFonts w:hint="eastAsia"/>
        </w:rPr>
        <w:t>）的组合优化方法，以提高电器状态识别的精度，并优化电流与功率的匹配。</w:t>
      </w:r>
    </w:p>
    <w:p w:rsidR="00A5401F" w:rsidRPr="004C377F" w:rsidRDefault="00A5401F" w:rsidP="004C377F">
      <w:pPr>
        <w:outlineLvl w:val="0"/>
        <w:rPr>
          <w:rFonts w:eastAsia="黑体" w:hint="eastAsia"/>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rsidR="00A5401F" w:rsidRDefault="00A5401F" w:rsidP="00D96446">
      <w:pPr>
        <w:outlineLvl w:val="0"/>
        <w:rPr>
          <w:rFonts w:ascii="黑体" w:eastAsia="黑体" w:hint="eastAsia"/>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w:t>
      </w:r>
      <w:r w:rsidR="00E87599" w:rsidRPr="00E87599">
        <w:rPr>
          <w:rFonts w:hint="eastAsia"/>
          <w:szCs w:val="21"/>
        </w:rPr>
        <w:lastRenderedPageBreak/>
        <w:t>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rsidR="00ED61A7" w:rsidRDefault="00E35A50" w:rsidP="00712DA9">
      <w:pPr>
        <w:ind w:firstLineChars="200" w:firstLine="420"/>
        <w:jc w:val="center"/>
      </w:pPr>
      <w:r>
        <w:rPr>
          <w:noProof/>
        </w:rPr>
        <w:drawing>
          <wp:inline distT="0" distB="0" distL="0" distR="0">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rsidR="000335AC" w:rsidRPr="00454300" w:rsidRDefault="000335AC" w:rsidP="000335AC">
      <w:pPr>
        <w:spacing w:afterLines="50" w:after="156"/>
        <w:jc w:val="center"/>
        <w:rPr>
          <w:rFonts w:hint="eastAsia"/>
          <w:b/>
          <w:sz w:val="15"/>
          <w:szCs w:val="15"/>
          <w:vertAlign w:val="subscript"/>
        </w:rPr>
      </w:pPr>
      <w:r w:rsidRPr="00454300">
        <w:rPr>
          <w:rFonts w:hint="eastAsia"/>
          <w:b/>
          <w:sz w:val="15"/>
          <w:szCs w:val="15"/>
        </w:rPr>
        <w:t>Fig.</w:t>
      </w:r>
      <w:proofErr w:type="gramStart"/>
      <w:r w:rsidR="00F027A8">
        <w:rPr>
          <w:rFonts w:hint="eastAsia"/>
          <w:b/>
          <w:sz w:val="15"/>
          <w:szCs w:val="15"/>
        </w:rPr>
        <w:t>1</w:t>
      </w:r>
      <w:r w:rsidRPr="00454300">
        <w:rPr>
          <w:rFonts w:hint="eastAsia"/>
          <w:b/>
          <w:sz w:val="15"/>
          <w:szCs w:val="15"/>
        </w:rPr>
        <w:t xml:space="preserve">  </w:t>
      </w:r>
      <w:r w:rsidR="00F027A8" w:rsidRPr="00F027A8">
        <w:rPr>
          <w:b/>
          <w:sz w:val="15"/>
          <w:szCs w:val="15"/>
        </w:rPr>
        <w:t>Function</w:t>
      </w:r>
      <w:proofErr w:type="gramEnd"/>
      <w:r w:rsidR="00F027A8" w:rsidRPr="00F027A8">
        <w:rPr>
          <w:b/>
          <w:sz w:val="15"/>
          <w:szCs w:val="15"/>
        </w:rPr>
        <w:t xml:space="preserve"> of NILM system</w:t>
      </w:r>
    </w:p>
    <w:p w:rsidR="00D674C2" w:rsidRPr="00ED61A7" w:rsidRDefault="00D674C2" w:rsidP="00EF7384">
      <w:pPr>
        <w:ind w:firstLineChars="200" w:firstLine="420"/>
        <w:rPr>
          <w:rFonts w:hint="eastAsia"/>
          <w:szCs w:val="21"/>
        </w:rPr>
      </w:pPr>
    </w:p>
    <w:p w:rsidR="00A5401F" w:rsidRDefault="00A5401F" w:rsidP="00D96446">
      <w:pPr>
        <w:outlineLvl w:val="0"/>
        <w:rPr>
          <w:rFonts w:hint="eastAsia"/>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p>
    <w:p w:rsidR="00A5401F" w:rsidRPr="00D465BF" w:rsidRDefault="00A5401F" w:rsidP="00D465BF">
      <w:pPr>
        <w:ind w:firstLineChars="200" w:firstLine="420"/>
        <w:rPr>
          <w:rFonts w:hint="eastAsia"/>
          <w:szCs w:val="21"/>
        </w:rPr>
      </w:pPr>
    </w:p>
    <w:p w:rsidR="00A5401F" w:rsidRPr="00105DAC" w:rsidRDefault="00A5401F" w:rsidP="00105DAC">
      <w:pPr>
        <w:rPr>
          <w:rFonts w:ascii="宋体" w:hAnsi="宋体" w:hint="eastAsia"/>
          <w:b/>
          <w:sz w:val="15"/>
          <w:szCs w:val="15"/>
        </w:rPr>
      </w:pPr>
    </w:p>
    <w:p w:rsidR="00A5401F" w:rsidRDefault="00A5401F" w:rsidP="00D96446">
      <w:pPr>
        <w:outlineLvl w:val="0"/>
        <w:rPr>
          <w:rFonts w:ascii="黑体" w:eastAsia="黑体" w:hint="eastAsia"/>
          <w:sz w:val="28"/>
        </w:rPr>
      </w:pPr>
      <w:r>
        <w:rPr>
          <w:rFonts w:ascii="黑体" w:eastAsia="黑体" w:hint="eastAsia"/>
          <w:sz w:val="28"/>
        </w:rPr>
        <w:t xml:space="preserve">2  </w:t>
      </w:r>
      <w:r w:rsidR="00CC7ABF" w:rsidRPr="00CC7ABF">
        <w:rPr>
          <w:rFonts w:ascii="黑体" w:eastAsia="黑体" w:hint="eastAsia"/>
          <w:sz w:val="28"/>
        </w:rPr>
        <w:t>非侵入式多目标负荷分解模型</w:t>
      </w:r>
    </w:p>
    <w:p w:rsidR="00A5401F" w:rsidRDefault="00A5401F" w:rsidP="000A330A">
      <w:pPr>
        <w:ind w:firstLine="420"/>
      </w:pPr>
      <w:r>
        <w:rPr>
          <w:rFonts w:hint="eastAsia"/>
        </w:rPr>
        <w:t>作者可根据目前研究进展、难点等展开必要讨论，此部分对提高文章质量</w:t>
      </w:r>
      <w:proofErr w:type="gramStart"/>
      <w:r>
        <w:rPr>
          <w:rFonts w:hint="eastAsia"/>
        </w:rPr>
        <w:t>很</w:t>
      </w:r>
      <w:proofErr w:type="gramEnd"/>
      <w:r>
        <w:rPr>
          <w:rFonts w:hint="eastAsia"/>
        </w:rPr>
        <w:t>关键，作者应认真撰写。</w:t>
      </w:r>
    </w:p>
    <w:p w:rsidR="000A330A" w:rsidRPr="000A330A" w:rsidRDefault="000A330A" w:rsidP="000A330A">
      <w:pPr>
        <w:ind w:firstLine="420"/>
        <w:rPr>
          <w:rFonts w:hint="eastAsia"/>
        </w:rPr>
      </w:pPr>
    </w:p>
    <w:p w:rsidR="00A5401F" w:rsidRPr="006E0A04" w:rsidRDefault="00A5401F" w:rsidP="006E0A04">
      <w:pPr>
        <w:outlineLvl w:val="0"/>
        <w:rPr>
          <w:rFonts w:eastAsia="黑体" w:hint="eastAsia"/>
          <w:b/>
          <w:bCs/>
          <w:sz w:val="28"/>
        </w:rPr>
      </w:pPr>
      <w:r>
        <w:rPr>
          <w:rFonts w:ascii="黑体" w:eastAsia="黑体" w:hint="eastAsia"/>
          <w:sz w:val="28"/>
        </w:rPr>
        <w:t xml:space="preserve">3  </w:t>
      </w:r>
      <w:r w:rsidR="001E3724" w:rsidRPr="001E3724">
        <w:rPr>
          <w:rFonts w:ascii="黑体" w:eastAsia="黑体" w:hint="eastAsia"/>
          <w:sz w:val="28"/>
        </w:rPr>
        <w:t>非侵入式负荷多目标分解框架</w:t>
      </w:r>
    </w:p>
    <w:p w:rsidR="00550380" w:rsidRDefault="00550380" w:rsidP="00550380">
      <w:pPr>
        <w:outlineLvl w:val="0"/>
        <w:rPr>
          <w:rFonts w:eastAsia="黑体" w:hint="eastAsia"/>
          <w:b/>
        </w:rPr>
      </w:pPr>
      <w:r>
        <w:rPr>
          <w:rFonts w:ascii="黑体" w:eastAsia="黑体" w:hint="eastAsia"/>
          <w:bCs/>
        </w:rPr>
        <w:t xml:space="preserve">3.1  </w:t>
      </w:r>
      <w:r w:rsidR="007E0220">
        <w:rPr>
          <w:rFonts w:ascii="黑体" w:eastAsia="黑体" w:hint="eastAsia"/>
          <w:bCs/>
        </w:rPr>
        <w:t>数据</w:t>
      </w:r>
      <w:proofErr w:type="gramStart"/>
      <w:r w:rsidR="007E0220">
        <w:rPr>
          <w:rFonts w:ascii="黑体" w:eastAsia="黑体" w:hint="eastAsia"/>
          <w:bCs/>
        </w:rPr>
        <w:t>集选择</w:t>
      </w:r>
      <w:proofErr w:type="gramEnd"/>
      <w:r w:rsidR="007E0220">
        <w:rPr>
          <w:rFonts w:ascii="黑体" w:eastAsia="黑体" w:hint="eastAsia"/>
          <w:bCs/>
        </w:rPr>
        <w:t>与</w:t>
      </w:r>
      <w:r w:rsidRPr="008E6DC2">
        <w:rPr>
          <w:rFonts w:ascii="黑体" w:eastAsia="黑体" w:hint="eastAsia"/>
          <w:bCs/>
        </w:rPr>
        <w:t>数据</w:t>
      </w:r>
      <w:r w:rsidR="00205490">
        <w:rPr>
          <w:rFonts w:ascii="黑体" w:eastAsia="黑体" w:hint="eastAsia"/>
          <w:bCs/>
        </w:rPr>
        <w:t>预处理</w:t>
      </w:r>
    </w:p>
    <w:p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rsidR="00E6459D" w:rsidRDefault="00EF0E80" w:rsidP="00550380">
      <w:pPr>
        <w:ind w:firstLineChars="200" w:firstLine="420"/>
        <w:rPr>
          <w:rFonts w:hint="eastAsia"/>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规格。</w:t>
      </w:r>
      <w:r w:rsidR="008556C6" w:rsidRPr="008556C6">
        <w:rPr>
          <w:rFonts w:hint="eastAsia"/>
          <w:szCs w:val="21"/>
        </w:rPr>
        <w:t>包括</w:t>
      </w:r>
      <w:proofErr w:type="gramStart"/>
      <w:r w:rsidR="00BC6A5E">
        <w:rPr>
          <w:rFonts w:hint="eastAsia"/>
          <w:szCs w:val="21"/>
        </w:rPr>
        <w:t>四状态</w:t>
      </w:r>
      <w:proofErr w:type="gramEnd"/>
      <w:r w:rsidR="00BC6A5E">
        <w:rPr>
          <w:rFonts w:hint="eastAsia"/>
          <w:szCs w:val="21"/>
        </w:rPr>
        <w:t>的</w:t>
      </w:r>
      <w:r w:rsidR="008556C6" w:rsidRPr="008556C6">
        <w:rPr>
          <w:rFonts w:hint="eastAsia"/>
          <w:szCs w:val="21"/>
        </w:rPr>
        <w:t>洗碗机（</w:t>
      </w:r>
      <w:r w:rsidR="004C78E7" w:rsidRPr="004C78E7">
        <w:rPr>
          <w:szCs w:val="21"/>
        </w:rPr>
        <w:t>Dishwasher</w:t>
      </w:r>
      <w:r w:rsidR="008556C6" w:rsidRPr="008556C6">
        <w:rPr>
          <w:rFonts w:hint="eastAsia"/>
          <w:szCs w:val="21"/>
        </w:rPr>
        <w:t>）、</w:t>
      </w:r>
      <w:proofErr w:type="gramStart"/>
      <w:r w:rsidR="005373E8">
        <w:rPr>
          <w:rFonts w:hint="eastAsia"/>
          <w:szCs w:val="21"/>
        </w:rPr>
        <w:t>三状态</w:t>
      </w:r>
      <w:proofErr w:type="gramEnd"/>
      <w:r w:rsidR="005373E8">
        <w:rPr>
          <w:rFonts w:hint="eastAsia"/>
          <w:szCs w:val="21"/>
        </w:rPr>
        <w:t>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）。通过这些电器的能耗数据，我们对其工作状态进行了细化分析，以便为后续多目标</w:t>
      </w:r>
      <w:r w:rsidR="005B16C0">
        <w:rPr>
          <w:rFonts w:hint="eastAsia"/>
          <w:szCs w:val="21"/>
        </w:rPr>
        <w:t>组合</w:t>
      </w:r>
      <w:r w:rsidR="008556C6" w:rsidRPr="008556C6">
        <w:rPr>
          <w:rFonts w:hint="eastAsia"/>
          <w:szCs w:val="21"/>
        </w:rPr>
        <w:t>优化提供支持。</w:t>
      </w:r>
    </w:p>
    <w:p w:rsidR="00550380" w:rsidRDefault="00550380" w:rsidP="00550380">
      <w:pPr>
        <w:outlineLvl w:val="0"/>
        <w:rPr>
          <w:rFonts w:eastAsia="黑体" w:hint="eastAsia"/>
          <w:b/>
        </w:rPr>
      </w:pPr>
      <w:r>
        <w:rPr>
          <w:rFonts w:ascii="黑体" w:eastAsia="黑体" w:hint="eastAsia"/>
          <w:bCs/>
        </w:rPr>
        <w:t xml:space="preserve">3.2  </w:t>
      </w:r>
      <w:r w:rsidR="005B693D" w:rsidRPr="005B693D">
        <w:rPr>
          <w:rFonts w:ascii="黑体" w:eastAsia="黑体" w:hint="eastAsia"/>
          <w:bCs/>
        </w:rPr>
        <w:t>电器工作状态识别</w:t>
      </w:r>
    </w:p>
    <w:p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rsidR="005D653C" w:rsidRPr="00AB2304" w:rsidRDefault="00810E58"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1</m:t>
                  </m:r>
                </m:e>
              </m:d>
            </m:e>
          </m:eqArr>
        </m:oMath>
      </m:oMathPara>
    </w:p>
    <w:p w:rsidR="00AB2304" w:rsidRPr="00AB2304" w:rsidRDefault="00AB2304" w:rsidP="00AB2304">
      <w:pPr>
        <w:ind w:firstLineChars="200" w:firstLine="420"/>
        <w:jc w:val="center"/>
        <w:rPr>
          <w:rFonts w:hint="eastAsia"/>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=IV</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2</m:t>
                  </m:r>
                </m:e>
              </m:d>
            </m:e>
          </m:eqArr>
        </m:oMath>
      </m:oMathPara>
    </w:p>
    <w:p w:rsidR="00550380" w:rsidRPr="0072008A" w:rsidRDefault="0072008A" w:rsidP="006C5FC0">
      <w:pPr>
        <w:ind w:firstLineChars="200" w:firstLine="420"/>
        <w:rPr>
          <w:rFonts w:hint="eastAsia"/>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rsidR="00740EC1" w:rsidRPr="005C0C5A" w:rsidRDefault="00740EC1" w:rsidP="00740EC1">
      <w:pPr>
        <w:spacing w:beforeLines="50" w:before="156"/>
        <w:jc w:val="center"/>
        <w:rPr>
          <w:rFonts w:ascii="宋体" w:hAnsi="宋体"/>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rsidR="00740EC1" w:rsidRPr="005C0C5A" w:rsidRDefault="00740EC1" w:rsidP="00740EC1">
      <w:pPr>
        <w:spacing w:afterLines="20" w:after="62"/>
        <w:jc w:val="center"/>
        <w:rPr>
          <w:rFonts w:eastAsia="黑体" w:hint="eastAsia"/>
          <w:b/>
          <w:sz w:val="15"/>
          <w:szCs w:val="15"/>
        </w:rPr>
      </w:pPr>
      <w:r w:rsidRPr="005C0C5A">
        <w:rPr>
          <w:rFonts w:eastAsia="黑体"/>
          <w:b/>
          <w:sz w:val="15"/>
          <w:szCs w:val="15"/>
        </w:rPr>
        <w:t xml:space="preserve">Table </w:t>
      </w:r>
      <w:proofErr w:type="gramStart"/>
      <w:r w:rsidRPr="005C0C5A">
        <w:rPr>
          <w:rFonts w:eastAsia="黑体"/>
          <w:b/>
          <w:sz w:val="15"/>
          <w:szCs w:val="15"/>
        </w:rPr>
        <w:t xml:space="preserve">1 </w:t>
      </w:r>
      <w:r w:rsidRPr="005C0C5A">
        <w:rPr>
          <w:rFonts w:eastAsia="黑体" w:hint="eastAsia"/>
          <w:b/>
          <w:sz w:val="15"/>
          <w:szCs w:val="15"/>
        </w:rPr>
        <w:t xml:space="preserve"> </w:t>
      </w:r>
      <w:r w:rsidR="00971992" w:rsidRPr="00971992">
        <w:rPr>
          <w:rFonts w:eastAsia="黑体"/>
          <w:b/>
          <w:sz w:val="15"/>
          <w:szCs w:val="15"/>
        </w:rPr>
        <w:t>Different</w:t>
      </w:r>
      <w:proofErr w:type="gramEnd"/>
      <w:r w:rsidR="00971992" w:rsidRPr="00971992">
        <w:rPr>
          <w:rFonts w:eastAsia="黑体"/>
          <w:b/>
          <w:sz w:val="15"/>
          <w:szCs w:val="15"/>
        </w:rPr>
        <w:t xml:space="preserve">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rsidTr="003C2C26">
        <w:tblPrEx>
          <w:tblCellMar>
            <w:top w:w="0" w:type="dxa"/>
            <w:bottom w:w="0" w:type="dxa"/>
          </w:tblCellMar>
        </w:tblPrEx>
        <w:trPr>
          <w:cantSplit/>
          <w:trHeight w:val="284"/>
          <w:jc w:val="center"/>
        </w:trPr>
        <w:tc>
          <w:tcPr>
            <w:tcW w:w="603" w:type="pct"/>
            <w:tcBorders>
              <w:top w:val="single" w:sz="8" w:space="0" w:color="auto"/>
              <w:bottom w:val="single" w:sz="4" w:space="0" w:color="auto"/>
            </w:tcBorders>
            <w:vAlign w:val="center"/>
          </w:tcPr>
          <w:p w:rsidR="00740EC1" w:rsidRDefault="00740EC1">
            <w:pPr>
              <w:jc w:val="center"/>
              <w:rPr>
                <w:rFonts w:hint="eastAsia"/>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rsidR="00740EC1" w:rsidRDefault="00740EC1">
            <w:pPr>
              <w:jc w:val="center"/>
              <w:rPr>
                <w:rFonts w:hint="eastAsia"/>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rsidR="00740EC1" w:rsidRDefault="00740EC1">
            <w:pPr>
              <w:jc w:val="center"/>
              <w:rPr>
                <w:rFonts w:hint="eastAsia"/>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rsidR="00740EC1" w:rsidRDefault="00740EC1">
            <w:pPr>
              <w:jc w:val="center"/>
              <w:rPr>
                <w:rFonts w:hint="eastAsia"/>
                <w:sz w:val="15"/>
              </w:rPr>
            </w:pPr>
            <w:r>
              <w:rPr>
                <w:rFonts w:hint="eastAsia"/>
                <w:sz w:val="15"/>
              </w:rPr>
              <w:t>倍数</w:t>
            </w:r>
          </w:p>
        </w:tc>
      </w:tr>
      <w:tr w:rsidR="00AD37DD" w:rsidTr="003C2C26">
        <w:tblPrEx>
          <w:tblCellMar>
            <w:top w:w="0" w:type="dxa"/>
            <w:bottom w:w="0" w:type="dxa"/>
          </w:tblCellMar>
        </w:tblPrEx>
        <w:trPr>
          <w:cantSplit/>
          <w:trHeight w:val="284"/>
          <w:jc w:val="center"/>
        </w:trPr>
        <w:tc>
          <w:tcPr>
            <w:tcW w:w="603" w:type="pct"/>
            <w:tcBorders>
              <w:top w:val="single" w:sz="4" w:space="0" w:color="auto"/>
            </w:tcBorders>
            <w:vAlign w:val="center"/>
          </w:tcPr>
          <w:p w:rsidR="00740EC1" w:rsidRDefault="00740EC1">
            <w:pPr>
              <w:jc w:val="center"/>
              <w:rPr>
                <w:rFonts w:hint="eastAsia"/>
                <w:sz w:val="15"/>
              </w:rPr>
            </w:pPr>
            <w:r>
              <w:rPr>
                <w:rFonts w:hint="eastAsia"/>
                <w:sz w:val="15"/>
              </w:rPr>
              <w:t>DWE</w:t>
            </w:r>
          </w:p>
        </w:tc>
        <w:tc>
          <w:tcPr>
            <w:tcW w:w="776" w:type="pct"/>
            <w:vAlign w:val="center"/>
          </w:tcPr>
          <w:p w:rsidR="00740EC1" w:rsidRDefault="00740EC1">
            <w:pPr>
              <w:jc w:val="center"/>
              <w:rPr>
                <w:sz w:val="15"/>
              </w:rPr>
            </w:pPr>
            <w:r>
              <w:rPr>
                <w:rFonts w:hint="eastAsia"/>
                <w:sz w:val="15"/>
              </w:rPr>
              <w:t>洗碗机</w:t>
            </w:r>
          </w:p>
        </w:tc>
        <w:tc>
          <w:tcPr>
            <w:tcW w:w="1230" w:type="pct"/>
            <w:vAlign w:val="center"/>
          </w:tcPr>
          <w:p w:rsidR="00740EC1" w:rsidRDefault="00740EC1">
            <w:pPr>
              <w:jc w:val="center"/>
              <w:rPr>
                <w:rFonts w:hint="eastAsia"/>
                <w:sz w:val="15"/>
              </w:rPr>
            </w:pPr>
            <w:r>
              <w:rPr>
                <w:rFonts w:hint="eastAsia"/>
                <w:sz w:val="15"/>
              </w:rPr>
              <w:t>46</w:t>
            </w:r>
          </w:p>
        </w:tc>
        <w:tc>
          <w:tcPr>
            <w:tcW w:w="1604" w:type="pct"/>
            <w:vAlign w:val="center"/>
          </w:tcPr>
          <w:p w:rsidR="00740EC1" w:rsidRDefault="00740EC1">
            <w:pPr>
              <w:jc w:val="center"/>
              <w:rPr>
                <w:rFonts w:hint="eastAsia"/>
                <w:sz w:val="15"/>
              </w:rPr>
            </w:pPr>
            <w:r>
              <w:rPr>
                <w:rFonts w:hint="eastAsia"/>
                <w:sz w:val="15"/>
              </w:rPr>
              <w:t>270</w:t>
            </w:r>
          </w:p>
        </w:tc>
        <w:tc>
          <w:tcPr>
            <w:tcW w:w="787" w:type="pct"/>
            <w:vAlign w:val="center"/>
          </w:tcPr>
          <w:p w:rsidR="00740EC1" w:rsidRDefault="00740EC1">
            <w:pPr>
              <w:jc w:val="center"/>
              <w:rPr>
                <w:rFonts w:hint="eastAsia"/>
                <w:sz w:val="15"/>
              </w:rPr>
            </w:pPr>
            <w:r>
              <w:rPr>
                <w:rFonts w:hint="eastAsia"/>
                <w:sz w:val="15"/>
              </w:rPr>
              <w:t>6</w:t>
            </w:r>
            <w:r>
              <w:rPr>
                <w:rFonts w:hint="eastAsia"/>
                <w:sz w:val="15"/>
              </w:rPr>
              <w:t>倍</w:t>
            </w:r>
          </w:p>
        </w:tc>
      </w:tr>
      <w:tr w:rsidR="00AD37DD" w:rsidTr="003C2C26">
        <w:tblPrEx>
          <w:tblCellMar>
            <w:top w:w="0" w:type="dxa"/>
            <w:bottom w:w="0" w:type="dxa"/>
          </w:tblCellMar>
        </w:tblPrEx>
        <w:trPr>
          <w:cantSplit/>
          <w:trHeight w:val="284"/>
          <w:jc w:val="center"/>
        </w:trPr>
        <w:tc>
          <w:tcPr>
            <w:tcW w:w="603" w:type="pct"/>
            <w:vAlign w:val="center"/>
          </w:tcPr>
          <w:p w:rsidR="00740EC1" w:rsidRDefault="00740EC1" w:rsidP="00740EC1">
            <w:pPr>
              <w:jc w:val="center"/>
              <w:rPr>
                <w:rFonts w:hint="eastAsia"/>
                <w:sz w:val="15"/>
              </w:rPr>
            </w:pPr>
            <w:r>
              <w:rPr>
                <w:rFonts w:hint="eastAsia"/>
                <w:sz w:val="15"/>
              </w:rPr>
              <w:t>FGE</w:t>
            </w:r>
          </w:p>
        </w:tc>
        <w:tc>
          <w:tcPr>
            <w:tcW w:w="776" w:type="pct"/>
            <w:vAlign w:val="center"/>
          </w:tcPr>
          <w:p w:rsidR="00740EC1" w:rsidRDefault="00740EC1">
            <w:pPr>
              <w:jc w:val="center"/>
              <w:rPr>
                <w:rFonts w:hint="eastAsia"/>
                <w:sz w:val="15"/>
              </w:rPr>
            </w:pPr>
            <w:r>
              <w:rPr>
                <w:rFonts w:hint="eastAsia"/>
                <w:sz w:val="15"/>
              </w:rPr>
              <w:t>冰箱</w:t>
            </w:r>
          </w:p>
        </w:tc>
        <w:tc>
          <w:tcPr>
            <w:tcW w:w="1230" w:type="pct"/>
            <w:vAlign w:val="center"/>
          </w:tcPr>
          <w:p w:rsidR="00740EC1" w:rsidRDefault="0013130C">
            <w:pPr>
              <w:jc w:val="center"/>
              <w:rPr>
                <w:rFonts w:hint="eastAsia"/>
                <w:sz w:val="15"/>
              </w:rPr>
            </w:pPr>
            <w:r>
              <w:rPr>
                <w:rFonts w:hint="eastAsia"/>
                <w:sz w:val="15"/>
              </w:rPr>
              <w:t>131</w:t>
            </w:r>
          </w:p>
        </w:tc>
        <w:tc>
          <w:tcPr>
            <w:tcW w:w="1604" w:type="pct"/>
            <w:vAlign w:val="center"/>
          </w:tcPr>
          <w:p w:rsidR="00740EC1" w:rsidRDefault="0013130C">
            <w:pPr>
              <w:jc w:val="center"/>
              <w:rPr>
                <w:rFonts w:hint="eastAsia"/>
                <w:sz w:val="15"/>
              </w:rPr>
            </w:pPr>
            <w:r>
              <w:rPr>
                <w:rFonts w:hint="eastAsia"/>
                <w:sz w:val="15"/>
              </w:rPr>
              <w:t>525</w:t>
            </w:r>
          </w:p>
        </w:tc>
        <w:tc>
          <w:tcPr>
            <w:tcW w:w="787" w:type="pct"/>
            <w:vAlign w:val="center"/>
          </w:tcPr>
          <w:p w:rsidR="00740EC1" w:rsidRDefault="0013130C">
            <w:pPr>
              <w:jc w:val="center"/>
              <w:rPr>
                <w:rFonts w:hint="eastAsia"/>
                <w:sz w:val="15"/>
              </w:rPr>
            </w:pPr>
            <w:r>
              <w:rPr>
                <w:rFonts w:hint="eastAsia"/>
                <w:sz w:val="15"/>
              </w:rPr>
              <w:t>4</w:t>
            </w:r>
            <w:r>
              <w:rPr>
                <w:rFonts w:hint="eastAsia"/>
                <w:sz w:val="15"/>
              </w:rPr>
              <w:t>倍</w:t>
            </w:r>
          </w:p>
        </w:tc>
      </w:tr>
      <w:tr w:rsidR="00AD37DD" w:rsidTr="003C2C26">
        <w:tblPrEx>
          <w:tblCellMar>
            <w:top w:w="0" w:type="dxa"/>
            <w:bottom w:w="0" w:type="dxa"/>
          </w:tblCellMar>
        </w:tblPrEx>
        <w:trPr>
          <w:cantSplit/>
          <w:trHeight w:val="284"/>
          <w:jc w:val="center"/>
        </w:trPr>
        <w:tc>
          <w:tcPr>
            <w:tcW w:w="603" w:type="pct"/>
            <w:vAlign w:val="center"/>
          </w:tcPr>
          <w:p w:rsidR="00740EC1" w:rsidRDefault="00740EC1" w:rsidP="0013130C">
            <w:pPr>
              <w:jc w:val="center"/>
              <w:rPr>
                <w:rFonts w:hint="eastAsia"/>
                <w:sz w:val="15"/>
              </w:rPr>
            </w:pPr>
            <w:r>
              <w:rPr>
                <w:rFonts w:hint="eastAsia"/>
                <w:sz w:val="15"/>
              </w:rPr>
              <w:t>FRE</w:t>
            </w:r>
          </w:p>
        </w:tc>
        <w:tc>
          <w:tcPr>
            <w:tcW w:w="776" w:type="pct"/>
            <w:vAlign w:val="center"/>
          </w:tcPr>
          <w:p w:rsidR="00740EC1" w:rsidRDefault="00740EC1" w:rsidP="0013130C">
            <w:pPr>
              <w:jc w:val="center"/>
              <w:rPr>
                <w:rFonts w:hint="eastAsia"/>
                <w:sz w:val="15"/>
              </w:rPr>
            </w:pPr>
            <w:r>
              <w:rPr>
                <w:rFonts w:hint="eastAsia"/>
                <w:sz w:val="15"/>
              </w:rPr>
              <w:t>电炉</w:t>
            </w:r>
          </w:p>
        </w:tc>
        <w:tc>
          <w:tcPr>
            <w:tcW w:w="1230" w:type="pct"/>
            <w:vAlign w:val="center"/>
          </w:tcPr>
          <w:p w:rsidR="0013130C" w:rsidRDefault="0013130C" w:rsidP="0013130C">
            <w:pPr>
              <w:jc w:val="center"/>
              <w:rPr>
                <w:rFonts w:hint="eastAsia"/>
                <w:sz w:val="15"/>
              </w:rPr>
            </w:pPr>
            <w:r>
              <w:rPr>
                <w:rFonts w:hint="eastAsia"/>
                <w:sz w:val="15"/>
              </w:rPr>
              <w:t>45</w:t>
            </w:r>
          </w:p>
        </w:tc>
        <w:tc>
          <w:tcPr>
            <w:tcW w:w="1604" w:type="pct"/>
            <w:vAlign w:val="center"/>
          </w:tcPr>
          <w:p w:rsidR="0013130C" w:rsidRDefault="0013130C" w:rsidP="0013130C">
            <w:pPr>
              <w:jc w:val="center"/>
              <w:rPr>
                <w:rFonts w:hint="eastAsia"/>
                <w:sz w:val="15"/>
              </w:rPr>
            </w:pPr>
            <w:r>
              <w:rPr>
                <w:rFonts w:hint="eastAsia"/>
                <w:sz w:val="15"/>
              </w:rPr>
              <w:t>298</w:t>
            </w:r>
          </w:p>
        </w:tc>
        <w:tc>
          <w:tcPr>
            <w:tcW w:w="787" w:type="pct"/>
            <w:vAlign w:val="center"/>
          </w:tcPr>
          <w:p w:rsidR="0013130C" w:rsidRDefault="0013130C" w:rsidP="0013130C">
            <w:pPr>
              <w:jc w:val="center"/>
              <w:rPr>
                <w:rFonts w:hint="eastAsia"/>
                <w:sz w:val="15"/>
              </w:rPr>
            </w:pPr>
            <w:r>
              <w:rPr>
                <w:rFonts w:hint="eastAsia"/>
                <w:sz w:val="15"/>
              </w:rPr>
              <w:t>7</w:t>
            </w:r>
            <w:r>
              <w:rPr>
                <w:rFonts w:hint="eastAsia"/>
                <w:sz w:val="15"/>
              </w:rPr>
              <w:t>倍</w:t>
            </w:r>
          </w:p>
        </w:tc>
      </w:tr>
      <w:tr w:rsidR="00AD37DD" w:rsidTr="003C2C26">
        <w:tblPrEx>
          <w:tblCellMar>
            <w:top w:w="0" w:type="dxa"/>
            <w:bottom w:w="0" w:type="dxa"/>
          </w:tblCellMar>
        </w:tblPrEx>
        <w:trPr>
          <w:cantSplit/>
          <w:trHeight w:val="284"/>
          <w:jc w:val="center"/>
        </w:trPr>
        <w:tc>
          <w:tcPr>
            <w:tcW w:w="603" w:type="pct"/>
            <w:vAlign w:val="center"/>
          </w:tcPr>
          <w:p w:rsidR="00740EC1" w:rsidRDefault="0013130C" w:rsidP="0013130C">
            <w:pPr>
              <w:jc w:val="center"/>
              <w:rPr>
                <w:rFonts w:hint="eastAsia"/>
                <w:sz w:val="15"/>
              </w:rPr>
            </w:pPr>
            <w:r>
              <w:rPr>
                <w:rFonts w:hint="eastAsia"/>
                <w:sz w:val="15"/>
              </w:rPr>
              <w:t>TVE</w:t>
            </w:r>
          </w:p>
        </w:tc>
        <w:tc>
          <w:tcPr>
            <w:tcW w:w="776" w:type="pct"/>
            <w:vAlign w:val="center"/>
          </w:tcPr>
          <w:p w:rsidR="00740EC1" w:rsidRDefault="0013130C" w:rsidP="0013130C">
            <w:pPr>
              <w:jc w:val="center"/>
              <w:rPr>
                <w:rFonts w:hint="eastAsia"/>
                <w:sz w:val="15"/>
              </w:rPr>
            </w:pPr>
            <w:r>
              <w:rPr>
                <w:rFonts w:hint="eastAsia"/>
                <w:sz w:val="15"/>
              </w:rPr>
              <w:t>电视</w:t>
            </w:r>
          </w:p>
        </w:tc>
        <w:tc>
          <w:tcPr>
            <w:tcW w:w="1230" w:type="pct"/>
            <w:vAlign w:val="center"/>
          </w:tcPr>
          <w:p w:rsidR="00740EC1" w:rsidRDefault="0013130C" w:rsidP="0013130C">
            <w:pPr>
              <w:jc w:val="center"/>
              <w:rPr>
                <w:rFonts w:hint="eastAsia"/>
                <w:sz w:val="15"/>
              </w:rPr>
            </w:pPr>
            <w:r>
              <w:rPr>
                <w:rFonts w:hint="eastAsia"/>
                <w:sz w:val="15"/>
              </w:rPr>
              <w:t>43</w:t>
            </w:r>
          </w:p>
        </w:tc>
        <w:tc>
          <w:tcPr>
            <w:tcW w:w="1604" w:type="pct"/>
            <w:vAlign w:val="center"/>
          </w:tcPr>
          <w:p w:rsidR="00740EC1" w:rsidRDefault="0013130C" w:rsidP="0013130C">
            <w:pPr>
              <w:jc w:val="center"/>
              <w:rPr>
                <w:rFonts w:hint="eastAsia"/>
                <w:sz w:val="15"/>
              </w:rPr>
            </w:pPr>
            <w:r>
              <w:rPr>
                <w:rFonts w:hint="eastAsia"/>
                <w:sz w:val="15"/>
              </w:rPr>
              <w:t>415</w:t>
            </w:r>
          </w:p>
        </w:tc>
        <w:tc>
          <w:tcPr>
            <w:tcW w:w="787" w:type="pct"/>
            <w:vAlign w:val="center"/>
          </w:tcPr>
          <w:p w:rsidR="00740EC1" w:rsidRDefault="00EC5120" w:rsidP="0013130C">
            <w:pPr>
              <w:jc w:val="center"/>
              <w:rPr>
                <w:rFonts w:hint="eastAsia"/>
                <w:sz w:val="15"/>
              </w:rPr>
            </w:pPr>
            <w:r>
              <w:rPr>
                <w:rFonts w:hint="eastAsia"/>
                <w:sz w:val="15"/>
              </w:rPr>
              <w:t>10</w:t>
            </w:r>
            <w:r>
              <w:rPr>
                <w:rFonts w:hint="eastAsia"/>
                <w:sz w:val="15"/>
              </w:rPr>
              <w:t>倍</w:t>
            </w:r>
          </w:p>
        </w:tc>
      </w:tr>
    </w:tbl>
    <w:p w:rsidR="00740EC1" w:rsidRDefault="00740EC1" w:rsidP="00550380">
      <w:pPr>
        <w:ind w:firstLineChars="200" w:firstLine="420"/>
        <w:rPr>
          <w:rFonts w:hint="eastAsia"/>
          <w:szCs w:val="21"/>
        </w:rPr>
      </w:pPr>
    </w:p>
    <w:p w:rsidR="00550380" w:rsidRDefault="00550380" w:rsidP="00550380">
      <w:pPr>
        <w:outlineLvl w:val="0"/>
        <w:rPr>
          <w:rFonts w:eastAsia="黑体" w:hint="eastAsia"/>
          <w:b/>
        </w:rPr>
      </w:pPr>
      <w:r>
        <w:rPr>
          <w:rFonts w:ascii="黑体" w:eastAsia="黑体" w:hint="eastAsia"/>
          <w:bCs/>
        </w:rPr>
        <w:t xml:space="preserve">3.3  </w:t>
      </w:r>
      <w:r w:rsidR="005B693D" w:rsidRPr="005B693D">
        <w:rPr>
          <w:rFonts w:ascii="黑体" w:eastAsia="黑体" w:hint="eastAsia"/>
          <w:bCs/>
        </w:rPr>
        <w:t>多目标优化与组合优化</w:t>
      </w:r>
    </w:p>
    <w:p w:rsidR="00D50518" w:rsidRDefault="00D50518" w:rsidP="00C02B98">
      <w:pPr>
        <w:ind w:firstLineChars="200" w:firstLine="420"/>
        <w:rPr>
          <w:rFonts w:hint="eastAsia"/>
          <w:szCs w:val="21"/>
        </w:rPr>
      </w:pPr>
      <w:r>
        <w:rPr>
          <w:rFonts w:hint="eastAsia"/>
          <w:szCs w:val="21"/>
        </w:rPr>
        <w:t>本文选取两个目标优化</w:t>
      </w:r>
      <w:r w:rsidR="00F33C6F">
        <w:rPr>
          <w:rFonts w:hint="eastAsia"/>
          <w:szCs w:val="21"/>
        </w:rPr>
        <w:t>，</w:t>
      </w:r>
      <w:r>
        <w:rPr>
          <w:rFonts w:hint="eastAsia"/>
          <w:szCs w:val="21"/>
        </w:rPr>
        <w:t>采用</w:t>
      </w:r>
      <w:r>
        <w:rPr>
          <w:rFonts w:hint="eastAsia"/>
          <w:szCs w:val="21"/>
        </w:rPr>
        <w:t>NSGA-II</w:t>
      </w:r>
      <w:r>
        <w:rPr>
          <w:rFonts w:hint="eastAsia"/>
          <w:szCs w:val="21"/>
        </w:rPr>
        <w:t>，</w:t>
      </w:r>
    </w:p>
    <w:p w:rsidR="005B693D" w:rsidRDefault="005B693D" w:rsidP="005B693D">
      <w:pPr>
        <w:outlineLvl w:val="0"/>
        <w:rPr>
          <w:rFonts w:eastAsia="黑体" w:hint="eastAsia"/>
          <w:b/>
        </w:rPr>
      </w:pPr>
      <w:r>
        <w:rPr>
          <w:rFonts w:ascii="黑体" w:eastAsia="黑体" w:hint="eastAsia"/>
          <w:bCs/>
        </w:rPr>
        <w:t xml:space="preserve">3.4  </w:t>
      </w:r>
      <w:r w:rsidR="000040D3" w:rsidRPr="000040D3">
        <w:rPr>
          <w:rFonts w:ascii="黑体" w:eastAsia="黑体" w:hint="eastAsia"/>
          <w:bCs/>
        </w:rPr>
        <w:t>目标函数与适应度评价</w:t>
      </w:r>
    </w:p>
    <w:p w:rsidR="005B693D" w:rsidRDefault="005B693D" w:rsidP="005B693D">
      <w:pPr>
        <w:ind w:firstLineChars="200" w:firstLine="420"/>
        <w:rPr>
          <w:szCs w:val="21"/>
        </w:rPr>
      </w:pPr>
      <w:r>
        <w:rPr>
          <w:rFonts w:hint="eastAsia"/>
          <w:szCs w:val="21"/>
        </w:rPr>
        <w:t>文</w:t>
      </w:r>
    </w:p>
    <w:p w:rsidR="00550380" w:rsidRPr="00550380" w:rsidRDefault="00550380" w:rsidP="005401F5">
      <w:pPr>
        <w:pStyle w:val="a8"/>
        <w:ind w:firstLineChars="200"/>
        <w:rPr>
          <w:rFonts w:hint="eastAsia"/>
          <w:szCs w:val="24"/>
        </w:rPr>
      </w:pPr>
    </w:p>
    <w:p w:rsidR="000A330A" w:rsidRDefault="000A330A" w:rsidP="000A330A">
      <w:pPr>
        <w:outlineLvl w:val="0"/>
        <w:rPr>
          <w:rFonts w:eastAsia="黑体" w:hint="eastAsia"/>
          <w:b/>
          <w:bCs/>
          <w:sz w:val="28"/>
        </w:rPr>
      </w:pPr>
      <w:r>
        <w:rPr>
          <w:rFonts w:ascii="黑体" w:eastAsia="黑体" w:hint="eastAsia"/>
          <w:sz w:val="28"/>
        </w:rPr>
        <w:t>4  实验与结果</w:t>
      </w:r>
    </w:p>
    <w:p w:rsidR="00BF5A99" w:rsidRDefault="00BF5A99" w:rsidP="00BF5A99">
      <w:pPr>
        <w:outlineLvl w:val="0"/>
        <w:rPr>
          <w:rFonts w:eastAsia="黑体" w:hint="eastAsia"/>
          <w:b/>
        </w:rPr>
      </w:pPr>
      <w:r>
        <w:rPr>
          <w:rFonts w:ascii="黑体" w:eastAsia="黑体" w:hint="eastAsia"/>
          <w:bCs/>
        </w:rPr>
        <w:t xml:space="preserve">4.1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rsidR="00BF5A99" w:rsidRDefault="00BF5A99" w:rsidP="00BF5A99">
      <w:pPr>
        <w:ind w:firstLineChars="200" w:firstLine="420"/>
        <w:rPr>
          <w:szCs w:val="21"/>
        </w:rPr>
      </w:pPr>
      <w:r>
        <w:rPr>
          <w:rFonts w:hint="eastAsia"/>
          <w:szCs w:val="21"/>
        </w:rPr>
        <w:lastRenderedPageBreak/>
        <w:t>文</w:t>
      </w:r>
    </w:p>
    <w:p w:rsidR="00BF5A99" w:rsidRDefault="002E7A9B" w:rsidP="00BF5A99">
      <w:pPr>
        <w:outlineLvl w:val="0"/>
        <w:rPr>
          <w:rFonts w:eastAsia="黑体" w:hint="eastAsia"/>
          <w:b/>
        </w:rPr>
      </w:pPr>
      <w:r>
        <w:rPr>
          <w:rFonts w:ascii="黑体" w:eastAsia="黑体" w:hint="eastAsia"/>
          <w:bCs/>
        </w:rPr>
        <w:t>4</w:t>
      </w:r>
      <w:r w:rsidR="00BF5A99">
        <w:rPr>
          <w:rFonts w:ascii="黑体" w:eastAsia="黑体" w:hint="eastAsia"/>
          <w:bCs/>
        </w:rPr>
        <w:t>.</w:t>
      </w:r>
      <w:r>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rsidR="000A330A" w:rsidRPr="001D2395" w:rsidRDefault="00BF5A99" w:rsidP="001D2395">
      <w:pPr>
        <w:ind w:firstLineChars="200" w:firstLine="420"/>
        <w:rPr>
          <w:rFonts w:hint="eastAsia"/>
          <w:szCs w:val="21"/>
        </w:rPr>
      </w:pPr>
      <w:r>
        <w:rPr>
          <w:rFonts w:hint="eastAsia"/>
          <w:szCs w:val="21"/>
        </w:rPr>
        <w:t>文</w:t>
      </w:r>
    </w:p>
    <w:p w:rsidR="00977018" w:rsidRDefault="000A330A" w:rsidP="00977018">
      <w:pPr>
        <w:outlineLvl w:val="0"/>
        <w:rPr>
          <w:rFonts w:eastAsia="黑体" w:hint="eastAsia"/>
          <w:b/>
          <w:bCs/>
          <w:sz w:val="28"/>
        </w:rPr>
      </w:pPr>
      <w:r>
        <w:rPr>
          <w:rFonts w:ascii="黑体" w:eastAsia="黑体" w:hint="eastAsia"/>
          <w:sz w:val="28"/>
        </w:rPr>
        <w:t>5</w:t>
      </w:r>
      <w:r w:rsidR="00977018">
        <w:rPr>
          <w:rFonts w:ascii="黑体" w:eastAsia="黑体" w:hint="eastAsia"/>
          <w:sz w:val="28"/>
        </w:rPr>
        <w:t xml:space="preserve">  结论</w:t>
      </w:r>
    </w:p>
    <w:p w:rsidR="00977018" w:rsidRPr="00977018" w:rsidRDefault="00977018" w:rsidP="004D3F89">
      <w:pPr>
        <w:pStyle w:val="a8"/>
        <w:ind w:firstLineChars="200"/>
        <w:rPr>
          <w:rFonts w:hint="eastAsia"/>
          <w:szCs w:val="24"/>
        </w:rPr>
      </w:pPr>
      <w:r>
        <w:rPr>
          <w:rFonts w:hint="eastAsia"/>
          <w:szCs w:val="24"/>
        </w:rPr>
        <w:t>希</w:t>
      </w:r>
    </w:p>
    <w:p w:rsidR="00A5401F" w:rsidRPr="00323097" w:rsidRDefault="00A5401F" w:rsidP="005401F5">
      <w:pPr>
        <w:rPr>
          <w:rFonts w:ascii="黑体" w:eastAsia="黑体" w:hint="eastAsia"/>
          <w:sz w:val="18"/>
          <w:szCs w:val="18"/>
        </w:rPr>
      </w:pPr>
    </w:p>
    <w:p w:rsidR="00D96446" w:rsidRPr="000229EF" w:rsidRDefault="0018142B" w:rsidP="00D96446">
      <w:pPr>
        <w:outlineLvl w:val="0"/>
        <w:rPr>
          <w:rFonts w:ascii="黑体" w:eastAsia="黑体" w:hint="eastAsia"/>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rsidR="00D96446" w:rsidRDefault="00064F48" w:rsidP="00886BDF">
      <w:pPr>
        <w:numPr>
          <w:ilvl w:val="0"/>
          <w:numId w:val="5"/>
        </w:numPr>
        <w:ind w:left="284" w:hanging="284"/>
        <w:rPr>
          <w:sz w:val="15"/>
          <w:szCs w:val="15"/>
        </w:rPr>
      </w:pPr>
      <w:bookmarkStart w:id="1"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1"/>
    </w:p>
    <w:p w:rsidR="00F87D65" w:rsidRDefault="00E65E05" w:rsidP="00820040">
      <w:pPr>
        <w:numPr>
          <w:ilvl w:val="0"/>
          <w:numId w:val="5"/>
        </w:numPr>
        <w:ind w:left="284" w:hanging="284"/>
        <w:rPr>
          <w:sz w:val="15"/>
          <w:szCs w:val="15"/>
        </w:rPr>
      </w:pPr>
      <w:bookmarkStart w:id="2"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2"/>
    </w:p>
    <w:p w:rsidR="00E65E05" w:rsidRPr="00820040" w:rsidRDefault="00E65E05" w:rsidP="00820040">
      <w:pPr>
        <w:numPr>
          <w:ilvl w:val="0"/>
          <w:numId w:val="5"/>
        </w:numPr>
        <w:ind w:left="284" w:hanging="284"/>
        <w:rPr>
          <w:rFonts w:hint="eastAsia"/>
          <w:sz w:val="15"/>
          <w:szCs w:val="15"/>
        </w:rPr>
      </w:pPr>
    </w:p>
    <w:p w:rsidR="005401F5" w:rsidRDefault="005401F5" w:rsidP="005401F5">
      <w:pPr>
        <w:rPr>
          <w:rFonts w:hint="eastAsia"/>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rsidR="00A5401F" w:rsidRPr="00F87D65" w:rsidRDefault="00A5401F" w:rsidP="005401F5">
      <w:pPr>
        <w:rPr>
          <w:rFonts w:hint="eastAsia"/>
          <w:b/>
          <w:bCs/>
          <w:sz w:val="15"/>
        </w:rPr>
      </w:pPr>
    </w:p>
    <w:p w:rsidR="00A5401F" w:rsidRDefault="00A5401F" w:rsidP="005401F5">
      <w:pPr>
        <w:rPr>
          <w:rFonts w:hint="eastAsia"/>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E6C30" w:rsidRDefault="002E6C30">
      <w:r>
        <w:separator/>
      </w:r>
    </w:p>
  </w:endnote>
  <w:endnote w:type="continuationSeparator" w:id="0">
    <w:p w:rsidR="002E6C30" w:rsidRDefault="002E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24A" w:rsidRDefault="0045324A">
    <w:pPr>
      <w:pStyle w:val="a4"/>
      <w:spacing w:line="240" w:lineRule="exact"/>
      <w:jc w:val="both"/>
      <w:rPr>
        <w:rFonts w:hint="eastAsia"/>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E6C30" w:rsidRDefault="002E6C30">
      <w:r>
        <w:separator/>
      </w:r>
    </w:p>
  </w:footnote>
  <w:footnote w:type="continuationSeparator" w:id="0">
    <w:p w:rsidR="002E6C30" w:rsidRDefault="002E6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246E"/>
    <w:rsid w:val="0002735D"/>
    <w:rsid w:val="0002790B"/>
    <w:rsid w:val="00027E65"/>
    <w:rsid w:val="000335AC"/>
    <w:rsid w:val="00040341"/>
    <w:rsid w:val="00064F48"/>
    <w:rsid w:val="00074B93"/>
    <w:rsid w:val="00094CF1"/>
    <w:rsid w:val="000979CE"/>
    <w:rsid w:val="000A319A"/>
    <w:rsid w:val="000A330A"/>
    <w:rsid w:val="000A6D04"/>
    <w:rsid w:val="000B428C"/>
    <w:rsid w:val="000C065D"/>
    <w:rsid w:val="000C45D5"/>
    <w:rsid w:val="000C604C"/>
    <w:rsid w:val="000F518F"/>
    <w:rsid w:val="000F753F"/>
    <w:rsid w:val="000F7EF9"/>
    <w:rsid w:val="00101D60"/>
    <w:rsid w:val="00105DAC"/>
    <w:rsid w:val="00112CE3"/>
    <w:rsid w:val="00121D8B"/>
    <w:rsid w:val="0013130C"/>
    <w:rsid w:val="00145909"/>
    <w:rsid w:val="001633EC"/>
    <w:rsid w:val="001656A4"/>
    <w:rsid w:val="001722C9"/>
    <w:rsid w:val="00172485"/>
    <w:rsid w:val="00180196"/>
    <w:rsid w:val="00180E00"/>
    <w:rsid w:val="0018142B"/>
    <w:rsid w:val="00185ABD"/>
    <w:rsid w:val="0018744C"/>
    <w:rsid w:val="001961D7"/>
    <w:rsid w:val="001B05C9"/>
    <w:rsid w:val="001B6388"/>
    <w:rsid w:val="001D1C34"/>
    <w:rsid w:val="001D2395"/>
    <w:rsid w:val="001D27A1"/>
    <w:rsid w:val="001D3AE0"/>
    <w:rsid w:val="001D683B"/>
    <w:rsid w:val="001E227F"/>
    <w:rsid w:val="001E3724"/>
    <w:rsid w:val="001F4559"/>
    <w:rsid w:val="001F5125"/>
    <w:rsid w:val="0020373B"/>
    <w:rsid w:val="00205490"/>
    <w:rsid w:val="00216865"/>
    <w:rsid w:val="00224374"/>
    <w:rsid w:val="00256CA7"/>
    <w:rsid w:val="00272033"/>
    <w:rsid w:val="0027749A"/>
    <w:rsid w:val="00287DE3"/>
    <w:rsid w:val="0029117F"/>
    <w:rsid w:val="002A74BF"/>
    <w:rsid w:val="002C0570"/>
    <w:rsid w:val="002D3071"/>
    <w:rsid w:val="002E2AEF"/>
    <w:rsid w:val="002E374A"/>
    <w:rsid w:val="002E6C30"/>
    <w:rsid w:val="002E7A9B"/>
    <w:rsid w:val="003004F9"/>
    <w:rsid w:val="00301022"/>
    <w:rsid w:val="00310CA8"/>
    <w:rsid w:val="00313314"/>
    <w:rsid w:val="003176B4"/>
    <w:rsid w:val="00326DA5"/>
    <w:rsid w:val="00327729"/>
    <w:rsid w:val="00334C90"/>
    <w:rsid w:val="0034112D"/>
    <w:rsid w:val="003C2C26"/>
    <w:rsid w:val="003D4E13"/>
    <w:rsid w:val="003F2F0D"/>
    <w:rsid w:val="003F4A0D"/>
    <w:rsid w:val="003F6532"/>
    <w:rsid w:val="003F77E9"/>
    <w:rsid w:val="00401DF1"/>
    <w:rsid w:val="00404488"/>
    <w:rsid w:val="00406565"/>
    <w:rsid w:val="00422793"/>
    <w:rsid w:val="00426382"/>
    <w:rsid w:val="00426B98"/>
    <w:rsid w:val="0045324A"/>
    <w:rsid w:val="00454300"/>
    <w:rsid w:val="004551F4"/>
    <w:rsid w:val="00455DC6"/>
    <w:rsid w:val="00460843"/>
    <w:rsid w:val="00472C87"/>
    <w:rsid w:val="00474BA0"/>
    <w:rsid w:val="00486898"/>
    <w:rsid w:val="004B18F6"/>
    <w:rsid w:val="004C377F"/>
    <w:rsid w:val="004C78E7"/>
    <w:rsid w:val="004D3F89"/>
    <w:rsid w:val="004E1FCB"/>
    <w:rsid w:val="004E2DEA"/>
    <w:rsid w:val="004E7ED5"/>
    <w:rsid w:val="00501C38"/>
    <w:rsid w:val="005027C5"/>
    <w:rsid w:val="00502EC3"/>
    <w:rsid w:val="00512063"/>
    <w:rsid w:val="005271F4"/>
    <w:rsid w:val="005373E8"/>
    <w:rsid w:val="005401F5"/>
    <w:rsid w:val="00545527"/>
    <w:rsid w:val="00550380"/>
    <w:rsid w:val="005563EE"/>
    <w:rsid w:val="005568A3"/>
    <w:rsid w:val="00565AAA"/>
    <w:rsid w:val="00567FA1"/>
    <w:rsid w:val="0058648B"/>
    <w:rsid w:val="00592D4F"/>
    <w:rsid w:val="00592EB7"/>
    <w:rsid w:val="005A1B76"/>
    <w:rsid w:val="005A55C9"/>
    <w:rsid w:val="005B16C0"/>
    <w:rsid w:val="005B693D"/>
    <w:rsid w:val="005C0C5A"/>
    <w:rsid w:val="005C117A"/>
    <w:rsid w:val="005D4846"/>
    <w:rsid w:val="005D4FD5"/>
    <w:rsid w:val="005D653C"/>
    <w:rsid w:val="005E736C"/>
    <w:rsid w:val="00616808"/>
    <w:rsid w:val="0061788E"/>
    <w:rsid w:val="00621C1F"/>
    <w:rsid w:val="0065259A"/>
    <w:rsid w:val="00652D9D"/>
    <w:rsid w:val="00655D1B"/>
    <w:rsid w:val="00656EF5"/>
    <w:rsid w:val="0066177F"/>
    <w:rsid w:val="00670F60"/>
    <w:rsid w:val="00691CE4"/>
    <w:rsid w:val="00693C93"/>
    <w:rsid w:val="006B1E15"/>
    <w:rsid w:val="006C5FC0"/>
    <w:rsid w:val="006D0A38"/>
    <w:rsid w:val="006E0A04"/>
    <w:rsid w:val="006E6D6E"/>
    <w:rsid w:val="007023F5"/>
    <w:rsid w:val="00712DA9"/>
    <w:rsid w:val="0072008A"/>
    <w:rsid w:val="00720E85"/>
    <w:rsid w:val="00721A1C"/>
    <w:rsid w:val="007222DB"/>
    <w:rsid w:val="007224E3"/>
    <w:rsid w:val="00724A4D"/>
    <w:rsid w:val="00730296"/>
    <w:rsid w:val="00736B33"/>
    <w:rsid w:val="00740EC1"/>
    <w:rsid w:val="007914D6"/>
    <w:rsid w:val="00797AB7"/>
    <w:rsid w:val="007A15DC"/>
    <w:rsid w:val="007A34CA"/>
    <w:rsid w:val="007B4B10"/>
    <w:rsid w:val="007C39A9"/>
    <w:rsid w:val="007C4979"/>
    <w:rsid w:val="007C5268"/>
    <w:rsid w:val="007C6731"/>
    <w:rsid w:val="007D5F62"/>
    <w:rsid w:val="007E0220"/>
    <w:rsid w:val="007E2362"/>
    <w:rsid w:val="007F2DB1"/>
    <w:rsid w:val="007F4B41"/>
    <w:rsid w:val="00803E4D"/>
    <w:rsid w:val="0080450D"/>
    <w:rsid w:val="00807DFB"/>
    <w:rsid w:val="00810E58"/>
    <w:rsid w:val="0081154C"/>
    <w:rsid w:val="00811CCB"/>
    <w:rsid w:val="00812AA5"/>
    <w:rsid w:val="00820040"/>
    <w:rsid w:val="008245B4"/>
    <w:rsid w:val="00826572"/>
    <w:rsid w:val="00845F04"/>
    <w:rsid w:val="008556C6"/>
    <w:rsid w:val="008660D8"/>
    <w:rsid w:val="008705B0"/>
    <w:rsid w:val="00874636"/>
    <w:rsid w:val="00877B24"/>
    <w:rsid w:val="00886BDF"/>
    <w:rsid w:val="008A160F"/>
    <w:rsid w:val="008A37D1"/>
    <w:rsid w:val="008D11D8"/>
    <w:rsid w:val="008E6A60"/>
    <w:rsid w:val="008E6C61"/>
    <w:rsid w:val="008E6DC2"/>
    <w:rsid w:val="008F4A84"/>
    <w:rsid w:val="00902B45"/>
    <w:rsid w:val="00927285"/>
    <w:rsid w:val="009405A2"/>
    <w:rsid w:val="00943911"/>
    <w:rsid w:val="00943FB7"/>
    <w:rsid w:val="00947F59"/>
    <w:rsid w:val="00963FE7"/>
    <w:rsid w:val="00971992"/>
    <w:rsid w:val="00971E56"/>
    <w:rsid w:val="00977018"/>
    <w:rsid w:val="00977D0D"/>
    <w:rsid w:val="00982076"/>
    <w:rsid w:val="0098632F"/>
    <w:rsid w:val="00995F6B"/>
    <w:rsid w:val="009A7CD6"/>
    <w:rsid w:val="009B6FE7"/>
    <w:rsid w:val="009D0FB2"/>
    <w:rsid w:val="009D5271"/>
    <w:rsid w:val="009D5FF3"/>
    <w:rsid w:val="009F74BF"/>
    <w:rsid w:val="00A11699"/>
    <w:rsid w:val="00A17976"/>
    <w:rsid w:val="00A31C14"/>
    <w:rsid w:val="00A31FCC"/>
    <w:rsid w:val="00A32E13"/>
    <w:rsid w:val="00A5089D"/>
    <w:rsid w:val="00A53D71"/>
    <w:rsid w:val="00A5401F"/>
    <w:rsid w:val="00A56623"/>
    <w:rsid w:val="00A736FD"/>
    <w:rsid w:val="00A9698B"/>
    <w:rsid w:val="00AB2304"/>
    <w:rsid w:val="00AC278A"/>
    <w:rsid w:val="00AD102C"/>
    <w:rsid w:val="00AD278B"/>
    <w:rsid w:val="00AD32A6"/>
    <w:rsid w:val="00AD37DD"/>
    <w:rsid w:val="00AD4831"/>
    <w:rsid w:val="00AD57D6"/>
    <w:rsid w:val="00AE0F2E"/>
    <w:rsid w:val="00AE32C1"/>
    <w:rsid w:val="00AF1EE3"/>
    <w:rsid w:val="00B24C4B"/>
    <w:rsid w:val="00B261BB"/>
    <w:rsid w:val="00B2646B"/>
    <w:rsid w:val="00B44001"/>
    <w:rsid w:val="00B45CC9"/>
    <w:rsid w:val="00B46DEC"/>
    <w:rsid w:val="00B5612B"/>
    <w:rsid w:val="00B56BD6"/>
    <w:rsid w:val="00B77675"/>
    <w:rsid w:val="00B82CD7"/>
    <w:rsid w:val="00B8445A"/>
    <w:rsid w:val="00BB059E"/>
    <w:rsid w:val="00BC16CA"/>
    <w:rsid w:val="00BC559C"/>
    <w:rsid w:val="00BC6A5E"/>
    <w:rsid w:val="00BD47D2"/>
    <w:rsid w:val="00BD5174"/>
    <w:rsid w:val="00BE7DD3"/>
    <w:rsid w:val="00BF0246"/>
    <w:rsid w:val="00BF4F27"/>
    <w:rsid w:val="00BF5A99"/>
    <w:rsid w:val="00C02B98"/>
    <w:rsid w:val="00C216AD"/>
    <w:rsid w:val="00C34274"/>
    <w:rsid w:val="00C36669"/>
    <w:rsid w:val="00C51AB6"/>
    <w:rsid w:val="00C8312B"/>
    <w:rsid w:val="00C847A2"/>
    <w:rsid w:val="00C937C1"/>
    <w:rsid w:val="00C9553A"/>
    <w:rsid w:val="00CC7ABF"/>
    <w:rsid w:val="00CE058C"/>
    <w:rsid w:val="00D022FD"/>
    <w:rsid w:val="00D360BE"/>
    <w:rsid w:val="00D401F3"/>
    <w:rsid w:val="00D465BF"/>
    <w:rsid w:val="00D50518"/>
    <w:rsid w:val="00D537FA"/>
    <w:rsid w:val="00D607C2"/>
    <w:rsid w:val="00D674C2"/>
    <w:rsid w:val="00D76A87"/>
    <w:rsid w:val="00D76B4A"/>
    <w:rsid w:val="00D94037"/>
    <w:rsid w:val="00D96446"/>
    <w:rsid w:val="00DA319D"/>
    <w:rsid w:val="00DD0927"/>
    <w:rsid w:val="00DF6FB8"/>
    <w:rsid w:val="00E203F0"/>
    <w:rsid w:val="00E35A50"/>
    <w:rsid w:val="00E36020"/>
    <w:rsid w:val="00E42715"/>
    <w:rsid w:val="00E505A0"/>
    <w:rsid w:val="00E54192"/>
    <w:rsid w:val="00E6459D"/>
    <w:rsid w:val="00E65E05"/>
    <w:rsid w:val="00E66B1D"/>
    <w:rsid w:val="00E71ED5"/>
    <w:rsid w:val="00E72903"/>
    <w:rsid w:val="00E73474"/>
    <w:rsid w:val="00E73A26"/>
    <w:rsid w:val="00E76B16"/>
    <w:rsid w:val="00E80C2D"/>
    <w:rsid w:val="00E87599"/>
    <w:rsid w:val="00EA0401"/>
    <w:rsid w:val="00EC5120"/>
    <w:rsid w:val="00EC6C1D"/>
    <w:rsid w:val="00EC6C7E"/>
    <w:rsid w:val="00ED61A7"/>
    <w:rsid w:val="00EF0E80"/>
    <w:rsid w:val="00EF7384"/>
    <w:rsid w:val="00F009F2"/>
    <w:rsid w:val="00F027A8"/>
    <w:rsid w:val="00F02F9A"/>
    <w:rsid w:val="00F11E28"/>
    <w:rsid w:val="00F162C7"/>
    <w:rsid w:val="00F31008"/>
    <w:rsid w:val="00F33C6F"/>
    <w:rsid w:val="00F37062"/>
    <w:rsid w:val="00F70516"/>
    <w:rsid w:val="00F71FAD"/>
    <w:rsid w:val="00F7592A"/>
    <w:rsid w:val="00F870A1"/>
    <w:rsid w:val="00F87D65"/>
    <w:rsid w:val="00F93CFE"/>
    <w:rsid w:val="00F95796"/>
    <w:rsid w:val="00FA097C"/>
    <w:rsid w:val="00FA6D83"/>
    <w:rsid w:val="00FB0840"/>
    <w:rsid w:val="00FB7145"/>
    <w:rsid w:val="00FC495E"/>
    <w:rsid w:val="00FC5026"/>
    <w:rsid w:val="00FC662F"/>
    <w:rsid w:val="00FE7179"/>
    <w:rsid w:val="00FF4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3016A8"/>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Char"/>
    <w:rsid w:val="00D96446"/>
    <w:rPr>
      <w:rFonts w:ascii="宋体"/>
      <w:sz w:val="18"/>
      <w:szCs w:val="18"/>
    </w:rPr>
  </w:style>
  <w:style w:type="character" w:customStyle="1" w:styleId="Char">
    <w:name w:val="文档结构图 Char"/>
    <w:link w:val="aa"/>
    <w:rsid w:val="00D96446"/>
    <w:rPr>
      <w:rFonts w:ascii="宋体"/>
      <w:kern w:val="2"/>
      <w:sz w:val="18"/>
      <w:szCs w:val="18"/>
    </w:rPr>
  </w:style>
  <w:style w:type="character" w:styleId="ab">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553</Words>
  <Characters>3154</Characters>
  <Application>Microsoft Office Word</Application>
  <DocSecurity>0</DocSecurity>
  <Lines>26</Lines>
  <Paragraphs>7</Paragraphs>
  <ScaleCrop>false</ScaleCrop>
  <Company>MC SYSTEM</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22</cp:revision>
  <dcterms:created xsi:type="dcterms:W3CDTF">2024-11-07T13:13:00Z</dcterms:created>
  <dcterms:modified xsi:type="dcterms:W3CDTF">2024-11-07T13:56:00Z</dcterms:modified>
</cp:coreProperties>
</file>