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8"/>
        </w:rPr>
        <w:t>CALAIS OPEN COMMONS PROTOCOL</w:t>
      </w:r>
    </w:p>
    <w:p>
      <w:pPr>
        <w:spacing w:after="200"/>
      </w:pPr>
      <w:r>
        <w:rPr>
          <w:color w:val="2E74B5"/>
          <w:sz w:val="28"/>
        </w:rPr>
        <w:t>Decentralised 14-day launch plan and Codex-ready master requirements</w:t>
      </w:r>
    </w:p>
    <w:tbl>
      <w:tblPr>
        <w:tblStyle w:val="TableGrid"/>
        <w:tblW w:type="dxa" w:w="9360"/>
        <w:jc w:val="center"/>
        <w:tblLayout w:type="fixed"/>
        <w:tblLook w:firstColumn="1" w:firstRow="1" w:lastColumn="0" w:lastRow="0" w:noHBand="0" w:noVBand="1" w:val="04A0"/>
        <w:tblInd w:w="120" w:type="dxa"/>
      </w:tblPr>
      <w:tblGrid>
        <w:gridCol w:w="2880"/>
        <w:gridCol w:w="3600"/>
        <w:gridCol w:w="2880"/>
      </w:tblGrid>
      <w:tr>
        <w:trPr>
          <w:tblHeader w:val="true"/>
          <w:cantSplit/>
        </w:trPr>
        <w:tc>
          <w:tcPr>
            <w:tcW w:type="dxa" w:w="2880"/>
            <w:shd w:fill="E8EEF5"/>
            <w:tcMar>
              <w:top w:w="80" w:type="dxa"/>
              <w:start w:w="120" w:type="dxa"/>
              <w:bottom w:w="80" w:type="dxa"/>
              <w:end w:w="120" w:type="dxa"/>
            </w:tcMar>
            <w:vAlign w:val="top"/>
          </w:tcPr>
          <w:p>
            <w:pPr>
              <w:spacing w:after="0"/>
            </w:pPr>
            <w:r>
              <w:rPr>
                <w:b/>
                <w:color w:val="0B2545"/>
                <w:sz w:val="18"/>
              </w:rPr>
              <w:t>Decision</w:t>
            </w:r>
          </w:p>
        </w:tc>
        <w:tc>
          <w:tcPr>
            <w:tcW w:type="dxa" w:w="3600"/>
            <w:shd w:fill="E8EEF5"/>
            <w:tcMar>
              <w:top w:w="80" w:type="dxa"/>
              <w:start w:w="120" w:type="dxa"/>
              <w:bottom w:w="80" w:type="dxa"/>
              <w:end w:w="120" w:type="dxa"/>
            </w:tcMar>
            <w:vAlign w:val="top"/>
          </w:tcPr>
          <w:p>
            <w:pPr>
              <w:spacing w:after="0"/>
            </w:pPr>
            <w:r>
              <w:rPr>
                <w:b/>
                <w:color w:val="0B2545"/>
                <w:sz w:val="18"/>
              </w:rPr>
              <w:t>Constraint</w:t>
            </w:r>
          </w:p>
        </w:tc>
        <w:tc>
          <w:tcPr>
            <w:tcW w:type="dxa" w:w="2880"/>
            <w:shd w:fill="E8EEF5"/>
            <w:tcMar>
              <w:top w:w="80" w:type="dxa"/>
              <w:start w:w="120" w:type="dxa"/>
              <w:bottom w:w="80" w:type="dxa"/>
              <w:end w:w="120" w:type="dxa"/>
            </w:tcMar>
            <w:vAlign w:val="top"/>
          </w:tcPr>
          <w:p>
            <w:pPr>
              <w:spacing w:after="0"/>
            </w:pPr>
            <w:r>
              <w:rPr>
                <w:b/>
                <w:color w:val="0B2545"/>
                <w:sz w:val="18"/>
              </w:rPr>
              <w:t>Prepared</w:t>
            </w:r>
          </w:p>
        </w:tc>
      </w:tr>
      <w:tr>
        <w:trPr>
          <w:cantSplit/>
        </w:trPr>
        <w:tc>
          <w:tcPr>
            <w:tcW w:type="dxa" w:w="2880"/>
            <w:tcMar>
              <w:top w:w="80" w:type="dxa"/>
              <w:start w:w="120" w:type="dxa"/>
              <w:bottom w:w="80" w:type="dxa"/>
              <w:end w:w="120" w:type="dxa"/>
            </w:tcMar>
            <w:vAlign w:val="top"/>
          </w:tcPr>
          <w:p>
            <w:pPr>
              <w:spacing w:after="0"/>
            </w:pPr>
            <w:r>
              <w:rPr>
                <w:sz w:val="17"/>
              </w:rPr>
              <w:t>Launch an open service directory plus immutable sponsorship router</w:t>
            </w:r>
          </w:p>
        </w:tc>
        <w:tc>
          <w:tcPr>
            <w:tcW w:type="dxa" w:w="3600"/>
            <w:tcMar>
              <w:top w:w="80" w:type="dxa"/>
              <w:start w:w="120" w:type="dxa"/>
              <w:bottom w:w="80" w:type="dxa"/>
              <w:end w:w="120" w:type="dxa"/>
            </w:tcMar>
            <w:vAlign w:val="top"/>
          </w:tcPr>
          <w:p>
            <w:pPr>
              <w:spacing w:after="0"/>
            </w:pPr>
            <w:r>
              <w:rPr>
                <w:sz w:val="17"/>
              </w:rPr>
              <w:t>€49 maximum before first revenue</w:t>
            </w:r>
          </w:p>
        </w:tc>
        <w:tc>
          <w:tcPr>
            <w:tcW w:type="dxa" w:w="2880"/>
            <w:tcMar>
              <w:top w:w="80" w:type="dxa"/>
              <w:start w:w="120" w:type="dxa"/>
              <w:bottom w:w="80" w:type="dxa"/>
              <w:end w:w="120" w:type="dxa"/>
            </w:tcMar>
            <w:vAlign w:val="top"/>
          </w:tcPr>
          <w:p>
            <w:pPr>
              <w:spacing w:after="0"/>
            </w:pPr>
            <w:r>
              <w:rPr>
                <w:sz w:val="17"/>
              </w:rPr>
              <w:t>4 September 2026</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E6F2EA"/>
          </w:tcPr>
          <w:p>
            <w:pPr>
              <w:spacing w:after="40"/>
            </w:pPr>
            <w:r>
              <w:rPr>
                <w:b/>
                <w:color w:val="0B2545"/>
              </w:rPr>
              <w:t>Executive decision</w:t>
              <w:br/>
            </w:r>
            <w:r>
              <w:rPr>
                <w:sz w:val="19"/>
              </w:rPr>
              <w:t>Build a free, low-data, multilingual directory of verified Calais services whose data can be mirrored and whose updates are independently signed. Accept sponsorship through three interchangeable payment lanes: a non-upgradeable Base router, hosted credit-card checkout and SEPA bank transfer. At deployment, the founder supplies one public EVM adminWallet address; on-chain funds split automatically. Fiat is processed only by a regulated provider or accountable operator and reconciled into the same public ledger. The admin wallet has no content, custody, upgrade or beneficiary-surveillance power. Issue no new project token.</w:t>
            </w:r>
          </w:p>
        </w:tc>
      </w:tr>
    </w:tbl>
    <w:p>
      <w:pPr>
        <w:pStyle w:val="TableSource"/>
      </w:pPr>
    </w:p>
    <w:p>
      <w:pPr>
        <w:pStyle w:val="Heading1"/>
      </w:pPr>
      <w:r>
        <w:t>1. Outcome and success contract</w:t>
      </w:r>
    </w:p>
    <w:p>
      <w:r>
        <w:t>This plan is designed to make first revenue plausible within 14 days, not to promise it. The commercial wedge is a useful, auditable public good: one current page that reduces outdated-information friction for people seeking help and for the volunteers, businesses and institutions that serve Calais.</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val="true"/>
          <w:cantSplit/>
        </w:trPr>
        <w:tc>
          <w:tcPr>
            <w:tcW w:type="dxa" w:w="1800"/>
            <w:shd w:fill="E8EEF5"/>
            <w:tcMar>
              <w:top w:w="80" w:type="dxa"/>
              <w:start w:w="120" w:type="dxa"/>
              <w:bottom w:w="80" w:type="dxa"/>
              <w:end w:w="120" w:type="dxa"/>
            </w:tcMar>
            <w:vAlign w:val="top"/>
          </w:tcPr>
          <w:p>
            <w:pPr>
              <w:spacing w:after="0"/>
            </w:pPr>
            <w:r>
              <w:rPr>
                <w:b/>
                <w:color w:val="0B2545"/>
                <w:sz w:val="18"/>
              </w:rPr>
              <w:t>Measure</w:t>
            </w:r>
          </w:p>
        </w:tc>
        <w:tc>
          <w:tcPr>
            <w:tcW w:type="dxa" w:w="3300"/>
            <w:shd w:fill="E8EEF5"/>
            <w:tcMar>
              <w:top w:w="80" w:type="dxa"/>
              <w:start w:w="120" w:type="dxa"/>
              <w:bottom w:w="80" w:type="dxa"/>
              <w:end w:w="120" w:type="dxa"/>
            </w:tcMar>
            <w:vAlign w:val="top"/>
          </w:tcPr>
          <w:p>
            <w:pPr>
              <w:spacing w:after="0"/>
            </w:pPr>
            <w:r>
              <w:rPr>
                <w:b/>
                <w:color w:val="0B2545"/>
                <w:sz w:val="18"/>
              </w:rPr>
              <w:t>Day-14 target</w:t>
            </w:r>
          </w:p>
        </w:tc>
        <w:tc>
          <w:tcPr>
            <w:tcW w:type="dxa" w:w="4260"/>
            <w:shd w:fill="E8EEF5"/>
            <w:tcMar>
              <w:top w:w="80" w:type="dxa"/>
              <w:start w:w="120" w:type="dxa"/>
              <w:bottom w:w="80" w:type="dxa"/>
              <w:end w:w="120" w:type="dxa"/>
            </w:tcMar>
            <w:vAlign w:val="top"/>
          </w:tcPr>
          <w:p>
            <w:pPr>
              <w:spacing w:after="0"/>
            </w:pPr>
            <w:r>
              <w:rPr>
                <w:b/>
                <w:color w:val="0B2545"/>
                <w:sz w:val="18"/>
              </w:rPr>
              <w:t>Minimum acceptable evidence</w:t>
            </w:r>
          </w:p>
        </w:tc>
      </w:tr>
      <w:tr>
        <w:trPr>
          <w:cantSplit/>
        </w:trPr>
        <w:tc>
          <w:tcPr>
            <w:tcW w:type="dxa" w:w="1800"/>
            <w:tcMar>
              <w:top w:w="80" w:type="dxa"/>
              <w:start w:w="120" w:type="dxa"/>
              <w:bottom w:w="80" w:type="dxa"/>
              <w:end w:w="120" w:type="dxa"/>
            </w:tcMar>
            <w:vAlign w:val="top"/>
          </w:tcPr>
          <w:p>
            <w:pPr>
              <w:spacing w:after="0"/>
            </w:pPr>
            <w:r>
              <w:rPr>
                <w:sz w:val="17"/>
              </w:rPr>
              <w:t>Public value</w:t>
            </w:r>
          </w:p>
        </w:tc>
        <w:tc>
          <w:tcPr>
            <w:tcW w:type="dxa" w:w="3300"/>
            <w:tcMar>
              <w:top w:w="80" w:type="dxa"/>
              <w:start w:w="120" w:type="dxa"/>
              <w:bottom w:w="80" w:type="dxa"/>
              <w:end w:w="120" w:type="dxa"/>
            </w:tcMar>
            <w:vAlign w:val="top"/>
          </w:tcPr>
          <w:p>
            <w:pPr>
              <w:spacing w:after="0"/>
            </w:pPr>
            <w:r>
              <w:rPr>
                <w:sz w:val="17"/>
              </w:rPr>
              <w:t>25 verified listings; 3 languages; emergency information prominent</w:t>
            </w:r>
          </w:p>
        </w:tc>
        <w:tc>
          <w:tcPr>
            <w:tcW w:type="dxa" w:w="4260"/>
            <w:tcMar>
              <w:top w:w="80" w:type="dxa"/>
              <w:start w:w="120" w:type="dxa"/>
              <w:bottom w:w="80" w:type="dxa"/>
              <w:end w:w="120" w:type="dxa"/>
            </w:tcMar>
            <w:vAlign w:val="top"/>
          </w:tcPr>
          <w:p>
            <w:pPr>
              <w:spacing w:after="0"/>
            </w:pPr>
            <w:r>
              <w:rPr>
                <w:sz w:val="17"/>
              </w:rPr>
              <w:t>Two service organisations approve their listings</w:t>
            </w:r>
          </w:p>
        </w:tc>
      </w:tr>
      <w:tr>
        <w:trPr>
          <w:cantSplit/>
        </w:trPr>
        <w:tc>
          <w:tcPr>
            <w:tcW w:type="dxa" w:w="1800"/>
            <w:tcMar>
              <w:top w:w="80" w:type="dxa"/>
              <w:start w:w="120" w:type="dxa"/>
              <w:bottom w:w="80" w:type="dxa"/>
              <w:end w:w="120" w:type="dxa"/>
            </w:tcMar>
            <w:vAlign w:val="top"/>
          </w:tcPr>
          <w:p>
            <w:pPr>
              <w:spacing w:after="0"/>
            </w:pPr>
            <w:r>
              <w:rPr>
                <w:sz w:val="17"/>
              </w:rPr>
              <w:t>Revenue</w:t>
            </w:r>
          </w:p>
        </w:tc>
        <w:tc>
          <w:tcPr>
            <w:tcW w:type="dxa" w:w="3300"/>
            <w:tcMar>
              <w:top w:w="80" w:type="dxa"/>
              <w:start w:w="120" w:type="dxa"/>
              <w:bottom w:w="80" w:type="dxa"/>
              <w:end w:w="120" w:type="dxa"/>
            </w:tcMar>
            <w:vAlign w:val="top"/>
          </w:tcPr>
          <w:p>
            <w:pPr>
              <w:spacing w:after="0"/>
            </w:pPr>
            <w:r>
              <w:rPr>
                <w:sz w:val="17"/>
              </w:rPr>
              <w:t>At least one paid founding sponsorship by card, SEPA or Base; stretch: three</w:t>
            </w:r>
          </w:p>
        </w:tc>
        <w:tc>
          <w:tcPr>
            <w:tcW w:type="dxa" w:w="4260"/>
            <w:tcMar>
              <w:top w:w="80" w:type="dxa"/>
              <w:start w:w="120" w:type="dxa"/>
              <w:bottom w:w="80" w:type="dxa"/>
              <w:end w:w="120" w:type="dxa"/>
            </w:tcMar>
            <w:vAlign w:val="top"/>
          </w:tcPr>
          <w:p>
            <w:pPr>
              <w:spacing w:after="0"/>
            </w:pPr>
            <w:r>
              <w:rPr>
                <w:sz w:val="17"/>
              </w:rPr>
              <w:t>Settled payment plus correct invoice/receipt and ledger reconciliation</w:t>
            </w:r>
          </w:p>
        </w:tc>
      </w:tr>
      <w:tr>
        <w:trPr>
          <w:cantSplit/>
        </w:trPr>
        <w:tc>
          <w:tcPr>
            <w:tcW w:type="dxa" w:w="1800"/>
            <w:tcMar>
              <w:top w:w="80" w:type="dxa"/>
              <w:start w:w="120" w:type="dxa"/>
              <w:bottom w:w="80" w:type="dxa"/>
              <w:end w:w="120" w:type="dxa"/>
            </w:tcMar>
            <w:vAlign w:val="top"/>
          </w:tcPr>
          <w:p>
            <w:pPr>
              <w:spacing w:after="0"/>
            </w:pPr>
            <w:r>
              <w:rPr>
                <w:sz w:val="17"/>
              </w:rPr>
              <w:t>Demand</w:t>
            </w:r>
          </w:p>
        </w:tc>
        <w:tc>
          <w:tcPr>
            <w:tcW w:type="dxa" w:w="3300"/>
            <w:tcMar>
              <w:top w:w="80" w:type="dxa"/>
              <w:start w:w="120" w:type="dxa"/>
              <w:bottom w:w="80" w:type="dxa"/>
              <w:end w:w="120" w:type="dxa"/>
            </w:tcMar>
            <w:vAlign w:val="top"/>
          </w:tcPr>
          <w:p>
            <w:pPr>
              <w:spacing w:after="0"/>
            </w:pPr>
            <w:r>
              <w:rPr>
                <w:sz w:val="17"/>
              </w:rPr>
              <w:t>100 unique visits or 30 assisted uses</w:t>
            </w:r>
          </w:p>
        </w:tc>
        <w:tc>
          <w:tcPr>
            <w:tcW w:type="dxa" w:w="4260"/>
            <w:tcMar>
              <w:top w:w="80" w:type="dxa"/>
              <w:start w:w="120" w:type="dxa"/>
              <w:bottom w:w="80" w:type="dxa"/>
              <w:end w:w="120" w:type="dxa"/>
            </w:tcMar>
            <w:vAlign w:val="top"/>
          </w:tcPr>
          <w:p>
            <w:pPr>
              <w:spacing w:after="0"/>
            </w:pPr>
            <w:r>
              <w:rPr>
                <w:sz w:val="17"/>
              </w:rPr>
              <w:t>Privacy-preserving aggregate count; no refugee profiling</w:t>
            </w:r>
          </w:p>
        </w:tc>
      </w:tr>
      <w:tr>
        <w:trPr>
          <w:cantSplit/>
        </w:trPr>
        <w:tc>
          <w:tcPr>
            <w:tcW w:type="dxa" w:w="1800"/>
            <w:tcMar>
              <w:top w:w="80" w:type="dxa"/>
              <w:start w:w="120" w:type="dxa"/>
              <w:bottom w:w="80" w:type="dxa"/>
              <w:end w:w="120" w:type="dxa"/>
            </w:tcMar>
            <w:vAlign w:val="top"/>
          </w:tcPr>
          <w:p>
            <w:pPr>
              <w:spacing w:after="0"/>
            </w:pPr>
            <w:r>
              <w:rPr>
                <w:sz w:val="17"/>
              </w:rPr>
              <w:t>Supply</w:t>
            </w:r>
          </w:p>
        </w:tc>
        <w:tc>
          <w:tcPr>
            <w:tcW w:type="dxa" w:w="3300"/>
            <w:tcMar>
              <w:top w:w="80" w:type="dxa"/>
              <w:start w:w="120" w:type="dxa"/>
              <w:bottom w:w="80" w:type="dxa"/>
              <w:end w:w="120" w:type="dxa"/>
            </w:tcMar>
            <w:vAlign w:val="top"/>
          </w:tcPr>
          <w:p>
            <w:pPr>
              <w:spacing w:after="0"/>
            </w:pPr>
            <w:r>
              <w:rPr>
                <w:sz w:val="17"/>
              </w:rPr>
              <w:t>10 businesses contacted/day from day 3</w:t>
            </w:r>
          </w:p>
        </w:tc>
        <w:tc>
          <w:tcPr>
            <w:tcW w:type="dxa" w:w="4260"/>
            <w:tcMar>
              <w:top w:w="80" w:type="dxa"/>
              <w:start w:w="120" w:type="dxa"/>
              <w:bottom w:w="80" w:type="dxa"/>
              <w:end w:w="120" w:type="dxa"/>
            </w:tcMar>
            <w:vAlign w:val="top"/>
          </w:tcPr>
          <w:p>
            <w:pPr>
              <w:spacing w:after="0"/>
            </w:pPr>
            <w:r>
              <w:rPr>
                <w:sz w:val="17"/>
              </w:rPr>
              <w:t>Outreach log and objections recorded</w:t>
            </w:r>
          </w:p>
        </w:tc>
      </w:tr>
      <w:tr>
        <w:trPr>
          <w:cantSplit/>
        </w:trPr>
        <w:tc>
          <w:tcPr>
            <w:tcW w:type="dxa" w:w="1800"/>
            <w:tcMar>
              <w:top w:w="80" w:type="dxa"/>
              <w:start w:w="120" w:type="dxa"/>
              <w:bottom w:w="80" w:type="dxa"/>
              <w:end w:w="120" w:type="dxa"/>
            </w:tcMar>
            <w:vAlign w:val="top"/>
          </w:tcPr>
          <w:p>
            <w:pPr>
              <w:spacing w:after="0"/>
            </w:pPr>
            <w:r>
              <w:rPr>
                <w:sz w:val="17"/>
              </w:rPr>
              <w:t>Safety</w:t>
            </w:r>
          </w:p>
        </w:tc>
        <w:tc>
          <w:tcPr>
            <w:tcW w:type="dxa" w:w="3300"/>
            <w:tcMar>
              <w:top w:w="80" w:type="dxa"/>
              <w:start w:w="120" w:type="dxa"/>
              <w:bottom w:w="80" w:type="dxa"/>
              <w:end w:w="120" w:type="dxa"/>
            </w:tcMar>
            <w:vAlign w:val="top"/>
          </w:tcPr>
          <w:p>
            <w:pPr>
              <w:spacing w:after="0"/>
            </w:pPr>
            <w:r>
              <w:rPr>
                <w:sz w:val="17"/>
              </w:rPr>
              <w:t>Zero paid/unpaid work by anyone without confirmed entitlement; zero sensitive case files</w:t>
            </w:r>
          </w:p>
        </w:tc>
        <w:tc>
          <w:tcPr>
            <w:tcW w:type="dxa" w:w="4260"/>
            <w:tcMar>
              <w:top w:w="80" w:type="dxa"/>
              <w:start w:w="120" w:type="dxa"/>
              <w:bottom w:w="80" w:type="dxa"/>
              <w:end w:w="120" w:type="dxa"/>
            </w:tcMar>
            <w:vAlign w:val="top"/>
          </w:tcPr>
          <w:p>
            <w:pPr>
              <w:spacing w:after="0"/>
            </w:pPr>
            <w:r>
              <w:rPr>
                <w:sz w:val="17"/>
              </w:rPr>
              <w:t>Safeguarding and work-rights gates pass</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FF3CD"/>
          </w:tcPr>
          <w:p>
            <w:pPr>
              <w:spacing w:after="40"/>
            </w:pPr>
            <w:r>
              <w:rPr>
                <w:b/>
                <w:color w:val="0B2545"/>
              </w:rPr>
              <w:t>Kill or pivot rule</w:t>
              <w:br/>
            </w:r>
            <w:r>
              <w:rPr>
                <w:sz w:val="19"/>
              </w:rPr>
              <w:t>If there are no two sponsor commitments by the end of day 7, stop feature work. Keep the directory free, interview five prospects, change the offer or price, and target web3 public-goods sponsors plus Calais CSR buyers. Never compensate for weak demand by adding token speculation, aggressive referrals or refugee-targeted advertising.</w:t>
            </w:r>
          </w:p>
        </w:tc>
      </w:tr>
    </w:tbl>
    <w:p>
      <w:pPr>
        <w:pStyle w:val="TableSource"/>
      </w:pPr>
    </w:p>
    <w:p>
      <w:pPr>
        <w:pStyle w:val="Heading1"/>
      </w:pPr>
      <w:r>
        <w:t>2. The project</w:t>
      </w:r>
    </w:p>
    <w:p>
      <w:pPr>
        <w:pStyle w:val="Heading2"/>
      </w:pPr>
      <w:r>
        <w:t>2.1 Product proposition</w:t>
      </w:r>
    </w:p>
    <w:p>
      <w:r>
        <w:t>Working name: Calais Open Commons Protocol (COCP). A mobile-first web page and printable QR card answer four questions: What is available? Where is it? When was it last checked? Who verified it? The public experience requires no account or wallet and stores no immigration status, nationality, user location or case history. Listings are content-addressed, mirrored and signed so no single host owns the directory.</w:t>
      </w:r>
    </w:p>
    <w:tbl>
      <w:tblPr>
        <w:tblStyle w:val="TableGrid"/>
        <w:tblW w:type="dxa" w:w="9360"/>
        <w:jc w:val="center"/>
        <w:tblLayout w:type="fixed"/>
        <w:tblLook w:firstColumn="1" w:firstRow="1" w:lastColumn="0" w:lastRow="0" w:noHBand="0" w:noVBand="1" w:val="04A0"/>
        <w:tblInd w:w="120" w:type="dxa"/>
      </w:tblPr>
      <w:tblGrid>
        <w:gridCol w:w="1750"/>
        <w:gridCol w:w="4600"/>
        <w:gridCol w:w="3010"/>
      </w:tblGrid>
      <w:tr>
        <w:trPr>
          <w:tblHeader w:val="true"/>
          <w:cantSplit/>
        </w:trPr>
        <w:tc>
          <w:tcPr>
            <w:tcW w:type="dxa" w:w="1750"/>
            <w:shd w:fill="E8EEF5"/>
            <w:tcMar>
              <w:top w:w="80" w:type="dxa"/>
              <w:start w:w="120" w:type="dxa"/>
              <w:bottom w:w="80" w:type="dxa"/>
              <w:end w:w="120" w:type="dxa"/>
            </w:tcMar>
            <w:vAlign w:val="top"/>
          </w:tcPr>
          <w:p>
            <w:pPr>
              <w:spacing w:after="0"/>
            </w:pPr>
            <w:r>
              <w:rPr>
                <w:b/>
                <w:color w:val="0B2545"/>
                <w:sz w:val="18"/>
              </w:rPr>
              <w:t>Audience</w:t>
            </w:r>
          </w:p>
        </w:tc>
        <w:tc>
          <w:tcPr>
            <w:tcW w:type="dxa" w:w="4600"/>
            <w:shd w:fill="E8EEF5"/>
            <w:tcMar>
              <w:top w:w="80" w:type="dxa"/>
              <w:start w:w="120" w:type="dxa"/>
              <w:bottom w:w="80" w:type="dxa"/>
              <w:end w:w="120" w:type="dxa"/>
            </w:tcMar>
            <w:vAlign w:val="top"/>
          </w:tcPr>
          <w:p>
            <w:pPr>
              <w:spacing w:after="0"/>
            </w:pPr>
            <w:r>
              <w:rPr>
                <w:b/>
                <w:color w:val="0B2545"/>
                <w:sz w:val="18"/>
              </w:rPr>
              <w:t>Value</w:t>
            </w:r>
          </w:p>
        </w:tc>
        <w:tc>
          <w:tcPr>
            <w:tcW w:type="dxa" w:w="3010"/>
            <w:shd w:fill="E8EEF5"/>
            <w:tcMar>
              <w:top w:w="80" w:type="dxa"/>
              <w:start w:w="120" w:type="dxa"/>
              <w:bottom w:w="80" w:type="dxa"/>
              <w:end w:w="120" w:type="dxa"/>
            </w:tcMar>
            <w:vAlign w:val="top"/>
          </w:tcPr>
          <w:p>
            <w:pPr>
              <w:spacing w:after="0"/>
            </w:pPr>
            <w:r>
              <w:rPr>
                <w:b/>
                <w:color w:val="0B2545"/>
                <w:sz w:val="18"/>
              </w:rPr>
              <w:t>Call to action</w:t>
            </w:r>
          </w:p>
        </w:tc>
      </w:tr>
      <w:tr>
        <w:trPr>
          <w:cantSplit/>
        </w:trPr>
        <w:tc>
          <w:tcPr>
            <w:tcW w:type="dxa" w:w="1750"/>
            <w:tcMar>
              <w:top w:w="80" w:type="dxa"/>
              <w:start w:w="120" w:type="dxa"/>
              <w:bottom w:w="80" w:type="dxa"/>
              <w:end w:w="120" w:type="dxa"/>
            </w:tcMar>
            <w:vAlign w:val="top"/>
          </w:tcPr>
          <w:p>
            <w:pPr>
              <w:spacing w:after="0"/>
            </w:pPr>
            <w:r>
              <w:rPr>
                <w:sz w:val="17"/>
              </w:rPr>
              <w:t>People seeking refuge</w:t>
            </w:r>
          </w:p>
        </w:tc>
        <w:tc>
          <w:tcPr>
            <w:tcW w:type="dxa" w:w="4600"/>
            <w:tcMar>
              <w:top w:w="80" w:type="dxa"/>
              <w:start w:w="120" w:type="dxa"/>
              <w:bottom w:w="80" w:type="dxa"/>
              <w:end w:w="120" w:type="dxa"/>
            </w:tcMar>
            <w:vAlign w:val="top"/>
          </w:tcPr>
          <w:p>
            <w:pPr>
              <w:spacing w:after="0"/>
            </w:pPr>
            <w:r>
              <w:rPr>
                <w:sz w:val="17"/>
              </w:rPr>
              <w:t>Free, multilingual, low-bandwidth access to essential and community services</w:t>
            </w:r>
          </w:p>
        </w:tc>
        <w:tc>
          <w:tcPr>
            <w:tcW w:type="dxa" w:w="3010"/>
            <w:tcMar>
              <w:top w:w="80" w:type="dxa"/>
              <w:start w:w="120" w:type="dxa"/>
              <w:bottom w:w="80" w:type="dxa"/>
              <w:end w:w="120" w:type="dxa"/>
            </w:tcMar>
            <w:vAlign w:val="top"/>
          </w:tcPr>
          <w:p>
            <w:pPr>
              <w:spacing w:after="0"/>
            </w:pPr>
            <w:r>
              <w:rPr>
                <w:sz w:val="17"/>
              </w:rPr>
              <w:t>Browse anonymously; call or message the listed provider</w:t>
            </w:r>
          </w:p>
        </w:tc>
      </w:tr>
      <w:tr>
        <w:trPr>
          <w:cantSplit/>
        </w:trPr>
        <w:tc>
          <w:tcPr>
            <w:tcW w:type="dxa" w:w="1750"/>
            <w:tcMar>
              <w:top w:w="80" w:type="dxa"/>
              <w:start w:w="120" w:type="dxa"/>
              <w:bottom w:w="80" w:type="dxa"/>
              <w:end w:w="120" w:type="dxa"/>
            </w:tcMar>
            <w:vAlign w:val="top"/>
          </w:tcPr>
          <w:p>
            <w:pPr>
              <w:spacing w:after="0"/>
            </w:pPr>
            <w:r>
              <w:rPr>
                <w:sz w:val="17"/>
              </w:rPr>
              <w:t>Calais residents</w:t>
            </w:r>
          </w:p>
        </w:tc>
        <w:tc>
          <w:tcPr>
            <w:tcW w:type="dxa" w:w="4600"/>
            <w:tcMar>
              <w:top w:w="80" w:type="dxa"/>
              <w:start w:w="120" w:type="dxa"/>
              <w:bottom w:w="80" w:type="dxa"/>
              <w:end w:w="120" w:type="dxa"/>
            </w:tcMar>
            <w:vAlign w:val="top"/>
          </w:tcPr>
          <w:p>
            <w:pPr>
              <w:spacing w:after="0"/>
            </w:pPr>
            <w:r>
              <w:rPr>
                <w:sz w:val="17"/>
              </w:rPr>
              <w:t>A safe way to contribute useful information and direct support</w:t>
            </w:r>
          </w:p>
        </w:tc>
        <w:tc>
          <w:tcPr>
            <w:tcW w:type="dxa" w:w="3010"/>
            <w:tcMar>
              <w:top w:w="80" w:type="dxa"/>
              <w:start w:w="120" w:type="dxa"/>
              <w:bottom w:w="80" w:type="dxa"/>
              <w:end w:w="120" w:type="dxa"/>
            </w:tcMar>
            <w:vAlign w:val="top"/>
          </w:tcPr>
          <w:p>
            <w:pPr>
              <w:spacing w:after="0"/>
            </w:pPr>
            <w:r>
              <w:rPr>
                <w:sz w:val="17"/>
              </w:rPr>
              <w:t>Suggest a correction, introduce a business, or donate to the fiscal host</w:t>
            </w:r>
          </w:p>
        </w:tc>
      </w:tr>
      <w:tr>
        <w:trPr>
          <w:cantSplit/>
        </w:trPr>
        <w:tc>
          <w:tcPr>
            <w:tcW w:type="dxa" w:w="1750"/>
            <w:tcMar>
              <w:top w:w="80" w:type="dxa"/>
              <w:start w:w="120" w:type="dxa"/>
              <w:bottom w:w="80" w:type="dxa"/>
              <w:end w:w="120" w:type="dxa"/>
            </w:tcMar>
            <w:vAlign w:val="top"/>
          </w:tcPr>
          <w:p>
            <w:pPr>
              <w:spacing w:after="0"/>
            </w:pPr>
            <w:r>
              <w:rPr>
                <w:sz w:val="17"/>
              </w:rPr>
              <w:t>Local businesses</w:t>
            </w:r>
          </w:p>
        </w:tc>
        <w:tc>
          <w:tcPr>
            <w:tcW w:type="dxa" w:w="4600"/>
            <w:tcMar>
              <w:top w:w="80" w:type="dxa"/>
              <w:start w:w="120" w:type="dxa"/>
              <w:bottom w:w="80" w:type="dxa"/>
              <w:end w:w="120" w:type="dxa"/>
            </w:tcMar>
            <w:vAlign w:val="top"/>
          </w:tcPr>
          <w:p>
            <w:pPr>
              <w:spacing w:after="0"/>
            </w:pPr>
            <w:r>
              <w:rPr>
                <w:sz w:val="17"/>
              </w:rPr>
              <w:t>Visible civic sponsorship, a reconciled receipt and a simple impact report</w:t>
            </w:r>
          </w:p>
        </w:tc>
        <w:tc>
          <w:tcPr>
            <w:tcW w:type="dxa" w:w="3010"/>
            <w:tcMar>
              <w:top w:w="80" w:type="dxa"/>
              <w:start w:w="120" w:type="dxa"/>
              <w:bottom w:w="80" w:type="dxa"/>
              <w:end w:w="120" w:type="dxa"/>
            </w:tcMar>
            <w:vAlign w:val="top"/>
          </w:tcPr>
          <w:p>
            <w:pPr>
              <w:spacing w:after="0"/>
            </w:pPr>
            <w:r>
              <w:rPr>
                <w:sz w:val="17"/>
              </w:rPr>
              <w:t>Underwrite verification/translation; never obtain beneficiary data</w:t>
            </w:r>
          </w:p>
        </w:tc>
      </w:tr>
      <w:tr>
        <w:trPr>
          <w:cantSplit/>
        </w:trPr>
        <w:tc>
          <w:tcPr>
            <w:tcW w:type="dxa" w:w="1750"/>
            <w:tcMar>
              <w:top w:w="80" w:type="dxa"/>
              <w:start w:w="120" w:type="dxa"/>
              <w:bottom w:w="80" w:type="dxa"/>
              <w:end w:w="120" w:type="dxa"/>
            </w:tcMar>
            <w:vAlign w:val="top"/>
          </w:tcPr>
          <w:p>
            <w:pPr>
              <w:spacing w:after="0"/>
            </w:pPr>
            <w:r>
              <w:rPr>
                <w:sz w:val="17"/>
              </w:rPr>
              <w:t>Associations and public bodies</w:t>
            </w:r>
          </w:p>
        </w:tc>
        <w:tc>
          <w:tcPr>
            <w:tcW w:type="dxa" w:w="4600"/>
            <w:tcMar>
              <w:top w:w="80" w:type="dxa"/>
              <w:start w:w="120" w:type="dxa"/>
              <w:bottom w:w="80" w:type="dxa"/>
              <w:end w:w="120" w:type="dxa"/>
            </w:tcMar>
            <w:vAlign w:val="top"/>
          </w:tcPr>
          <w:p>
            <w:pPr>
              <w:spacing w:after="0"/>
            </w:pPr>
            <w:r>
              <w:rPr>
                <w:sz w:val="17"/>
              </w:rPr>
              <w:t>One structured verification layer and fewer repeated questions</w:t>
            </w:r>
          </w:p>
        </w:tc>
        <w:tc>
          <w:tcPr>
            <w:tcW w:type="dxa" w:w="3010"/>
            <w:tcMar>
              <w:top w:w="80" w:type="dxa"/>
              <w:start w:w="120" w:type="dxa"/>
              <w:bottom w:w="80" w:type="dxa"/>
              <w:end w:w="120" w:type="dxa"/>
            </w:tcMar>
            <w:vAlign w:val="top"/>
          </w:tcPr>
          <w:p>
            <w:pPr>
              <w:spacing w:after="0"/>
            </w:pPr>
            <w:r>
              <w:rPr>
                <w:sz w:val="17"/>
              </w:rPr>
              <w:t>Own/confirm listings and publish a last-checked date</w:t>
            </w:r>
          </w:p>
        </w:tc>
      </w:tr>
      <w:tr>
        <w:trPr>
          <w:cantSplit/>
        </w:trPr>
        <w:tc>
          <w:tcPr>
            <w:tcW w:type="dxa" w:w="1750"/>
            <w:tcMar>
              <w:top w:w="80" w:type="dxa"/>
              <w:start w:w="120" w:type="dxa"/>
              <w:bottom w:w="80" w:type="dxa"/>
              <w:end w:w="120" w:type="dxa"/>
            </w:tcMar>
            <w:vAlign w:val="top"/>
          </w:tcPr>
          <w:p>
            <w:pPr>
              <w:spacing w:after="0"/>
            </w:pPr>
            <w:r>
              <w:rPr>
                <w:sz w:val="17"/>
              </w:rPr>
              <w:t>Foundations/web3/media/researchers</w:t>
            </w:r>
          </w:p>
        </w:tc>
        <w:tc>
          <w:tcPr>
            <w:tcW w:type="dxa" w:w="4600"/>
            <w:tcMar>
              <w:top w:w="80" w:type="dxa"/>
              <w:start w:w="120" w:type="dxa"/>
              <w:bottom w:w="80" w:type="dxa"/>
              <w:end w:w="120" w:type="dxa"/>
            </w:tcMar>
            <w:vAlign w:val="top"/>
          </w:tcPr>
          <w:p>
            <w:pPr>
              <w:spacing w:after="0"/>
            </w:pPr>
            <w:r>
              <w:rPr>
                <w:sz w:val="17"/>
              </w:rPr>
              <w:t>Aggregate, non-identifying service-availability data and transparent funding</w:t>
            </w:r>
          </w:p>
        </w:tc>
        <w:tc>
          <w:tcPr>
            <w:tcW w:type="dxa" w:w="3010"/>
            <w:tcMar>
              <w:top w:w="80" w:type="dxa"/>
              <w:start w:w="120" w:type="dxa"/>
              <w:bottom w:w="80" w:type="dxa"/>
              <w:end w:w="120" w:type="dxa"/>
            </w:tcMar>
            <w:vAlign w:val="top"/>
          </w:tcPr>
          <w:p>
            <w:pPr>
              <w:spacing w:after="0"/>
            </w:pPr>
            <w:r>
              <w:rPr>
                <w:sz w:val="17"/>
              </w:rPr>
              <w:t>Fund expansion or reuse open data under the published license</w:t>
            </w:r>
          </w:p>
        </w:tc>
      </w:tr>
    </w:tbl>
    <w:p>
      <w:pPr>
        <w:pStyle w:val="TableSource"/>
      </w:pPr>
    </w:p>
    <w:p>
      <w:pPr>
        <w:pStyle w:val="Heading2"/>
      </w:pPr>
      <w:r>
        <w:t>2.2 Revenue offer</w:t>
      </w:r>
    </w:p>
    <w:tbl>
      <w:tblPr>
        <w:tblStyle w:val="TableGrid"/>
        <w:tblW w:type="dxa" w:w="9360"/>
        <w:jc w:val="center"/>
        <w:tblLayout w:type="fixed"/>
        <w:tblLook w:firstColumn="1" w:firstRow="1" w:lastColumn="0" w:lastRow="0" w:noHBand="0" w:noVBand="1" w:val="04A0"/>
        <w:tblInd w:w="120" w:type="dxa"/>
      </w:tblPr>
      <w:tblGrid>
        <w:gridCol w:w="1800"/>
        <w:gridCol w:w="900"/>
        <w:gridCol w:w="3850"/>
        <w:gridCol w:w="2810"/>
      </w:tblGrid>
      <w:tr>
        <w:trPr>
          <w:tblHeader w:val="true"/>
          <w:cantSplit/>
        </w:trPr>
        <w:tc>
          <w:tcPr>
            <w:tcW w:type="dxa" w:w="1800"/>
            <w:shd w:fill="E8EEF5"/>
            <w:tcMar>
              <w:top w:w="80" w:type="dxa"/>
              <w:start w:w="120" w:type="dxa"/>
              <w:bottom w:w="80" w:type="dxa"/>
              <w:end w:w="120" w:type="dxa"/>
            </w:tcMar>
            <w:vAlign w:val="top"/>
          </w:tcPr>
          <w:p>
            <w:pPr>
              <w:spacing w:after="0"/>
            </w:pPr>
            <w:r>
              <w:rPr>
                <w:b/>
                <w:color w:val="0B2545"/>
                <w:sz w:val="18"/>
              </w:rPr>
              <w:t>Offer</w:t>
            </w:r>
          </w:p>
        </w:tc>
        <w:tc>
          <w:tcPr>
            <w:tcW w:type="dxa" w:w="900"/>
            <w:shd w:fill="E8EEF5"/>
            <w:tcMar>
              <w:top w:w="80" w:type="dxa"/>
              <w:start w:w="120" w:type="dxa"/>
              <w:bottom w:w="80" w:type="dxa"/>
              <w:end w:w="120" w:type="dxa"/>
            </w:tcMar>
            <w:vAlign w:val="top"/>
          </w:tcPr>
          <w:p>
            <w:pPr>
              <w:spacing w:after="0"/>
            </w:pPr>
            <w:r>
              <w:rPr>
                <w:b/>
                <w:color w:val="0B2545"/>
                <w:sz w:val="18"/>
              </w:rPr>
              <w:t>Price</w:t>
            </w:r>
          </w:p>
        </w:tc>
        <w:tc>
          <w:tcPr>
            <w:tcW w:type="dxa" w:w="3850"/>
            <w:shd w:fill="E8EEF5"/>
            <w:tcMar>
              <w:top w:w="80" w:type="dxa"/>
              <w:start w:w="120" w:type="dxa"/>
              <w:bottom w:w="80" w:type="dxa"/>
              <w:end w:w="120" w:type="dxa"/>
            </w:tcMar>
            <w:vAlign w:val="top"/>
          </w:tcPr>
          <w:p>
            <w:pPr>
              <w:spacing w:after="0"/>
            </w:pPr>
            <w:r>
              <w:rPr>
                <w:b/>
                <w:color w:val="0B2545"/>
                <w:sz w:val="18"/>
              </w:rPr>
              <w:t>Deliverable</w:t>
            </w:r>
          </w:p>
        </w:tc>
        <w:tc>
          <w:tcPr>
            <w:tcW w:type="dxa" w:w="2810"/>
            <w:shd w:fill="E8EEF5"/>
            <w:tcMar>
              <w:top w:w="80" w:type="dxa"/>
              <w:start w:w="120" w:type="dxa"/>
              <w:bottom w:w="80" w:type="dxa"/>
              <w:end w:w="120" w:type="dxa"/>
            </w:tcMar>
            <w:vAlign w:val="top"/>
          </w:tcPr>
          <w:p>
            <w:pPr>
              <w:spacing w:after="0"/>
            </w:pPr>
            <w:r>
              <w:rPr>
                <w:b/>
                <w:color w:val="0B2545"/>
                <w:sz w:val="18"/>
              </w:rPr>
              <w:t>Boundary</w:t>
            </w:r>
          </w:p>
        </w:tc>
      </w:tr>
      <w:tr>
        <w:trPr>
          <w:cantSplit/>
        </w:trPr>
        <w:tc>
          <w:tcPr>
            <w:tcW w:type="dxa" w:w="1800"/>
            <w:tcMar>
              <w:top w:w="80" w:type="dxa"/>
              <w:start w:w="120" w:type="dxa"/>
              <w:bottom w:w="80" w:type="dxa"/>
              <w:end w:w="120" w:type="dxa"/>
            </w:tcMar>
            <w:vAlign w:val="top"/>
          </w:tcPr>
          <w:p>
            <w:pPr>
              <w:spacing w:after="0"/>
            </w:pPr>
            <w:r>
              <w:rPr>
                <w:sz w:val="17"/>
              </w:rPr>
              <w:t>Founding protocol sponsor</w:t>
            </w:r>
          </w:p>
        </w:tc>
        <w:tc>
          <w:tcPr>
            <w:tcW w:type="dxa" w:w="900"/>
            <w:tcMar>
              <w:top w:w="80" w:type="dxa"/>
              <w:start w:w="120" w:type="dxa"/>
              <w:bottom w:w="80" w:type="dxa"/>
              <w:end w:w="120" w:type="dxa"/>
            </w:tcMar>
            <w:vAlign w:val="top"/>
          </w:tcPr>
          <w:p>
            <w:pPr>
              <w:spacing w:after="0"/>
            </w:pPr>
            <w:r>
              <w:rPr>
                <w:sz w:val="17"/>
              </w:rPr>
              <w:t>€79 equivalent</w:t>
            </w:r>
          </w:p>
        </w:tc>
        <w:tc>
          <w:tcPr>
            <w:tcW w:type="dxa" w:w="3850"/>
            <w:tcMar>
              <w:top w:w="80" w:type="dxa"/>
              <w:start w:w="120" w:type="dxa"/>
              <w:bottom w:w="80" w:type="dxa"/>
              <w:end w:w="120" w:type="dxa"/>
            </w:tcMar>
            <w:vAlign w:val="top"/>
          </w:tcPr>
          <w:p>
            <w:pPr>
              <w:spacing w:after="0"/>
            </w:pPr>
            <w:r>
              <w:rPr>
                <w:sz w:val="17"/>
              </w:rPr>
              <w:t>Reconciled sponsor receipt, separate recognition page for 30 days and aggregate impact note</w:t>
            </w:r>
          </w:p>
        </w:tc>
        <w:tc>
          <w:tcPr>
            <w:tcW w:type="dxa" w:w="2810"/>
            <w:tcMar>
              <w:top w:w="80" w:type="dxa"/>
              <w:start w:w="120" w:type="dxa"/>
              <w:bottom w:w="80" w:type="dxa"/>
              <w:end w:w="120" w:type="dxa"/>
            </w:tcMar>
            <w:vAlign w:val="top"/>
          </w:tcPr>
          <w:p>
            <w:pPr>
              <w:spacing w:after="0"/>
            </w:pPr>
            <w:r>
              <w:rPr>
                <w:sz w:val="17"/>
              </w:rPr>
              <w:t>No placement inside emergency listings; no user data</w:t>
            </w:r>
          </w:p>
        </w:tc>
      </w:tr>
      <w:tr>
        <w:trPr>
          <w:cantSplit/>
        </w:trPr>
        <w:tc>
          <w:tcPr>
            <w:tcW w:type="dxa" w:w="1800"/>
            <w:tcMar>
              <w:top w:w="80" w:type="dxa"/>
              <w:start w:w="120" w:type="dxa"/>
              <w:bottom w:w="80" w:type="dxa"/>
              <w:end w:w="120" w:type="dxa"/>
            </w:tcMar>
            <w:vAlign w:val="top"/>
          </w:tcPr>
          <w:p>
            <w:pPr>
              <w:spacing w:after="0"/>
            </w:pPr>
            <w:r>
              <w:rPr>
                <w:sz w:val="17"/>
              </w:rPr>
              <w:t>Language underwriter</w:t>
            </w:r>
          </w:p>
        </w:tc>
        <w:tc>
          <w:tcPr>
            <w:tcW w:type="dxa" w:w="900"/>
            <w:tcMar>
              <w:top w:w="80" w:type="dxa"/>
              <w:start w:w="120" w:type="dxa"/>
              <w:bottom w:w="80" w:type="dxa"/>
              <w:end w:w="120" w:type="dxa"/>
            </w:tcMar>
            <w:vAlign w:val="top"/>
          </w:tcPr>
          <w:p>
            <w:pPr>
              <w:spacing w:after="0"/>
            </w:pPr>
            <w:r>
              <w:rPr>
                <w:sz w:val="17"/>
              </w:rPr>
              <w:t>€149 equivalent</w:t>
            </w:r>
          </w:p>
        </w:tc>
        <w:tc>
          <w:tcPr>
            <w:tcW w:type="dxa" w:w="3850"/>
            <w:tcMar>
              <w:top w:w="80" w:type="dxa"/>
              <w:start w:w="120" w:type="dxa"/>
              <w:bottom w:w="80" w:type="dxa"/>
              <w:end w:w="120" w:type="dxa"/>
            </w:tcMar>
            <w:vAlign w:val="top"/>
          </w:tcPr>
          <w:p>
            <w:pPr>
              <w:spacing w:after="0"/>
            </w:pPr>
            <w:r>
              <w:rPr>
                <w:sz w:val="17"/>
              </w:rPr>
              <w:t>Funds one reviewed translation and printed QR batch after revenue</w:t>
            </w:r>
          </w:p>
        </w:tc>
        <w:tc>
          <w:tcPr>
            <w:tcW w:type="dxa" w:w="2810"/>
            <w:tcMar>
              <w:top w:w="80" w:type="dxa"/>
              <w:start w:w="120" w:type="dxa"/>
              <w:bottom w:w="80" w:type="dxa"/>
              <w:end w:w="120" w:type="dxa"/>
            </w:tcMar>
            <w:vAlign w:val="top"/>
          </w:tcPr>
          <w:p>
            <w:pPr>
              <w:spacing w:after="0"/>
            </w:pPr>
            <w:r>
              <w:rPr>
                <w:sz w:val="17"/>
              </w:rPr>
              <w:t>Translator/reviewer paid lawfully; no unpaid refugee translation</w:t>
            </w:r>
          </w:p>
        </w:tc>
      </w:tr>
      <w:tr>
        <w:trPr>
          <w:cantSplit/>
        </w:trPr>
        <w:tc>
          <w:tcPr>
            <w:tcW w:type="dxa" w:w="1800"/>
            <w:tcMar>
              <w:top w:w="80" w:type="dxa"/>
              <w:start w:w="120" w:type="dxa"/>
              <w:bottom w:w="80" w:type="dxa"/>
              <w:end w:w="120" w:type="dxa"/>
            </w:tcMar>
            <w:vAlign w:val="top"/>
          </w:tcPr>
          <w:p>
            <w:pPr>
              <w:spacing w:after="0"/>
            </w:pPr>
            <w:r>
              <w:rPr>
                <w:sz w:val="17"/>
              </w:rPr>
              <w:t>Institutional verification pack</w:t>
            </w:r>
          </w:p>
        </w:tc>
        <w:tc>
          <w:tcPr>
            <w:tcW w:type="dxa" w:w="900"/>
            <w:tcMar>
              <w:top w:w="80" w:type="dxa"/>
              <w:start w:w="120" w:type="dxa"/>
              <w:bottom w:w="80" w:type="dxa"/>
              <w:end w:w="120" w:type="dxa"/>
            </w:tcMar>
            <w:vAlign w:val="top"/>
          </w:tcPr>
          <w:p>
            <w:pPr>
              <w:spacing w:after="0"/>
            </w:pPr>
            <w:r>
              <w:rPr>
                <w:sz w:val="17"/>
              </w:rPr>
              <w:t>€249 equivalent</w:t>
            </w:r>
          </w:p>
        </w:tc>
        <w:tc>
          <w:tcPr>
            <w:tcW w:type="dxa" w:w="3850"/>
            <w:tcMar>
              <w:top w:w="80" w:type="dxa"/>
              <w:start w:w="120" w:type="dxa"/>
              <w:bottom w:w="80" w:type="dxa"/>
              <w:end w:w="120" w:type="dxa"/>
            </w:tcMar>
            <w:vAlign w:val="top"/>
          </w:tcPr>
          <w:p>
            <w:pPr>
              <w:spacing w:after="0"/>
            </w:pPr>
            <w:r>
              <w:rPr>
                <w:sz w:val="17"/>
              </w:rPr>
              <w:t>Import/cleanup of up to 30 public listings, signed release and change log</w:t>
            </w:r>
          </w:p>
        </w:tc>
        <w:tc>
          <w:tcPr>
            <w:tcW w:type="dxa" w:w="2810"/>
            <w:tcMar>
              <w:top w:w="80" w:type="dxa"/>
              <w:start w:w="120" w:type="dxa"/>
              <w:bottom w:w="80" w:type="dxa"/>
              <w:end w:w="120" w:type="dxa"/>
            </w:tcMar>
            <w:vAlign w:val="top"/>
          </w:tcPr>
          <w:p>
            <w:pPr>
              <w:spacing w:after="0"/>
            </w:pPr>
            <w:r>
              <w:rPr>
                <w:sz w:val="17"/>
              </w:rPr>
              <w:t>Only public operational data; written permission</w:t>
            </w:r>
          </w:p>
        </w:tc>
      </w:tr>
      <w:tr>
        <w:trPr>
          <w:cantSplit/>
        </w:trPr>
        <w:tc>
          <w:tcPr>
            <w:tcW w:type="dxa" w:w="1800"/>
            <w:tcMar>
              <w:top w:w="80" w:type="dxa"/>
              <w:start w:w="120" w:type="dxa"/>
              <w:bottom w:w="80" w:type="dxa"/>
              <w:end w:w="120" w:type="dxa"/>
            </w:tcMar>
            <w:vAlign w:val="top"/>
          </w:tcPr>
          <w:p>
            <w:pPr>
              <w:spacing w:after="0"/>
            </w:pPr>
            <w:r>
              <w:rPr>
                <w:sz w:val="17"/>
              </w:rPr>
              <w:t>White-label city launch</w:t>
            </w:r>
          </w:p>
        </w:tc>
        <w:tc>
          <w:tcPr>
            <w:tcW w:type="dxa" w:w="900"/>
            <w:tcMar>
              <w:top w:w="80" w:type="dxa"/>
              <w:start w:w="120" w:type="dxa"/>
              <w:bottom w:w="80" w:type="dxa"/>
              <w:end w:w="120" w:type="dxa"/>
            </w:tcMar>
            <w:vAlign w:val="top"/>
          </w:tcPr>
          <w:p>
            <w:pPr>
              <w:spacing w:after="0"/>
            </w:pPr>
            <w:r>
              <w:rPr>
                <w:sz w:val="17"/>
              </w:rPr>
              <w:t>€499 setup</w:t>
            </w:r>
          </w:p>
        </w:tc>
        <w:tc>
          <w:tcPr>
            <w:tcW w:type="dxa" w:w="3850"/>
            <w:tcMar>
              <w:top w:w="80" w:type="dxa"/>
              <w:start w:w="120" w:type="dxa"/>
              <w:bottom w:w="80" w:type="dxa"/>
              <w:end w:w="120" w:type="dxa"/>
            </w:tcMar>
            <w:vAlign w:val="top"/>
          </w:tcPr>
          <w:p>
            <w:pPr>
              <w:spacing w:after="0"/>
            </w:pPr>
            <w:r>
              <w:rPr>
                <w:sz w:val="17"/>
              </w:rPr>
              <w:t>Open-source deployment, local schema and verifier onboarding</w:t>
            </w:r>
          </w:p>
        </w:tc>
        <w:tc>
          <w:tcPr>
            <w:tcW w:type="dxa" w:w="2810"/>
            <w:tcMar>
              <w:top w:w="80" w:type="dxa"/>
              <w:start w:w="120" w:type="dxa"/>
              <w:bottom w:w="80" w:type="dxa"/>
              <w:end w:w="120" w:type="dxa"/>
            </w:tcMar>
            <w:vAlign w:val="top"/>
          </w:tcPr>
          <w:p>
            <w:pPr>
              <w:spacing w:after="0"/>
            </w:pPr>
            <w:r>
              <w:rPr>
                <w:sz w:val="17"/>
              </w:rPr>
              <w:t>Customer controls its host; protocol data remains portable</w:t>
            </w:r>
          </w:p>
        </w:tc>
      </w:tr>
      <w:tr>
        <w:trPr>
          <w:cantSplit/>
        </w:trPr>
        <w:tc>
          <w:tcPr>
            <w:tcW w:type="dxa" w:w="1800"/>
            <w:tcMar>
              <w:top w:w="80" w:type="dxa"/>
              <w:start w:w="120" w:type="dxa"/>
              <w:bottom w:w="80" w:type="dxa"/>
              <w:end w:w="120" w:type="dxa"/>
            </w:tcMar>
            <w:vAlign w:val="top"/>
          </w:tcPr>
          <w:p>
            <w:pPr>
              <w:spacing w:after="0"/>
            </w:pPr>
            <w:r>
              <w:rPr>
                <w:sz w:val="17"/>
              </w:rPr>
              <w:t>Verification SLA</w:t>
            </w:r>
          </w:p>
        </w:tc>
        <w:tc>
          <w:tcPr>
            <w:tcW w:type="dxa" w:w="900"/>
            <w:tcMar>
              <w:top w:w="80" w:type="dxa"/>
              <w:start w:w="120" w:type="dxa"/>
              <w:bottom w:w="80" w:type="dxa"/>
              <w:end w:w="120" w:type="dxa"/>
            </w:tcMar>
            <w:vAlign w:val="top"/>
          </w:tcPr>
          <w:p>
            <w:pPr>
              <w:spacing w:after="0"/>
            </w:pPr>
            <w:r>
              <w:rPr>
                <w:sz w:val="17"/>
              </w:rPr>
              <w:t>€49/month</w:t>
            </w:r>
          </w:p>
        </w:tc>
        <w:tc>
          <w:tcPr>
            <w:tcW w:type="dxa" w:w="3850"/>
            <w:tcMar>
              <w:top w:w="80" w:type="dxa"/>
              <w:start w:w="120" w:type="dxa"/>
              <w:bottom w:w="80" w:type="dxa"/>
              <w:end w:w="120" w:type="dxa"/>
            </w:tcMar>
            <w:vAlign w:val="top"/>
          </w:tcPr>
          <w:p>
            <w:pPr>
              <w:spacing w:after="0"/>
            </w:pPr>
            <w:r>
              <w:rPr>
                <w:sz w:val="17"/>
              </w:rPr>
              <w:t>Freshness monitoring, broken-link alerts and monthly impact export</w:t>
            </w:r>
          </w:p>
        </w:tc>
        <w:tc>
          <w:tcPr>
            <w:tcW w:type="dxa" w:w="2810"/>
            <w:tcMar>
              <w:top w:w="80" w:type="dxa"/>
              <w:start w:w="120" w:type="dxa"/>
              <w:bottom w:w="80" w:type="dxa"/>
              <w:end w:w="120" w:type="dxa"/>
            </w:tcMar>
            <w:vAlign w:val="top"/>
          </w:tcPr>
          <w:p>
            <w:pPr>
              <w:spacing w:after="0"/>
            </w:pPr>
            <w:r>
              <w:rPr>
                <w:sz w:val="17"/>
              </w:rPr>
              <w:t>Public data stays free; fee buys operations, not exclusive access</w:t>
            </w:r>
          </w:p>
        </w:tc>
      </w:tr>
      <w:tr>
        <w:trPr>
          <w:cantSplit/>
        </w:trPr>
        <w:tc>
          <w:tcPr>
            <w:tcW w:type="dxa" w:w="1800"/>
            <w:tcMar>
              <w:top w:w="80" w:type="dxa"/>
              <w:start w:w="120" w:type="dxa"/>
              <w:bottom w:w="80" w:type="dxa"/>
              <w:end w:w="120" w:type="dxa"/>
            </w:tcMar>
            <w:vAlign w:val="top"/>
          </w:tcPr>
          <w:p>
            <w:pPr>
              <w:spacing w:after="0"/>
            </w:pPr>
            <w:r>
              <w:rPr>
                <w:sz w:val="17"/>
              </w:rPr>
              <w:t>Citizen support</w:t>
            </w:r>
          </w:p>
        </w:tc>
        <w:tc>
          <w:tcPr>
            <w:tcW w:type="dxa" w:w="900"/>
            <w:tcMar>
              <w:top w:w="80" w:type="dxa"/>
              <w:start w:w="120" w:type="dxa"/>
              <w:bottom w:w="80" w:type="dxa"/>
              <w:end w:w="120" w:type="dxa"/>
            </w:tcMar>
            <w:vAlign w:val="top"/>
          </w:tcPr>
          <w:p>
            <w:pPr>
              <w:spacing w:after="0"/>
            </w:pPr>
            <w:r>
              <w:rPr>
                <w:sz w:val="17"/>
              </w:rPr>
              <w:t>€5–€25 suggested</w:t>
            </w:r>
          </w:p>
        </w:tc>
        <w:tc>
          <w:tcPr>
            <w:tcW w:type="dxa" w:w="3850"/>
            <w:tcMar>
              <w:top w:w="80" w:type="dxa"/>
              <w:start w:w="120" w:type="dxa"/>
              <w:bottom w:w="80" w:type="dxa"/>
              <w:end w:w="120" w:type="dxa"/>
            </w:tcMar>
            <w:vAlign w:val="top"/>
          </w:tcPr>
          <w:p>
            <w:pPr>
              <w:spacing w:after="0"/>
            </w:pPr>
            <w:r>
              <w:rPr>
                <w:sz w:val="17"/>
              </w:rPr>
              <w:t>Donation directly to the partner association</w:t>
            </w:r>
          </w:p>
        </w:tc>
        <w:tc>
          <w:tcPr>
            <w:tcW w:type="dxa" w:w="2810"/>
            <w:tcMar>
              <w:top w:w="80" w:type="dxa"/>
              <w:start w:w="120" w:type="dxa"/>
              <w:bottom w:w="80" w:type="dxa"/>
              <w:end w:w="120" w:type="dxa"/>
            </w:tcMar>
            <w:vAlign w:val="top"/>
          </w:tcPr>
          <w:p>
            <w:pPr>
              <w:spacing w:after="0"/>
            </w:pPr>
            <w:r>
              <w:rPr>
                <w:sz w:val="17"/>
              </w:rPr>
              <w:t>Not project revenue; no tax receipt unless partner confirms eligibility</w:t>
            </w:r>
          </w:p>
        </w:tc>
      </w:tr>
    </w:tbl>
    <w:p>
      <w:pPr>
        <w:pStyle w:val="TableSource"/>
      </w:pPr>
    </w:p>
    <w:p>
      <w:r>
        <w:t>Default economic waterfall: 90% of each sponsorship is allocated to the sponsor-selected, verified beneficiary and 10% to project administration. On Base, the split is atomic: 90% to the beneficiary wallet and 10% to the immutable adminWallet. For card or SEPA, the accountable operator records the same allocation; processor fees come from the 10% administration share where feasible, and charitable payout occurs after settlement/refund controls. The controller publishes gross receipts, fees, refunds, tax, charity allocation and resulting net profit. In keeping with the original mission, 100% of net profit is transferred to named local charities monthly.</w:t>
      </w: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E6F2EA"/>
          </w:tcPr>
          <w:p>
            <w:pPr>
              <w:spacing w:after="40"/>
            </w:pPr>
            <w:r>
              <w:rPr>
                <w:b/>
                <w:color w:val="0B2545"/>
              </w:rPr>
              <w:t>Scale thesis</w:t>
              <w:br/>
            </w:r>
            <w:r>
              <w:rPr>
                <w:sz w:val="19"/>
              </w:rPr>
              <w:t>Calais proves the verification and sponsorship protocol. Revenue expands through language underwriting, recurring verification SLAs, white-label deployments for other cities, open-data integrations and international public-goods sponsors. Growth must increase reliable information and charitable transfers—not dependence, surveillance or speculative demand.</w:t>
            </w:r>
          </w:p>
        </w:tc>
      </w:tr>
    </w:tbl>
    <w:p>
      <w:pPr>
        <w:pStyle w:val="TableSource"/>
      </w:pPr>
    </w:p>
    <w:p>
      <w:pPr>
        <w:pStyle w:val="Heading2"/>
      </w:pPr>
      <w:r>
        <w:t>2.3 Payment choice</w:t>
      </w:r>
    </w:p>
    <w:tbl>
      <w:tblPr>
        <w:tblStyle w:val="TableGrid"/>
        <w:tblW w:type="dxa" w:w="9360"/>
        <w:jc w:val="center"/>
        <w:tblLayout w:type="fixed"/>
        <w:tblLook w:firstColumn="1" w:firstRow="1" w:lastColumn="0" w:lastRow="0" w:noHBand="0" w:noVBand="1" w:val="04A0"/>
        <w:tblInd w:w="120" w:type="dxa"/>
      </w:tblPr>
      <w:tblGrid>
        <w:gridCol w:w="1500"/>
        <w:gridCol w:w="2800"/>
        <w:gridCol w:w="3160"/>
        <w:gridCol w:w="1900"/>
      </w:tblGrid>
      <w:tr>
        <w:trPr>
          <w:tblHeader w:val="true"/>
          <w:cantSplit/>
        </w:trPr>
        <w:tc>
          <w:tcPr>
            <w:tcW w:type="dxa" w:w="1500"/>
            <w:shd w:fill="E8EEF5"/>
            <w:tcMar>
              <w:top w:w="80" w:type="dxa"/>
              <w:start w:w="120" w:type="dxa"/>
              <w:bottom w:w="80" w:type="dxa"/>
              <w:end w:w="120" w:type="dxa"/>
            </w:tcMar>
            <w:vAlign w:val="top"/>
          </w:tcPr>
          <w:p>
            <w:pPr>
              <w:spacing w:after="0"/>
            </w:pPr>
            <w:r>
              <w:rPr>
                <w:b/>
                <w:color w:val="0B2545"/>
                <w:sz w:val="17"/>
              </w:rPr>
              <w:t>Lane</w:t>
            </w:r>
          </w:p>
        </w:tc>
        <w:tc>
          <w:tcPr>
            <w:tcW w:type="dxa" w:w="2800"/>
            <w:shd w:fill="E8EEF5"/>
            <w:tcMar>
              <w:top w:w="80" w:type="dxa"/>
              <w:start w:w="120" w:type="dxa"/>
              <w:bottom w:w="80" w:type="dxa"/>
              <w:end w:w="120" w:type="dxa"/>
            </w:tcMar>
            <w:vAlign w:val="top"/>
          </w:tcPr>
          <w:p>
            <w:pPr>
              <w:spacing w:after="0"/>
            </w:pPr>
            <w:r>
              <w:rPr>
                <w:b/>
                <w:color w:val="0B2545"/>
                <w:sz w:val="17"/>
              </w:rPr>
              <w:t>User experience</w:t>
            </w:r>
          </w:p>
        </w:tc>
        <w:tc>
          <w:tcPr>
            <w:tcW w:type="dxa" w:w="3160"/>
            <w:shd w:fill="E8EEF5"/>
            <w:tcMar>
              <w:top w:w="80" w:type="dxa"/>
              <w:start w:w="120" w:type="dxa"/>
              <w:bottom w:w="80" w:type="dxa"/>
              <w:end w:w="120" w:type="dxa"/>
            </w:tcMar>
            <w:vAlign w:val="top"/>
          </w:tcPr>
          <w:p>
            <w:pPr>
              <w:spacing w:after="0"/>
            </w:pPr>
            <w:r>
              <w:rPr>
                <w:b/>
                <w:color w:val="0B2545"/>
                <w:sz w:val="17"/>
              </w:rPr>
              <w:t>Settlement and evidence</w:t>
            </w:r>
          </w:p>
        </w:tc>
        <w:tc>
          <w:tcPr>
            <w:tcW w:type="dxa" w:w="1900"/>
            <w:shd w:fill="E8EEF5"/>
            <w:tcMar>
              <w:top w:w="80" w:type="dxa"/>
              <w:start w:w="120" w:type="dxa"/>
              <w:bottom w:w="80" w:type="dxa"/>
              <w:end w:w="120" w:type="dxa"/>
            </w:tcMar>
            <w:vAlign w:val="top"/>
          </w:tcPr>
          <w:p>
            <w:pPr>
              <w:spacing w:after="0"/>
            </w:pPr>
            <w:r>
              <w:rPr>
                <w:b/>
                <w:color w:val="0B2545"/>
                <w:sz w:val="17"/>
              </w:rPr>
              <w:t>Dependency</w:t>
            </w:r>
          </w:p>
        </w:tc>
      </w:tr>
      <w:tr>
        <w:trPr>
          <w:cantSplit/>
        </w:trPr>
        <w:tc>
          <w:tcPr>
            <w:tcW w:type="dxa" w:w="1500"/>
            <w:tcMar>
              <w:top w:w="80" w:type="dxa"/>
              <w:start w:w="120" w:type="dxa"/>
              <w:bottom w:w="80" w:type="dxa"/>
              <w:end w:w="120" w:type="dxa"/>
            </w:tcMar>
            <w:vAlign w:val="top"/>
          </w:tcPr>
          <w:p>
            <w:pPr>
              <w:spacing w:after="0"/>
            </w:pPr>
            <w:r>
              <w:rPr>
                <w:sz w:val="16"/>
              </w:rPr>
              <w:t>Credit/debit card</w:t>
            </w:r>
          </w:p>
        </w:tc>
        <w:tc>
          <w:tcPr>
            <w:tcW w:type="dxa" w:w="2800"/>
            <w:tcMar>
              <w:top w:w="80" w:type="dxa"/>
              <w:start w:w="120" w:type="dxa"/>
              <w:bottom w:w="80" w:type="dxa"/>
              <w:end w:w="120" w:type="dxa"/>
            </w:tcMar>
            <w:vAlign w:val="top"/>
          </w:tcPr>
          <w:p>
            <w:pPr>
              <w:spacing w:after="0"/>
            </w:pPr>
            <w:r>
              <w:rPr>
                <w:sz w:val="16"/>
              </w:rPr>
              <w:t>Hosted checkout in EUR; mobile-friendly; SCA/3-D Secure handled by provider</w:t>
            </w:r>
          </w:p>
        </w:tc>
        <w:tc>
          <w:tcPr>
            <w:tcW w:type="dxa" w:w="3160"/>
            <w:tcMar>
              <w:top w:w="80" w:type="dxa"/>
              <w:start w:w="120" w:type="dxa"/>
              <w:bottom w:w="80" w:type="dxa"/>
              <w:end w:w="120" w:type="dxa"/>
            </w:tcMar>
            <w:vAlign w:val="top"/>
          </w:tcPr>
          <w:p>
            <w:pPr>
              <w:spacing w:after="0"/>
            </w:pPr>
            <w:r>
              <w:rPr>
                <w:sz w:val="16"/>
              </w:rPr>
              <w:t>Provider payment ID, settled amount, fees, refund/chargeback status and invoice reference</w:t>
            </w:r>
          </w:p>
        </w:tc>
        <w:tc>
          <w:tcPr>
            <w:tcW w:type="dxa" w:w="1900"/>
            <w:tcMar>
              <w:top w:w="80" w:type="dxa"/>
              <w:start w:w="120" w:type="dxa"/>
              <w:bottom w:w="80" w:type="dxa"/>
              <w:end w:w="120" w:type="dxa"/>
            </w:tcMar>
            <w:vAlign w:val="top"/>
          </w:tcPr>
          <w:p>
            <w:pPr>
              <w:spacing w:after="0"/>
            </w:pPr>
            <w:r>
              <w:rPr>
                <w:sz w:val="16"/>
              </w:rPr>
              <w:t>Regulated payment service provider; protocol still works without it</w:t>
            </w:r>
          </w:p>
        </w:tc>
      </w:tr>
      <w:tr>
        <w:trPr>
          <w:cantSplit/>
        </w:trPr>
        <w:tc>
          <w:tcPr>
            <w:tcW w:type="dxa" w:w="1500"/>
            <w:tcMar>
              <w:top w:w="80" w:type="dxa"/>
              <w:start w:w="120" w:type="dxa"/>
              <w:bottom w:w="80" w:type="dxa"/>
              <w:end w:w="120" w:type="dxa"/>
            </w:tcMar>
            <w:vAlign w:val="top"/>
          </w:tcPr>
          <w:p>
            <w:pPr>
              <w:spacing w:after="0"/>
            </w:pPr>
            <w:r>
              <w:rPr>
                <w:sz w:val="16"/>
              </w:rPr>
              <w:t>SEPA bank transfer</w:t>
            </w:r>
          </w:p>
        </w:tc>
        <w:tc>
          <w:tcPr>
            <w:tcW w:type="dxa" w:w="2800"/>
            <w:tcMar>
              <w:top w:w="80" w:type="dxa"/>
              <w:start w:w="120" w:type="dxa"/>
              <w:bottom w:w="80" w:type="dxa"/>
              <w:end w:w="120" w:type="dxa"/>
            </w:tcMar>
            <w:vAlign w:val="top"/>
          </w:tcPr>
          <w:p>
            <w:pPr>
              <w:spacing w:after="0"/>
            </w:pPr>
            <w:r>
              <w:rPr>
                <w:sz w:val="16"/>
              </w:rPr>
              <w:t>EUR bank instructions with unique payment reference and due date</w:t>
            </w:r>
          </w:p>
        </w:tc>
        <w:tc>
          <w:tcPr>
            <w:tcW w:type="dxa" w:w="3160"/>
            <w:tcMar>
              <w:top w:w="80" w:type="dxa"/>
              <w:start w:w="120" w:type="dxa"/>
              <w:bottom w:w="80" w:type="dxa"/>
              <w:end w:w="120" w:type="dxa"/>
            </w:tcMar>
            <w:vAlign w:val="top"/>
          </w:tcPr>
          <w:p>
            <w:pPr>
              <w:spacing w:after="0"/>
            </w:pPr>
            <w:r>
              <w:rPr>
                <w:sz w:val="16"/>
              </w:rPr>
              <w:t>Bank transaction ID, value date, payer reference, reconciliation status and invoice reference</w:t>
            </w:r>
          </w:p>
        </w:tc>
        <w:tc>
          <w:tcPr>
            <w:tcW w:type="dxa" w:w="1900"/>
            <w:tcMar>
              <w:top w:w="80" w:type="dxa"/>
              <w:start w:w="120" w:type="dxa"/>
              <w:bottom w:w="80" w:type="dxa"/>
              <w:end w:w="120" w:type="dxa"/>
            </w:tcMar>
            <w:vAlign w:val="top"/>
          </w:tcPr>
          <w:p>
            <w:pPr>
              <w:spacing w:after="0"/>
            </w:pPr>
            <w:r>
              <w:rPr>
                <w:sz w:val="16"/>
              </w:rPr>
              <w:t>Accountable operator or fiscal host bank account</w:t>
            </w:r>
          </w:p>
        </w:tc>
      </w:tr>
      <w:tr>
        <w:trPr>
          <w:cantSplit/>
        </w:trPr>
        <w:tc>
          <w:tcPr>
            <w:tcW w:type="dxa" w:w="1500"/>
            <w:tcMar>
              <w:top w:w="80" w:type="dxa"/>
              <w:start w:w="120" w:type="dxa"/>
              <w:bottom w:w="80" w:type="dxa"/>
              <w:end w:w="120" w:type="dxa"/>
            </w:tcMar>
            <w:vAlign w:val="top"/>
          </w:tcPr>
          <w:p>
            <w:pPr>
              <w:spacing w:after="0"/>
            </w:pPr>
            <w:r>
              <w:rPr>
                <w:sz w:val="16"/>
              </w:rPr>
              <w:t>Base payment</w:t>
            </w:r>
          </w:p>
        </w:tc>
        <w:tc>
          <w:tcPr>
            <w:tcW w:type="dxa" w:w="2800"/>
            <w:tcMar>
              <w:top w:w="80" w:type="dxa"/>
              <w:start w:w="120" w:type="dxa"/>
              <w:bottom w:w="80" w:type="dxa"/>
              <w:end w:w="120" w:type="dxa"/>
            </w:tcMar>
            <w:vAlign w:val="top"/>
          </w:tcPr>
          <w:p>
            <w:pPr>
              <w:spacing w:after="0"/>
            </w:pPr>
            <w:r>
              <w:rPr>
                <w:sz w:val="16"/>
              </w:rPr>
              <w:t>Existing supported token; wallet confirmation and public transaction</w:t>
            </w:r>
          </w:p>
        </w:tc>
        <w:tc>
          <w:tcPr>
            <w:tcW w:type="dxa" w:w="3160"/>
            <w:tcMar>
              <w:top w:w="80" w:type="dxa"/>
              <w:start w:w="120" w:type="dxa"/>
              <w:bottom w:w="80" w:type="dxa"/>
              <w:end w:w="120" w:type="dxa"/>
            </w:tcMar>
            <w:vAlign w:val="top"/>
          </w:tcPr>
          <w:p>
            <w:pPr>
              <w:spacing w:after="0"/>
            </w:pPr>
            <w:r>
              <w:rPr>
                <w:sz w:val="16"/>
              </w:rPr>
              <w:t>Chain ID, transaction hash, gross amount and atomic 90/10 split</w:t>
            </w:r>
          </w:p>
        </w:tc>
        <w:tc>
          <w:tcPr>
            <w:tcW w:type="dxa" w:w="1900"/>
            <w:tcMar>
              <w:top w:w="80" w:type="dxa"/>
              <w:start w:w="120" w:type="dxa"/>
              <w:bottom w:w="80" w:type="dxa"/>
              <w:end w:w="120" w:type="dxa"/>
            </w:tcMar>
            <w:vAlign w:val="top"/>
          </w:tcPr>
          <w:p>
            <w:pPr>
              <w:spacing w:after="0"/>
            </w:pPr>
            <w:r>
              <w:rPr>
                <w:sz w:val="16"/>
              </w:rPr>
              <w:t>Base and selected payment token</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4F6F9"/>
          </w:tcPr>
          <w:p>
            <w:pPr>
              <w:spacing w:after="40"/>
            </w:pPr>
            <w:r>
              <w:rPr>
                <w:b/>
                <w:color w:val="0B2545"/>
              </w:rPr>
              <w:t>Payment-channel neutrality</w:t>
              <w:br/>
            </w:r>
            <w:r>
              <w:rPr>
                <w:sz w:val="19"/>
              </w:rPr>
              <w:t>The sponsor chooses the lane. Service listings, recognition, pricing and charitable allocation must not favor crypto users. Refugees never encounter checkout, bank details or wallet prompts. Fiat success does not require conversion to crypto, and on-chain success does not require a fiat intermediary.</w:t>
            </w:r>
          </w:p>
        </w:tc>
      </w:tr>
    </w:tbl>
    <w:p>
      <w:pPr>
        <w:pStyle w:val="TableSource"/>
      </w:pPr>
    </w:p>
    <w:p>
      <w:pPr>
        <w:pStyle w:val="Heading2"/>
      </w:pPr>
      <w:r>
        <w:t>2.4 Sponsor value architecture</w:t>
      </w:r>
    </w:p>
    <w:p>
      <w:r>
        <w:t>Sponsors are buying credible, low-friction civic participation—not access to vulnerable people. The offer becomes attractive by making the outcome easy to approve internally, easy to prove externally and useful for responsible CSR/ESG communication. Every benefit is fixed, consent-based and separated from service discovery.</w:t>
      </w:r>
    </w:p>
    <w:tbl>
      <w:tblPr>
        <w:tblStyle w:val="TableGrid"/>
        <w:tblW w:type="dxa" w:w="9360"/>
        <w:jc w:val="center"/>
        <w:tblLayout w:type="fixed"/>
        <w:tblLook w:firstColumn="1" w:firstRow="1" w:lastColumn="0" w:lastRow="0" w:noHBand="0" w:noVBand="1" w:val="04A0"/>
        <w:tblInd w:w="120" w:type="dxa"/>
      </w:tblPr>
      <w:tblGrid>
        <w:gridCol w:w="2250"/>
        <w:gridCol w:w="3970"/>
        <w:gridCol w:w="3140"/>
      </w:tblGrid>
      <w:tr>
        <w:trPr>
          <w:tblHeader w:val="true"/>
          <w:cantSplit/>
        </w:trPr>
        <w:tc>
          <w:tcPr>
            <w:tcW w:type="dxa" w:w="2250"/>
            <w:shd w:fill="E8EEF5"/>
            <w:tcMar>
              <w:top w:w="80" w:type="dxa"/>
              <w:start w:w="120" w:type="dxa"/>
              <w:bottom w:w="80" w:type="dxa"/>
              <w:end w:w="120" w:type="dxa"/>
            </w:tcMar>
            <w:vAlign w:val="top"/>
          </w:tcPr>
          <w:p>
            <w:pPr>
              <w:spacing w:after="0"/>
            </w:pPr>
            <w:r>
              <w:rPr>
                <w:b/>
                <w:color w:val="0B2545"/>
                <w:sz w:val="17"/>
              </w:rPr>
              <w:t>Sponsor asset</w:t>
            </w:r>
          </w:p>
        </w:tc>
        <w:tc>
          <w:tcPr>
            <w:tcW w:type="dxa" w:w="3970"/>
            <w:shd w:fill="E8EEF5"/>
            <w:tcMar>
              <w:top w:w="80" w:type="dxa"/>
              <w:start w:w="120" w:type="dxa"/>
              <w:bottom w:w="80" w:type="dxa"/>
              <w:end w:w="120" w:type="dxa"/>
            </w:tcMar>
            <w:vAlign w:val="top"/>
          </w:tcPr>
          <w:p>
            <w:pPr>
              <w:spacing w:after="0"/>
            </w:pPr>
            <w:r>
              <w:rPr>
                <w:b/>
                <w:color w:val="0B2545"/>
                <w:sz w:val="17"/>
              </w:rPr>
              <w:t>Practical value</w:t>
            </w:r>
          </w:p>
        </w:tc>
        <w:tc>
          <w:tcPr>
            <w:tcW w:type="dxa" w:w="3140"/>
            <w:shd w:fill="E8EEF5"/>
            <w:tcMar>
              <w:top w:w="80" w:type="dxa"/>
              <w:start w:w="120" w:type="dxa"/>
              <w:bottom w:w="80" w:type="dxa"/>
              <w:end w:w="120" w:type="dxa"/>
            </w:tcMar>
            <w:vAlign w:val="top"/>
          </w:tcPr>
          <w:p>
            <w:pPr>
              <w:spacing w:after="0"/>
            </w:pPr>
            <w:r>
              <w:rPr>
                <w:b/>
                <w:color w:val="0B2545"/>
                <w:sz w:val="17"/>
              </w:rPr>
              <w:t>Ethical control</w:t>
            </w:r>
          </w:p>
        </w:tc>
      </w:tr>
      <w:tr>
        <w:trPr>
          <w:cantSplit/>
        </w:trPr>
        <w:tc>
          <w:tcPr>
            <w:tcW w:type="dxa" w:w="2250"/>
            <w:tcMar>
              <w:top w:w="80" w:type="dxa"/>
              <w:start w:w="120" w:type="dxa"/>
              <w:bottom w:w="80" w:type="dxa"/>
              <w:end w:w="120" w:type="dxa"/>
            </w:tcMar>
            <w:vAlign w:val="top"/>
          </w:tcPr>
          <w:p>
            <w:pPr>
              <w:spacing w:after="0"/>
            </w:pPr>
            <w:r>
              <w:rPr>
                <w:sz w:val="16"/>
              </w:rPr>
              <w:t>Verified impact receipt</w:t>
            </w:r>
          </w:p>
        </w:tc>
        <w:tc>
          <w:tcPr>
            <w:tcW w:type="dxa" w:w="3970"/>
            <w:tcMar>
              <w:top w:w="80" w:type="dxa"/>
              <w:start w:w="120" w:type="dxa"/>
              <w:bottom w:w="80" w:type="dxa"/>
              <w:end w:w="120" w:type="dxa"/>
            </w:tcMar>
            <w:vAlign w:val="top"/>
          </w:tcPr>
          <w:p>
            <w:pPr>
              <w:spacing w:after="0"/>
            </w:pPr>
            <w:r>
              <w:rPr>
                <w:sz w:val="16"/>
              </w:rPr>
              <w:t>Permanent proof URL showing amount, lane, campaign, allocation and reconciliation status</w:t>
            </w:r>
          </w:p>
        </w:tc>
        <w:tc>
          <w:tcPr>
            <w:tcW w:type="dxa" w:w="3140"/>
            <w:tcMar>
              <w:top w:w="80" w:type="dxa"/>
              <w:start w:w="120" w:type="dxa"/>
              <w:bottom w:w="80" w:type="dxa"/>
              <w:end w:w="120" w:type="dxa"/>
            </w:tcMar>
            <w:vAlign w:val="top"/>
          </w:tcPr>
          <w:p>
            <w:pPr>
              <w:spacing w:after="0"/>
            </w:pPr>
            <w:r>
              <w:rPr>
                <w:sz w:val="16"/>
              </w:rPr>
              <w:t>Pseudonymous by default; sponsor name/logo only by opt-in</w:t>
            </w:r>
          </w:p>
        </w:tc>
      </w:tr>
      <w:tr>
        <w:trPr>
          <w:cantSplit/>
        </w:trPr>
        <w:tc>
          <w:tcPr>
            <w:tcW w:type="dxa" w:w="2250"/>
            <w:tcMar>
              <w:top w:w="80" w:type="dxa"/>
              <w:start w:w="120" w:type="dxa"/>
              <w:bottom w:w="80" w:type="dxa"/>
              <w:end w:w="120" w:type="dxa"/>
            </w:tcMar>
            <w:vAlign w:val="top"/>
          </w:tcPr>
          <w:p>
            <w:pPr>
              <w:spacing w:after="0"/>
            </w:pPr>
            <w:r>
              <w:rPr>
                <w:sz w:val="16"/>
              </w:rPr>
              <w:t>One-page evidence pack</w:t>
            </w:r>
          </w:p>
        </w:tc>
        <w:tc>
          <w:tcPr>
            <w:tcW w:type="dxa" w:w="3970"/>
            <w:tcMar>
              <w:top w:w="80" w:type="dxa"/>
              <w:start w:w="120" w:type="dxa"/>
              <w:bottom w:w="80" w:type="dxa"/>
              <w:end w:w="120" w:type="dxa"/>
            </w:tcMar>
            <w:vAlign w:val="top"/>
          </w:tcPr>
          <w:p>
            <w:pPr>
              <w:spacing w:after="0"/>
            </w:pPr>
            <w:r>
              <w:rPr>
                <w:sz w:val="16"/>
              </w:rPr>
              <w:t>Invoice/receipt, approved project summary, allocation statement, metrics and charity evidence in one downloadable PDF</w:t>
            </w:r>
          </w:p>
        </w:tc>
        <w:tc>
          <w:tcPr>
            <w:tcW w:type="dxa" w:w="3140"/>
            <w:tcMar>
              <w:top w:w="80" w:type="dxa"/>
              <w:start w:w="120" w:type="dxa"/>
              <w:bottom w:w="80" w:type="dxa"/>
              <w:end w:w="120" w:type="dxa"/>
            </w:tcMar>
            <w:vAlign w:val="top"/>
          </w:tcPr>
          <w:p>
            <w:pPr>
              <w:spacing w:after="0"/>
            </w:pPr>
            <w:r>
              <w:rPr>
                <w:sz w:val="16"/>
              </w:rPr>
              <w:t>No tax-deduction claim, beneficiary story or unverifiable impact claim</w:t>
            </w:r>
          </w:p>
        </w:tc>
      </w:tr>
      <w:tr>
        <w:trPr>
          <w:cantSplit/>
        </w:trPr>
        <w:tc>
          <w:tcPr>
            <w:tcW w:type="dxa" w:w="2250"/>
            <w:tcMar>
              <w:top w:w="80" w:type="dxa"/>
              <w:start w:w="120" w:type="dxa"/>
              <w:bottom w:w="80" w:type="dxa"/>
              <w:end w:w="120" w:type="dxa"/>
            </w:tcMar>
            <w:vAlign w:val="top"/>
          </w:tcPr>
          <w:p>
            <w:pPr>
              <w:spacing w:after="0"/>
            </w:pPr>
            <w:r>
              <w:rPr>
                <w:sz w:val="16"/>
              </w:rPr>
              <w:t>Founding-12 recognition</w:t>
            </w:r>
          </w:p>
        </w:tc>
        <w:tc>
          <w:tcPr>
            <w:tcW w:type="dxa" w:w="3970"/>
            <w:tcMar>
              <w:top w:w="80" w:type="dxa"/>
              <w:start w:w="120" w:type="dxa"/>
              <w:bottom w:w="80" w:type="dxa"/>
              <w:end w:w="120" w:type="dxa"/>
            </w:tcMar>
            <w:vAlign w:val="top"/>
          </w:tcPr>
          <w:p>
            <w:pPr>
              <w:spacing w:after="0"/>
            </w:pPr>
            <w:r>
              <w:rPr>
                <w:sz w:val="16"/>
              </w:rPr>
              <w:t>First 12 settled sponsors receive a factual founding-year marker and 90-day sponsor-wall placement</w:t>
            </w:r>
          </w:p>
        </w:tc>
        <w:tc>
          <w:tcPr>
            <w:tcW w:type="dxa" w:w="3140"/>
            <w:tcMar>
              <w:top w:w="80" w:type="dxa"/>
              <w:start w:w="120" w:type="dxa"/>
              <w:bottom w:w="80" w:type="dxa"/>
              <w:end w:w="120" w:type="dxa"/>
            </w:tcMar>
            <w:vAlign w:val="top"/>
          </w:tcPr>
          <w:p>
            <w:pPr>
              <w:spacing w:after="0"/>
            </w:pPr>
            <w:r>
              <w:rPr>
                <w:sz w:val="16"/>
              </w:rPr>
              <w:t>Real quantity and expiry; no fake countdown or service-card placement</w:t>
            </w:r>
          </w:p>
        </w:tc>
      </w:tr>
      <w:tr>
        <w:trPr>
          <w:cantSplit/>
        </w:trPr>
        <w:tc>
          <w:tcPr>
            <w:tcW w:type="dxa" w:w="2250"/>
            <w:tcMar>
              <w:top w:w="80" w:type="dxa"/>
              <w:start w:w="120" w:type="dxa"/>
              <w:bottom w:w="80" w:type="dxa"/>
              <w:end w:w="120" w:type="dxa"/>
            </w:tcMar>
            <w:vAlign w:val="top"/>
          </w:tcPr>
          <w:p>
            <w:pPr>
              <w:spacing w:after="0"/>
            </w:pPr>
            <w:r>
              <w:rPr>
                <w:sz w:val="16"/>
              </w:rPr>
              <w:t>Embeddable supporter badge</w:t>
            </w:r>
          </w:p>
        </w:tc>
        <w:tc>
          <w:tcPr>
            <w:tcW w:type="dxa" w:w="3970"/>
            <w:tcMar>
              <w:top w:w="80" w:type="dxa"/>
              <w:start w:w="120" w:type="dxa"/>
              <w:bottom w:w="80" w:type="dxa"/>
              <w:end w:w="120" w:type="dxa"/>
            </w:tcMar>
            <w:vAlign w:val="top"/>
          </w:tcPr>
          <w:p>
            <w:pPr>
              <w:spacing w:after="0"/>
            </w:pPr>
            <w:r>
              <w:rPr>
                <w:sz w:val="16"/>
              </w:rPr>
              <w:t>Accessible SVG/HTML badge linking to the sponsor's public proof page</w:t>
            </w:r>
          </w:p>
        </w:tc>
        <w:tc>
          <w:tcPr>
            <w:tcW w:type="dxa" w:w="3140"/>
            <w:tcMar>
              <w:top w:w="80" w:type="dxa"/>
              <w:start w:w="120" w:type="dxa"/>
              <w:bottom w:w="80" w:type="dxa"/>
              <w:end w:w="120" w:type="dxa"/>
            </w:tcMar>
            <w:vAlign w:val="top"/>
          </w:tcPr>
          <w:p>
            <w:pPr>
              <w:spacing w:after="0"/>
            </w:pPr>
            <w:r>
              <w:rPr>
                <w:sz w:val="16"/>
              </w:rPr>
              <w:t>Revocable; cannot imply endorsement by refugees, charities or the city</w:t>
            </w:r>
          </w:p>
        </w:tc>
      </w:tr>
      <w:tr>
        <w:trPr>
          <w:cantSplit/>
        </w:trPr>
        <w:tc>
          <w:tcPr>
            <w:tcW w:type="dxa" w:w="2250"/>
            <w:tcMar>
              <w:top w:w="80" w:type="dxa"/>
              <w:start w:w="120" w:type="dxa"/>
              <w:bottom w:w="80" w:type="dxa"/>
              <w:end w:w="120" w:type="dxa"/>
            </w:tcMar>
            <w:vAlign w:val="top"/>
          </w:tcPr>
          <w:p>
            <w:pPr>
              <w:spacing w:after="0"/>
            </w:pPr>
            <w:r>
              <w:rPr>
                <w:sz w:val="16"/>
              </w:rPr>
              <w:t>Fund-a-result menu</w:t>
            </w:r>
          </w:p>
        </w:tc>
        <w:tc>
          <w:tcPr>
            <w:tcW w:type="dxa" w:w="3970"/>
            <w:tcMar>
              <w:top w:w="80" w:type="dxa"/>
              <w:start w:w="120" w:type="dxa"/>
              <w:bottom w:w="80" w:type="dxa"/>
              <w:end w:w="120" w:type="dxa"/>
            </w:tcMar>
            <w:vAlign w:val="top"/>
          </w:tcPr>
          <w:p>
            <w:pPr>
              <w:spacing w:after="0"/>
            </w:pPr>
            <w:r>
              <w:rPr>
                <w:sz w:val="16"/>
              </w:rPr>
              <w:t>Choose a reviewed translation, verification sprint, QR print batch or open-data release with a defined output</w:t>
            </w:r>
          </w:p>
        </w:tc>
        <w:tc>
          <w:tcPr>
            <w:tcW w:type="dxa" w:w="3140"/>
            <w:tcMar>
              <w:top w:w="80" w:type="dxa"/>
              <w:start w:w="120" w:type="dxa"/>
              <w:bottom w:w="80" w:type="dxa"/>
              <w:end w:w="120" w:type="dxa"/>
            </w:tcMar>
            <w:vAlign w:val="top"/>
          </w:tcPr>
          <w:p>
            <w:pPr>
              <w:spacing w:after="0"/>
            </w:pPr>
            <w:r>
              <w:rPr>
                <w:sz w:val="16"/>
              </w:rPr>
              <w:t>Sponsor funds the work but cannot rewrite or suppress service information</w:t>
            </w:r>
          </w:p>
        </w:tc>
      </w:tr>
      <w:tr>
        <w:trPr>
          <w:cantSplit/>
        </w:trPr>
        <w:tc>
          <w:tcPr>
            <w:tcW w:type="dxa" w:w="2250"/>
            <w:tcMar>
              <w:top w:w="80" w:type="dxa"/>
              <w:start w:w="120" w:type="dxa"/>
              <w:bottom w:w="80" w:type="dxa"/>
              <w:end w:w="120" w:type="dxa"/>
            </w:tcMar>
            <w:vAlign w:val="top"/>
          </w:tcPr>
          <w:p>
            <w:pPr>
              <w:spacing w:after="0"/>
            </w:pPr>
            <w:r>
              <w:rPr>
                <w:sz w:val="16"/>
              </w:rPr>
              <w:t>Capped matching campaign</w:t>
            </w:r>
          </w:p>
        </w:tc>
        <w:tc>
          <w:tcPr>
            <w:tcW w:type="dxa" w:w="3970"/>
            <w:tcMar>
              <w:top w:w="80" w:type="dxa"/>
              <w:start w:w="120" w:type="dxa"/>
              <w:bottom w:w="80" w:type="dxa"/>
              <w:end w:w="120" w:type="dxa"/>
            </w:tcMar>
            <w:vAlign w:val="top"/>
          </w:tcPr>
          <w:p>
            <w:pPr>
              <w:spacing w:after="0"/>
            </w:pPr>
            <w:r>
              <w:rPr>
                <w:sz w:val="16"/>
              </w:rPr>
              <w:t>Sponsor matches eligible public support up to a stated EUR cap and deadline, creating a clear campaign moment</w:t>
            </w:r>
          </w:p>
        </w:tc>
        <w:tc>
          <w:tcPr>
            <w:tcW w:type="dxa" w:w="3140"/>
            <w:tcMar>
              <w:top w:w="80" w:type="dxa"/>
              <w:start w:w="120" w:type="dxa"/>
              <w:bottom w:w="80" w:type="dxa"/>
              <w:end w:w="120" w:type="dxa"/>
            </w:tcMar>
            <w:vAlign w:val="top"/>
          </w:tcPr>
          <w:p>
            <w:pPr>
              <w:spacing w:after="0"/>
            </w:pPr>
            <w:r>
              <w:rPr>
                <w:sz w:val="16"/>
              </w:rPr>
              <w:t>Aggregate counter only; no donor/refugee profiling and no charge beyond the cap</w:t>
            </w:r>
          </w:p>
        </w:tc>
      </w:tr>
      <w:tr>
        <w:trPr>
          <w:cantSplit/>
        </w:trPr>
        <w:tc>
          <w:tcPr>
            <w:tcW w:type="dxa" w:w="2250"/>
            <w:tcMar>
              <w:top w:w="80" w:type="dxa"/>
              <w:start w:w="120" w:type="dxa"/>
              <w:bottom w:w="80" w:type="dxa"/>
              <w:end w:w="120" w:type="dxa"/>
            </w:tcMar>
            <w:vAlign w:val="top"/>
          </w:tcPr>
          <w:p>
            <w:pPr>
              <w:spacing w:after="0"/>
            </w:pPr>
            <w:r>
              <w:rPr>
                <w:sz w:val="16"/>
              </w:rPr>
              <w:t>Team participation</w:t>
            </w:r>
          </w:p>
        </w:tc>
        <w:tc>
          <w:tcPr>
            <w:tcW w:type="dxa" w:w="3970"/>
            <w:tcMar>
              <w:top w:w="80" w:type="dxa"/>
              <w:start w:w="120" w:type="dxa"/>
              <w:bottom w:w="80" w:type="dxa"/>
              <w:end w:w="120" w:type="dxa"/>
            </w:tcMar>
            <w:vAlign w:val="top"/>
          </w:tcPr>
          <w:p>
            <w:pPr>
              <w:spacing w:after="0"/>
            </w:pPr>
            <w:r>
              <w:rPr>
                <w:sz w:val="16"/>
              </w:rPr>
              <w:t>Employees may join a supervised public-data verification session or introduce another business</w:t>
            </w:r>
          </w:p>
        </w:tc>
        <w:tc>
          <w:tcPr>
            <w:tcW w:type="dxa" w:w="3140"/>
            <w:tcMar>
              <w:top w:w="80" w:type="dxa"/>
              <w:start w:w="120" w:type="dxa"/>
              <w:bottom w:w="80" w:type="dxa"/>
              <w:end w:w="120" w:type="dxa"/>
            </w:tcMar>
            <w:vAlign w:val="top"/>
          </w:tcPr>
          <w:p>
            <w:pPr>
              <w:spacing w:after="0"/>
            </w:pPr>
            <w:r>
              <w:rPr>
                <w:sz w:val="16"/>
              </w:rPr>
              <w:t>No direct beneficiary contact, case access or work-rights ambiguity</w:t>
            </w:r>
          </w:p>
        </w:tc>
      </w:tr>
      <w:tr>
        <w:trPr>
          <w:cantSplit/>
        </w:trPr>
        <w:tc>
          <w:tcPr>
            <w:tcW w:type="dxa" w:w="2250"/>
            <w:tcMar>
              <w:top w:w="80" w:type="dxa"/>
              <w:start w:w="120" w:type="dxa"/>
              <w:bottom w:w="80" w:type="dxa"/>
              <w:end w:w="120" w:type="dxa"/>
            </w:tcMar>
            <w:vAlign w:val="top"/>
          </w:tcPr>
          <w:p>
            <w:pPr>
              <w:spacing w:after="0"/>
            </w:pPr>
            <w:r>
              <w:rPr>
                <w:sz w:val="16"/>
              </w:rPr>
              <w:t>Renewal report</w:t>
            </w:r>
          </w:p>
        </w:tc>
        <w:tc>
          <w:tcPr>
            <w:tcW w:type="dxa" w:w="3970"/>
            <w:tcMar>
              <w:top w:w="80" w:type="dxa"/>
              <w:start w:w="120" w:type="dxa"/>
              <w:bottom w:w="80" w:type="dxa"/>
              <w:end w:w="120" w:type="dxa"/>
            </w:tcMar>
            <w:vAlign w:val="top"/>
          </w:tcPr>
          <w:p>
            <w:pPr>
              <w:spacing w:after="0"/>
            </w:pPr>
            <w:r>
              <w:rPr>
                <w:sz w:val="16"/>
              </w:rPr>
              <w:t>Before recognition expires, sponsor receives freshness, reach and allocation metrics plus a simple renewal link</w:t>
            </w:r>
          </w:p>
        </w:tc>
        <w:tc>
          <w:tcPr>
            <w:tcW w:type="dxa" w:w="3140"/>
            <w:tcMar>
              <w:top w:w="80" w:type="dxa"/>
              <w:start w:w="120" w:type="dxa"/>
              <w:bottom w:w="80" w:type="dxa"/>
              <w:end w:w="120" w:type="dxa"/>
            </w:tcMar>
            <w:vAlign w:val="top"/>
          </w:tcPr>
          <w:p>
            <w:pPr>
              <w:spacing w:after="0"/>
            </w:pPr>
            <w:r>
              <w:rPr>
                <w:sz w:val="16"/>
              </w:rPr>
              <w:t>Aggregate data only; opt-out and contact suppression are enforced</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E6F2EA"/>
          </w:tcPr>
          <w:p>
            <w:pPr>
              <w:spacing w:after="40"/>
            </w:pPr>
            <w:r>
              <w:rPr>
                <w:b/>
                <w:color w:val="0B2545"/>
              </w:rPr>
              <w:t>Conversion promise</w:t>
              <w:br/>
            </w:r>
            <w:r>
              <w:rPr>
                <w:sz w:val="19"/>
              </w:rPr>
              <w:t>A prospect must understand the offer in 90 seconds and complete approval in one email: fixed price, selectable funded result, payment choice, invoice treatment, proof-page preview, ethical boundaries and cancellation/refund terms. Codex should generate a tailored preview using only the prospect's public business name and logo after permission—never scraped personal data.</w:t>
            </w:r>
          </w:p>
        </w:tc>
      </w:tr>
    </w:tbl>
    <w:p>
      <w:pPr>
        <w:pStyle w:val="TableSource"/>
      </w:pPr>
    </w:p>
    <w:p>
      <w:pPr>
        <w:pStyle w:val="Heading2"/>
      </w:pPr>
      <w:r>
        <w:t>2.5 Community Activity Exchange and Idea Lab</w:t>
      </w:r>
    </w:p>
    <w:p>
      <w:r>
        <w:t>Add an opt-in activity board where refugees, Calais residents, associations, businesses and sponsors can propose useful services. The board is an opportunity-and-ideas workflow, not an informal labor market. Every proposed activity is classified before publication, and paid work is enabled only for a provider whose individual right to perform that work and lawful payment route have been confirmed by an accountable operator.</w:t>
      </w:r>
    </w:p>
    <w:tbl>
      <w:tblPr>
        <w:tblStyle w:val="TableGrid"/>
        <w:tblW w:type="dxa" w:w="9360"/>
        <w:jc w:val="center"/>
        <w:tblLayout w:type="fixed"/>
        <w:tblLook w:firstColumn="1" w:firstRow="1" w:lastColumn="0" w:lastRow="0" w:noHBand="0" w:noVBand="1" w:val="04A0"/>
        <w:tblInd w:w="120" w:type="dxa"/>
      </w:tblPr>
      <w:tblGrid>
        <w:gridCol w:w="1600"/>
        <w:gridCol w:w="2480"/>
        <w:gridCol w:w="2500"/>
        <w:gridCol w:w="2780"/>
      </w:tblGrid>
      <w:tr>
        <w:trPr>
          <w:tblHeader w:val="true"/>
          <w:cantSplit/>
        </w:trPr>
        <w:tc>
          <w:tcPr>
            <w:tcW w:type="dxa" w:w="1600"/>
            <w:shd w:fill="E8EEF5"/>
            <w:tcMar>
              <w:top w:w="80" w:type="dxa"/>
              <w:start w:w="120" w:type="dxa"/>
              <w:bottom w:w="80" w:type="dxa"/>
              <w:end w:w="120" w:type="dxa"/>
            </w:tcMar>
            <w:vAlign w:val="top"/>
          </w:tcPr>
          <w:p>
            <w:pPr>
              <w:spacing w:after="0"/>
            </w:pPr>
            <w:r>
              <w:rPr>
                <w:b/>
                <w:color w:val="0B2545"/>
                <w:sz w:val="17"/>
              </w:rPr>
              <w:t>Activity path</w:t>
            </w:r>
          </w:p>
        </w:tc>
        <w:tc>
          <w:tcPr>
            <w:tcW w:type="dxa" w:w="2480"/>
            <w:shd w:fill="E8EEF5"/>
            <w:tcMar>
              <w:top w:w="80" w:type="dxa"/>
              <w:start w:w="120" w:type="dxa"/>
              <w:bottom w:w="80" w:type="dxa"/>
              <w:end w:w="120" w:type="dxa"/>
            </w:tcMar>
            <w:vAlign w:val="top"/>
          </w:tcPr>
          <w:p>
            <w:pPr>
              <w:spacing w:after="0"/>
            </w:pPr>
            <w:r>
              <w:rPr>
                <w:b/>
                <w:color w:val="0B2545"/>
                <w:sz w:val="17"/>
              </w:rPr>
              <w:t>Examples</w:t>
            </w:r>
          </w:p>
        </w:tc>
        <w:tc>
          <w:tcPr>
            <w:tcW w:type="dxa" w:w="2500"/>
            <w:shd w:fill="E8EEF5"/>
            <w:tcMar>
              <w:top w:w="80" w:type="dxa"/>
              <w:start w:w="120" w:type="dxa"/>
              <w:bottom w:w="80" w:type="dxa"/>
              <w:end w:w="120" w:type="dxa"/>
            </w:tcMar>
            <w:vAlign w:val="top"/>
          </w:tcPr>
          <w:p>
            <w:pPr>
              <w:spacing w:after="0"/>
            </w:pPr>
            <w:r>
              <w:rPr>
                <w:b/>
                <w:color w:val="0B2545"/>
                <w:sz w:val="17"/>
              </w:rPr>
              <w:t>Permitted value flow</w:t>
            </w:r>
          </w:p>
        </w:tc>
        <w:tc>
          <w:tcPr>
            <w:tcW w:type="dxa" w:w="2780"/>
            <w:shd w:fill="E8EEF5"/>
            <w:tcMar>
              <w:top w:w="80" w:type="dxa"/>
              <w:start w:w="120" w:type="dxa"/>
              <w:bottom w:w="80" w:type="dxa"/>
              <w:end w:w="120" w:type="dxa"/>
            </w:tcMar>
            <w:vAlign w:val="top"/>
          </w:tcPr>
          <w:p>
            <w:pPr>
              <w:spacing w:after="0"/>
            </w:pPr>
            <w:r>
              <w:rPr>
                <w:b/>
                <w:color w:val="0B2545"/>
                <w:sz w:val="17"/>
              </w:rPr>
              <w:t>Mandatory gate</w:t>
            </w:r>
          </w:p>
        </w:tc>
      </w:tr>
      <w:tr>
        <w:trPr>
          <w:cantSplit/>
        </w:trPr>
        <w:tc>
          <w:tcPr>
            <w:tcW w:type="dxa" w:w="1600"/>
            <w:tcMar>
              <w:top w:w="80" w:type="dxa"/>
              <w:start w:w="120" w:type="dxa"/>
              <w:bottom w:w="80" w:type="dxa"/>
              <w:end w:w="120" w:type="dxa"/>
            </w:tcMar>
            <w:vAlign w:val="top"/>
          </w:tcPr>
          <w:p>
            <w:pPr>
              <w:spacing w:after="0"/>
            </w:pPr>
            <w:r>
              <w:rPr>
                <w:sz w:val="16"/>
              </w:rPr>
              <w:t>Peer service</w:t>
            </w:r>
          </w:p>
        </w:tc>
        <w:tc>
          <w:tcPr>
            <w:tcW w:type="dxa" w:w="2480"/>
            <w:tcMar>
              <w:top w:w="80" w:type="dxa"/>
              <w:start w:w="120" w:type="dxa"/>
              <w:bottom w:w="80" w:type="dxa"/>
              <w:end w:w="120" w:type="dxa"/>
            </w:tcMar>
            <w:vAlign w:val="top"/>
          </w:tcPr>
          <w:p>
            <w:pPr>
              <w:spacing w:after="0"/>
            </w:pPr>
            <w:r>
              <w:rPr>
                <w:sz w:val="16"/>
              </w:rPr>
              <w:t>Hairdressing, sewing, bicycle repair, tutoring, digital help</w:t>
            </w:r>
          </w:p>
        </w:tc>
        <w:tc>
          <w:tcPr>
            <w:tcW w:type="dxa" w:w="2500"/>
            <w:tcMar>
              <w:top w:w="80" w:type="dxa"/>
              <w:start w:w="120" w:type="dxa"/>
              <w:bottom w:w="80" w:type="dxa"/>
              <w:end w:w="120" w:type="dxa"/>
            </w:tcMar>
            <w:vAlign w:val="top"/>
          </w:tcPr>
          <w:p>
            <w:pPr>
              <w:spacing w:after="0"/>
            </w:pPr>
            <w:r>
              <w:rPr>
                <w:sz w:val="16"/>
              </w:rPr>
              <w:t>EUR card/SEPA payment or declared invoice through an approved operator</w:t>
            </w:r>
          </w:p>
        </w:tc>
        <w:tc>
          <w:tcPr>
            <w:tcW w:type="dxa" w:w="2780"/>
            <w:tcMar>
              <w:top w:w="80" w:type="dxa"/>
              <w:start w:w="120" w:type="dxa"/>
              <w:bottom w:w="80" w:type="dxa"/>
              <w:end w:w="120" w:type="dxa"/>
            </w:tcMar>
            <w:vAlign w:val="top"/>
          </w:tcPr>
          <w:p>
            <w:pPr>
              <w:spacing w:after="0"/>
            </w:pPr>
            <w:r>
              <w:rPr>
                <w:sz w:val="16"/>
              </w:rPr>
              <w:t>Work/right-to-trade check, price, consent, insurance and sector rules</w:t>
            </w:r>
          </w:p>
        </w:tc>
      </w:tr>
      <w:tr>
        <w:trPr>
          <w:cantSplit/>
        </w:trPr>
        <w:tc>
          <w:tcPr>
            <w:tcW w:type="dxa" w:w="1600"/>
            <w:tcMar>
              <w:top w:w="80" w:type="dxa"/>
              <w:start w:w="120" w:type="dxa"/>
              <w:bottom w:w="80" w:type="dxa"/>
              <w:end w:w="120" w:type="dxa"/>
            </w:tcMar>
            <w:vAlign w:val="top"/>
          </w:tcPr>
          <w:p>
            <w:pPr>
              <w:spacing w:after="0"/>
            </w:pPr>
            <w:r>
              <w:rPr>
                <w:sz w:val="16"/>
              </w:rPr>
              <w:t>Authorized retail</w:t>
            </w:r>
          </w:p>
        </w:tc>
        <w:tc>
          <w:tcPr>
            <w:tcW w:type="dxa" w:w="2480"/>
            <w:tcMar>
              <w:top w:w="80" w:type="dxa"/>
              <w:start w:w="120" w:type="dxa"/>
              <w:bottom w:w="80" w:type="dxa"/>
              <w:end w:w="120" w:type="dxa"/>
            </w:tcMar>
            <w:vAlign w:val="top"/>
          </w:tcPr>
          <w:p>
            <w:pPr>
              <w:spacing w:after="0"/>
            </w:pPr>
            <w:r>
              <w:rPr>
                <w:sz w:val="16"/>
              </w:rPr>
              <w:t>SIM/eSIM activation, accessories, refurbished devices</w:t>
            </w:r>
          </w:p>
        </w:tc>
        <w:tc>
          <w:tcPr>
            <w:tcW w:type="dxa" w:w="2500"/>
            <w:tcMar>
              <w:top w:w="80" w:type="dxa"/>
              <w:start w:w="120" w:type="dxa"/>
              <w:bottom w:w="80" w:type="dxa"/>
              <w:end w:w="120" w:type="dxa"/>
            </w:tcMar>
            <w:vAlign w:val="top"/>
          </w:tcPr>
          <w:p>
            <w:pPr>
              <w:spacing w:after="0"/>
            </w:pPr>
            <w:r>
              <w:rPr>
                <w:sz w:val="16"/>
              </w:rPr>
              <w:t>EUR sale by an authorized retailer or appointed reseller</w:t>
            </w:r>
          </w:p>
        </w:tc>
        <w:tc>
          <w:tcPr>
            <w:tcW w:type="dxa" w:w="2780"/>
            <w:tcMar>
              <w:top w:w="80" w:type="dxa"/>
              <w:start w:w="120" w:type="dxa"/>
              <w:bottom w:w="80" w:type="dxa"/>
              <w:end w:w="120" w:type="dxa"/>
            </w:tcMar>
            <w:vAlign w:val="top"/>
          </w:tcPr>
          <w:p>
            <w:pPr>
              <w:spacing w:after="0"/>
            </w:pPr>
            <w:r>
              <w:rPr>
                <w:sz w:val="16"/>
              </w:rPr>
              <w:t>Retailer approval, identity/KYC rules where applicable, warranty and no informal SIM resale</w:t>
            </w:r>
          </w:p>
        </w:tc>
      </w:tr>
      <w:tr>
        <w:trPr>
          <w:cantSplit/>
        </w:trPr>
        <w:tc>
          <w:tcPr>
            <w:tcW w:type="dxa" w:w="1600"/>
            <w:tcMar>
              <w:top w:w="80" w:type="dxa"/>
              <w:start w:w="120" w:type="dxa"/>
              <w:bottom w:w="80" w:type="dxa"/>
              <w:end w:w="120" w:type="dxa"/>
            </w:tcMar>
            <w:vAlign w:val="top"/>
          </w:tcPr>
          <w:p>
            <w:pPr>
              <w:spacing w:after="0"/>
            </w:pPr>
            <w:r>
              <w:rPr>
                <w:sz w:val="16"/>
              </w:rPr>
              <w:t>City-benefit paid work</w:t>
            </w:r>
          </w:p>
        </w:tc>
        <w:tc>
          <w:tcPr>
            <w:tcW w:type="dxa" w:w="2480"/>
            <w:tcMar>
              <w:top w:w="80" w:type="dxa"/>
              <w:start w:w="120" w:type="dxa"/>
              <w:bottom w:w="80" w:type="dxa"/>
              <w:end w:w="120" w:type="dxa"/>
            </w:tcMar>
            <w:vAlign w:val="top"/>
          </w:tcPr>
          <w:p>
            <w:pPr>
              <w:spacing w:after="0"/>
            </w:pPr>
            <w:r>
              <w:rPr>
                <w:sz w:val="16"/>
              </w:rPr>
              <w:t>Contracted litter collection, recycling crew, event setup, maintenance, translation</w:t>
            </w:r>
          </w:p>
        </w:tc>
        <w:tc>
          <w:tcPr>
            <w:tcW w:type="dxa" w:w="2500"/>
            <w:tcMar>
              <w:top w:w="80" w:type="dxa"/>
              <w:start w:w="120" w:type="dxa"/>
              <w:bottom w:w="80" w:type="dxa"/>
              <w:end w:w="120" w:type="dxa"/>
            </w:tcMar>
            <w:vAlign w:val="top"/>
          </w:tcPr>
          <w:p>
            <w:pPr>
              <w:spacing w:after="0"/>
            </w:pPr>
            <w:r>
              <w:rPr>
                <w:sz w:val="16"/>
              </w:rPr>
              <w:t>Wage or lawful contractor invoice in EUR</w:t>
            </w:r>
          </w:p>
        </w:tc>
        <w:tc>
          <w:tcPr>
            <w:tcW w:type="dxa" w:w="2780"/>
            <w:tcMar>
              <w:top w:w="80" w:type="dxa"/>
              <w:start w:w="120" w:type="dxa"/>
              <w:bottom w:w="80" w:type="dxa"/>
              <w:end w:w="120" w:type="dxa"/>
            </w:tcMar>
            <w:vAlign w:val="top"/>
          </w:tcPr>
          <w:p>
            <w:pPr>
              <w:spacing w:after="0"/>
            </w:pPr>
            <w:r>
              <w:rPr>
                <w:sz w:val="16"/>
              </w:rPr>
              <w:t>City/contractor mandate, procurement, work authorization, PPE, supervision and insurance</w:t>
            </w:r>
          </w:p>
        </w:tc>
      </w:tr>
      <w:tr>
        <w:trPr>
          <w:cantSplit/>
        </w:trPr>
        <w:tc>
          <w:tcPr>
            <w:tcW w:type="dxa" w:w="1600"/>
            <w:tcMar>
              <w:top w:w="80" w:type="dxa"/>
              <w:start w:w="120" w:type="dxa"/>
              <w:bottom w:w="80" w:type="dxa"/>
              <w:end w:w="120" w:type="dxa"/>
            </w:tcMar>
            <w:vAlign w:val="top"/>
          </w:tcPr>
          <w:p>
            <w:pPr>
              <w:spacing w:after="0"/>
            </w:pPr>
            <w:r>
              <w:rPr>
                <w:sz w:val="16"/>
              </w:rPr>
              <w:t>Civic reporting</w:t>
            </w:r>
          </w:p>
        </w:tc>
        <w:tc>
          <w:tcPr>
            <w:tcW w:type="dxa" w:w="2480"/>
            <w:tcMar>
              <w:top w:w="80" w:type="dxa"/>
              <w:start w:w="120" w:type="dxa"/>
              <w:bottom w:w="80" w:type="dxa"/>
              <w:end w:w="120" w:type="dxa"/>
            </w:tcMar>
            <w:vAlign w:val="top"/>
          </w:tcPr>
          <w:p>
            <w:pPr>
              <w:spacing w:after="0"/>
            </w:pPr>
            <w:r>
              <w:rPr>
                <w:sz w:val="16"/>
              </w:rPr>
              <w:t>Map litter, broken lights, accessibility barriers or outdated signs</w:t>
            </w:r>
          </w:p>
        </w:tc>
        <w:tc>
          <w:tcPr>
            <w:tcW w:type="dxa" w:w="2500"/>
            <w:tcMar>
              <w:top w:w="80" w:type="dxa"/>
              <w:start w:w="120" w:type="dxa"/>
              <w:bottom w:w="80" w:type="dxa"/>
              <w:end w:w="120" w:type="dxa"/>
            </w:tcMar>
            <w:vAlign w:val="top"/>
          </w:tcPr>
          <w:p>
            <w:pPr>
              <w:spacing w:after="0"/>
            </w:pPr>
            <w:r>
              <w:rPr>
                <w:sz w:val="16"/>
              </w:rPr>
              <w:t>No payment; expenses only if pre-approved and evidenced</w:t>
            </w:r>
          </w:p>
        </w:tc>
        <w:tc>
          <w:tcPr>
            <w:tcW w:type="dxa" w:w="2780"/>
            <w:tcMar>
              <w:top w:w="80" w:type="dxa"/>
              <w:start w:w="120" w:type="dxa"/>
              <w:bottom w:w="80" w:type="dxa"/>
              <w:end w:w="120" w:type="dxa"/>
            </w:tcMar>
            <w:vAlign w:val="top"/>
          </w:tcPr>
          <w:p>
            <w:pPr>
              <w:spacing w:after="0"/>
            </w:pPr>
            <w:r>
              <w:rPr>
                <w:sz w:val="16"/>
              </w:rPr>
              <w:t>Must remain genuinely voluntary and not replace a paid municipal role</w:t>
            </w:r>
          </w:p>
        </w:tc>
      </w:tr>
      <w:tr>
        <w:trPr>
          <w:cantSplit/>
        </w:trPr>
        <w:tc>
          <w:tcPr>
            <w:tcW w:type="dxa" w:w="1600"/>
            <w:tcMar>
              <w:top w:w="80" w:type="dxa"/>
              <w:start w:w="120" w:type="dxa"/>
              <w:bottom w:w="80" w:type="dxa"/>
              <w:end w:w="120" w:type="dxa"/>
            </w:tcMar>
            <w:vAlign w:val="top"/>
          </w:tcPr>
          <w:p>
            <w:pPr>
              <w:spacing w:after="0"/>
            </w:pPr>
            <w:r>
              <w:rPr>
                <w:sz w:val="16"/>
              </w:rPr>
              <w:t>Community participation</w:t>
            </w:r>
          </w:p>
        </w:tc>
        <w:tc>
          <w:tcPr>
            <w:tcW w:type="dxa" w:w="2480"/>
            <w:tcMar>
              <w:top w:w="80" w:type="dxa"/>
              <w:start w:w="120" w:type="dxa"/>
              <w:bottom w:w="80" w:type="dxa"/>
              <w:end w:w="120" w:type="dxa"/>
            </w:tcMar>
            <w:vAlign w:val="top"/>
          </w:tcPr>
          <w:p>
            <w:pPr>
              <w:spacing w:after="0"/>
            </w:pPr>
            <w:r>
              <w:rPr>
                <w:sz w:val="16"/>
              </w:rPr>
              <w:t>Idea workshops, cultural sessions, public consultations, provider feedback</w:t>
            </w:r>
          </w:p>
        </w:tc>
        <w:tc>
          <w:tcPr>
            <w:tcW w:type="dxa" w:w="2500"/>
            <w:tcMar>
              <w:top w:w="80" w:type="dxa"/>
              <w:start w:w="120" w:type="dxa"/>
              <w:bottom w:w="80" w:type="dxa"/>
              <w:end w:w="120" w:type="dxa"/>
            </w:tcMar>
            <w:vAlign w:val="top"/>
          </w:tcPr>
          <w:p>
            <w:pPr>
              <w:spacing w:after="0"/>
            </w:pPr>
            <w:r>
              <w:rPr>
                <w:sz w:val="16"/>
              </w:rPr>
              <w:t>No work-conditioned reward; refreshments/transport may be supplied by a partner</w:t>
            </w:r>
          </w:p>
        </w:tc>
        <w:tc>
          <w:tcPr>
            <w:tcW w:type="dxa" w:w="2780"/>
            <w:tcMar>
              <w:top w:w="80" w:type="dxa"/>
              <w:start w:w="120" w:type="dxa"/>
              <w:bottom w:w="80" w:type="dxa"/>
              <w:end w:w="120" w:type="dxa"/>
            </w:tcMar>
            <w:vAlign w:val="top"/>
          </w:tcPr>
          <w:p>
            <w:pPr>
              <w:spacing w:after="0"/>
            </w:pPr>
            <w:r>
              <w:rPr>
                <w:sz w:val="16"/>
              </w:rPr>
              <w:t>Informed consent, safeguarding and no coercion</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E6F2EA"/>
          </w:tcPr>
          <w:p>
            <w:pPr>
              <w:spacing w:after="40"/>
            </w:pPr>
            <w:r>
              <w:rPr>
                <w:b/>
                <w:color w:val="0B2545"/>
              </w:rPr>
              <w:t>Activity value instruments</w:t>
              <w:br/>
            </w:r>
            <w:r>
              <w:rPr>
                <w:sz w:val="19"/>
              </w:rPr>
              <w:t>Use two strictly separated instruments. ACTIVITY BADGE is a non-transferable, non-redeemable recognition credential with zero monetary value. COMMUNITY VOUCHER is sponsor-funded, fixed-value and redeemable only for approved essentials such as SIM credit, transport, hygiene, food or training; it is non-transferable, has no cash-out or secondary market, and is never a substitute for wages. Neither instrument rewards a person who lacks authorization to perform paid work.</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start w:w="120" w:type="dxa"/>
              <w:bottom w:w="80" w:type="dxa"/>
              <w:end w:w="120" w:type="dxa"/>
            </w:tcMar>
            <w:vAlign w:val="top"/>
          </w:tcPr>
          <w:p>
            <w:pPr>
              <w:spacing w:after="0"/>
            </w:pPr>
            <w:r>
              <w:rPr>
                <w:b/>
                <w:color w:val="0B2545"/>
                <w:sz w:val="17"/>
              </w:rPr>
              <w:t>Idea submission field</w:t>
            </w:r>
          </w:p>
        </w:tc>
        <w:tc>
          <w:tcPr>
            <w:tcW w:type="dxa" w:w="6760"/>
            <w:shd w:fill="E8EEF5"/>
            <w:tcMar>
              <w:top w:w="80" w:type="dxa"/>
              <w:start w:w="120" w:type="dxa"/>
              <w:bottom w:w="80" w:type="dxa"/>
              <w:end w:w="120" w:type="dxa"/>
            </w:tcMar>
            <w:vAlign w:val="top"/>
          </w:tcPr>
          <w:p>
            <w:pPr>
              <w:spacing w:after="0"/>
            </w:pPr>
            <w:r>
              <w:rPr>
                <w:b/>
                <w:color w:val="0B2545"/>
                <w:sz w:val="17"/>
              </w:rPr>
              <w:t>Rule</w:t>
            </w:r>
          </w:p>
        </w:tc>
      </w:tr>
      <w:tr>
        <w:trPr>
          <w:cantSplit/>
        </w:trPr>
        <w:tc>
          <w:tcPr>
            <w:tcW w:type="dxa" w:w="2600"/>
            <w:tcMar>
              <w:top w:w="80" w:type="dxa"/>
              <w:start w:w="120" w:type="dxa"/>
              <w:bottom w:w="80" w:type="dxa"/>
              <w:end w:w="120" w:type="dxa"/>
            </w:tcMar>
            <w:vAlign w:val="top"/>
          </w:tcPr>
          <w:p>
            <w:pPr>
              <w:spacing w:after="0"/>
            </w:pPr>
            <w:r>
              <w:rPr>
                <w:sz w:val="16"/>
              </w:rPr>
              <w:t>Problem and proposed activity</w:t>
            </w:r>
          </w:p>
        </w:tc>
        <w:tc>
          <w:tcPr>
            <w:tcW w:type="dxa" w:w="6760"/>
            <w:tcMar>
              <w:top w:w="80" w:type="dxa"/>
              <w:start w:w="120" w:type="dxa"/>
              <w:bottom w:w="80" w:type="dxa"/>
              <w:end w:w="120" w:type="dxa"/>
            </w:tcMar>
            <w:vAlign w:val="top"/>
          </w:tcPr>
          <w:p>
            <w:pPr>
              <w:spacing w:after="0"/>
            </w:pPr>
            <w:r>
              <w:rPr>
                <w:sz w:val="16"/>
              </w:rPr>
              <w:t>Plain-language description; no request for immigration documents or personal case history</w:t>
            </w:r>
          </w:p>
        </w:tc>
      </w:tr>
      <w:tr>
        <w:trPr>
          <w:cantSplit/>
        </w:trPr>
        <w:tc>
          <w:tcPr>
            <w:tcW w:type="dxa" w:w="2600"/>
            <w:tcMar>
              <w:top w:w="80" w:type="dxa"/>
              <w:start w:w="120" w:type="dxa"/>
              <w:bottom w:w="80" w:type="dxa"/>
              <w:end w:w="120" w:type="dxa"/>
            </w:tcMar>
            <w:vAlign w:val="top"/>
          </w:tcPr>
          <w:p>
            <w:pPr>
              <w:spacing w:after="0"/>
            </w:pPr>
            <w:r>
              <w:rPr>
                <w:sz w:val="16"/>
              </w:rPr>
              <w:t>Who benefits</w:t>
            </w:r>
          </w:p>
        </w:tc>
        <w:tc>
          <w:tcPr>
            <w:tcW w:type="dxa" w:w="6760"/>
            <w:tcMar>
              <w:top w:w="80" w:type="dxa"/>
              <w:start w:w="120" w:type="dxa"/>
              <w:bottom w:w="80" w:type="dxa"/>
              <w:end w:w="120" w:type="dxa"/>
            </w:tcMar>
            <w:vAlign w:val="top"/>
          </w:tcPr>
          <w:p>
            <w:pPr>
              <w:spacing w:after="0"/>
            </w:pPr>
            <w:r>
              <w:rPr>
                <w:sz w:val="16"/>
              </w:rPr>
              <w:t>Choose broad groups; never upload names, precise camp locations or vulnerability lists</w:t>
            </w:r>
          </w:p>
        </w:tc>
      </w:tr>
      <w:tr>
        <w:trPr>
          <w:cantSplit/>
        </w:trPr>
        <w:tc>
          <w:tcPr>
            <w:tcW w:type="dxa" w:w="2600"/>
            <w:tcMar>
              <w:top w:w="80" w:type="dxa"/>
              <w:start w:w="120" w:type="dxa"/>
              <w:bottom w:w="80" w:type="dxa"/>
              <w:end w:w="120" w:type="dxa"/>
            </w:tcMar>
            <w:vAlign w:val="top"/>
          </w:tcPr>
          <w:p>
            <w:pPr>
              <w:spacing w:after="0"/>
            </w:pPr>
            <w:r>
              <w:rPr>
                <w:sz w:val="16"/>
              </w:rPr>
              <w:t>Proposer</w:t>
            </w:r>
          </w:p>
        </w:tc>
        <w:tc>
          <w:tcPr>
            <w:tcW w:type="dxa" w:w="6760"/>
            <w:tcMar>
              <w:top w:w="80" w:type="dxa"/>
              <w:start w:w="120" w:type="dxa"/>
              <w:bottom w:w="80" w:type="dxa"/>
              <w:end w:w="120" w:type="dxa"/>
            </w:tcMar>
            <w:vAlign w:val="top"/>
          </w:tcPr>
          <w:p>
            <w:pPr>
              <w:spacing w:after="0"/>
            </w:pPr>
            <w:r>
              <w:rPr>
                <w:sz w:val="16"/>
              </w:rPr>
              <w:t>Anonymous allowed for ideas; verified identity and contact required only for an organizer/provider</w:t>
            </w:r>
          </w:p>
        </w:tc>
      </w:tr>
      <w:tr>
        <w:trPr>
          <w:cantSplit/>
        </w:trPr>
        <w:tc>
          <w:tcPr>
            <w:tcW w:type="dxa" w:w="2600"/>
            <w:tcMar>
              <w:top w:w="80" w:type="dxa"/>
              <w:start w:w="120" w:type="dxa"/>
              <w:bottom w:w="80" w:type="dxa"/>
              <w:end w:w="120" w:type="dxa"/>
            </w:tcMar>
            <w:vAlign w:val="top"/>
          </w:tcPr>
          <w:p>
            <w:pPr>
              <w:spacing w:after="0"/>
            </w:pPr>
            <w:r>
              <w:rPr>
                <w:sz w:val="16"/>
              </w:rPr>
              <w:t>Resources and payer</w:t>
            </w:r>
          </w:p>
        </w:tc>
        <w:tc>
          <w:tcPr>
            <w:tcW w:type="dxa" w:w="6760"/>
            <w:tcMar>
              <w:top w:w="80" w:type="dxa"/>
              <w:start w:w="120" w:type="dxa"/>
              <w:bottom w:w="80" w:type="dxa"/>
              <w:end w:w="120" w:type="dxa"/>
            </w:tcMar>
            <w:vAlign w:val="top"/>
          </w:tcPr>
          <w:p>
            <w:pPr>
              <w:spacing w:after="0"/>
            </w:pPr>
            <w:r>
              <w:rPr>
                <w:sz w:val="16"/>
              </w:rPr>
              <w:t>State equipment, premises, sponsor/city/operator and whether the activity is paid, voluntary or retail</w:t>
            </w:r>
          </w:p>
        </w:tc>
      </w:tr>
      <w:tr>
        <w:trPr>
          <w:cantSplit/>
        </w:trPr>
        <w:tc>
          <w:tcPr>
            <w:tcW w:type="dxa" w:w="2600"/>
            <w:tcMar>
              <w:top w:w="80" w:type="dxa"/>
              <w:start w:w="120" w:type="dxa"/>
              <w:bottom w:w="80" w:type="dxa"/>
              <w:end w:w="120" w:type="dxa"/>
            </w:tcMar>
            <w:vAlign w:val="top"/>
          </w:tcPr>
          <w:p>
            <w:pPr>
              <w:spacing w:after="0"/>
            </w:pPr>
            <w:r>
              <w:rPr>
                <w:sz w:val="16"/>
              </w:rPr>
              <w:t>Risks and permissions</w:t>
            </w:r>
          </w:p>
        </w:tc>
        <w:tc>
          <w:tcPr>
            <w:tcW w:type="dxa" w:w="6760"/>
            <w:tcMar>
              <w:top w:w="80" w:type="dxa"/>
              <w:start w:w="120" w:type="dxa"/>
              <w:bottom w:w="80" w:type="dxa"/>
              <w:end w:w="120" w:type="dxa"/>
            </w:tcMar>
            <w:vAlign w:val="top"/>
          </w:tcPr>
          <w:p>
            <w:pPr>
              <w:spacing w:after="0"/>
            </w:pPr>
            <w:r>
              <w:rPr>
                <w:sz w:val="16"/>
              </w:rPr>
              <w:t>Flag minors, food, health, personal care, public space, waste, transport, money or regulated goods</w:t>
            </w:r>
          </w:p>
        </w:tc>
      </w:tr>
      <w:tr>
        <w:trPr>
          <w:cantSplit/>
        </w:trPr>
        <w:tc>
          <w:tcPr>
            <w:tcW w:type="dxa" w:w="2600"/>
            <w:tcMar>
              <w:top w:w="80" w:type="dxa"/>
              <w:start w:w="120" w:type="dxa"/>
              <w:bottom w:w="80" w:type="dxa"/>
              <w:end w:w="120" w:type="dxa"/>
            </w:tcMar>
            <w:vAlign w:val="top"/>
          </w:tcPr>
          <w:p>
            <w:pPr>
              <w:spacing w:after="0"/>
            </w:pPr>
            <w:r>
              <w:rPr>
                <w:sz w:val="16"/>
              </w:rPr>
              <w:t>Public status</w:t>
            </w:r>
          </w:p>
        </w:tc>
        <w:tc>
          <w:tcPr>
            <w:tcW w:type="dxa" w:w="6760"/>
            <w:tcMar>
              <w:top w:w="80" w:type="dxa"/>
              <w:start w:w="120" w:type="dxa"/>
              <w:bottom w:w="80" w:type="dxa"/>
              <w:end w:w="120" w:type="dxa"/>
            </w:tcMar>
            <w:vAlign w:val="top"/>
          </w:tcPr>
          <w:p>
            <w:pPr>
              <w:spacing w:after="0"/>
            </w:pPr>
            <w:r>
              <w:rPr>
                <w:sz w:val="16"/>
              </w:rPr>
              <w:t>submitted → triage → needs partner → legally cleared → pilot → active → paused/rejected</w:t>
            </w:r>
          </w:p>
        </w:tc>
      </w:tr>
      <w:tr>
        <w:trPr>
          <w:cantSplit/>
        </w:trPr>
        <w:tc>
          <w:tcPr>
            <w:tcW w:type="dxa" w:w="2600"/>
            <w:tcMar>
              <w:top w:w="80" w:type="dxa"/>
              <w:start w:w="120" w:type="dxa"/>
              <w:bottom w:w="80" w:type="dxa"/>
              <w:end w:w="120" w:type="dxa"/>
            </w:tcMar>
            <w:vAlign w:val="top"/>
          </w:tcPr>
          <w:p>
            <w:pPr>
              <w:spacing w:after="0"/>
            </w:pPr>
            <w:r>
              <w:rPr>
                <w:sz w:val="16"/>
              </w:rPr>
              <w:t>Decision record</w:t>
            </w:r>
          </w:p>
        </w:tc>
        <w:tc>
          <w:tcPr>
            <w:tcW w:type="dxa" w:w="6760"/>
            <w:tcMar>
              <w:top w:w="80" w:type="dxa"/>
              <w:start w:w="120" w:type="dxa"/>
              <w:bottom w:w="80" w:type="dxa"/>
              <w:end w:w="120" w:type="dxa"/>
            </w:tcMar>
            <w:vAlign w:val="top"/>
          </w:tcPr>
          <w:p>
            <w:pPr>
              <w:spacing w:after="0"/>
            </w:pPr>
            <w:r>
              <w:rPr>
                <w:sz w:val="16"/>
              </w:rPr>
              <w:t>Publish non-sensitive rationale, named review owner, conflicts and next review date</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2300"/>
        <w:gridCol w:w="3100"/>
        <w:gridCol w:w="3960"/>
      </w:tblGrid>
      <w:tr>
        <w:trPr>
          <w:tblHeader w:val="true"/>
          <w:cantSplit/>
        </w:trPr>
        <w:tc>
          <w:tcPr>
            <w:tcW w:type="dxa" w:w="2300"/>
            <w:shd w:fill="E8EEF5"/>
            <w:tcMar>
              <w:top w:w="80" w:type="dxa"/>
              <w:start w:w="120" w:type="dxa"/>
              <w:bottom w:w="80" w:type="dxa"/>
              <w:end w:w="120" w:type="dxa"/>
            </w:tcMar>
            <w:vAlign w:val="top"/>
          </w:tcPr>
          <w:p>
            <w:pPr>
              <w:spacing w:after="0"/>
            </w:pPr>
            <w:r>
              <w:rPr>
                <w:b/>
                <w:color w:val="0B2545"/>
                <w:sz w:val="17"/>
              </w:rPr>
              <w:t>Candidate activity</w:t>
            </w:r>
          </w:p>
        </w:tc>
        <w:tc>
          <w:tcPr>
            <w:tcW w:type="dxa" w:w="3100"/>
            <w:shd w:fill="E8EEF5"/>
            <w:tcMar>
              <w:top w:w="80" w:type="dxa"/>
              <w:start w:w="120" w:type="dxa"/>
              <w:bottom w:w="80" w:type="dxa"/>
              <w:end w:w="120" w:type="dxa"/>
            </w:tcMar>
            <w:vAlign w:val="top"/>
          </w:tcPr>
          <w:p>
            <w:pPr>
              <w:spacing w:after="0"/>
            </w:pPr>
            <w:r>
              <w:rPr>
                <w:b/>
                <w:color w:val="0B2545"/>
                <w:sz w:val="17"/>
              </w:rPr>
              <w:t>Value created</w:t>
            </w:r>
          </w:p>
        </w:tc>
        <w:tc>
          <w:tcPr>
            <w:tcW w:type="dxa" w:w="3960"/>
            <w:shd w:fill="E8EEF5"/>
            <w:tcMar>
              <w:top w:w="80" w:type="dxa"/>
              <w:start w:w="120" w:type="dxa"/>
              <w:bottom w:w="80" w:type="dxa"/>
              <w:end w:w="120" w:type="dxa"/>
            </w:tcMar>
            <w:vAlign w:val="top"/>
          </w:tcPr>
          <w:p>
            <w:pPr>
              <w:spacing w:after="0"/>
            </w:pPr>
            <w:r>
              <w:rPr>
                <w:b/>
                <w:color w:val="0B2545"/>
                <w:sz w:val="17"/>
              </w:rPr>
              <w:t>Safe activation route</w:t>
            </w:r>
          </w:p>
        </w:tc>
      </w:tr>
      <w:tr>
        <w:trPr>
          <w:cantSplit/>
        </w:trPr>
        <w:tc>
          <w:tcPr>
            <w:tcW w:type="dxa" w:w="2300"/>
            <w:tcMar>
              <w:top w:w="80" w:type="dxa"/>
              <w:start w:w="120" w:type="dxa"/>
              <w:bottom w:w="80" w:type="dxa"/>
              <w:end w:w="120" w:type="dxa"/>
            </w:tcMar>
            <w:vAlign w:val="top"/>
          </w:tcPr>
          <w:p>
            <w:pPr>
              <w:spacing w:after="0"/>
            </w:pPr>
            <w:r>
              <w:rPr>
                <w:sz w:val="16"/>
              </w:rPr>
              <w:t>Haircuts and basic grooming</w:t>
            </w:r>
          </w:p>
        </w:tc>
        <w:tc>
          <w:tcPr>
            <w:tcW w:type="dxa" w:w="3100"/>
            <w:tcMar>
              <w:top w:w="80" w:type="dxa"/>
              <w:start w:w="120" w:type="dxa"/>
              <w:bottom w:w="80" w:type="dxa"/>
              <w:end w:w="120" w:type="dxa"/>
            </w:tcMar>
            <w:vAlign w:val="top"/>
          </w:tcPr>
          <w:p>
            <w:pPr>
              <w:spacing w:after="0"/>
            </w:pPr>
            <w:r>
              <w:rPr>
                <w:sz w:val="16"/>
              </w:rPr>
              <w:t>Dignity, hygiene and peer service income</w:t>
            </w:r>
          </w:p>
        </w:tc>
        <w:tc>
          <w:tcPr>
            <w:tcW w:type="dxa" w:w="3960"/>
            <w:tcMar>
              <w:top w:w="80" w:type="dxa"/>
              <w:start w:w="120" w:type="dxa"/>
              <w:bottom w:w="80" w:type="dxa"/>
              <w:end w:w="120" w:type="dxa"/>
            </w:tcMar>
            <w:vAlign w:val="top"/>
          </w:tcPr>
          <w:p>
            <w:pPr>
              <w:spacing w:after="0"/>
            </w:pPr>
            <w:r>
              <w:rPr>
                <w:sz w:val="16"/>
              </w:rPr>
              <w:t>Qualified/insured provider, hygienic premises/tools, EUR price and operator approval</w:t>
            </w:r>
          </w:p>
        </w:tc>
      </w:tr>
      <w:tr>
        <w:trPr>
          <w:cantSplit/>
        </w:trPr>
        <w:tc>
          <w:tcPr>
            <w:tcW w:type="dxa" w:w="2300"/>
            <w:tcMar>
              <w:top w:w="80" w:type="dxa"/>
              <w:start w:w="120" w:type="dxa"/>
              <w:bottom w:w="80" w:type="dxa"/>
              <w:end w:w="120" w:type="dxa"/>
            </w:tcMar>
            <w:vAlign w:val="top"/>
          </w:tcPr>
          <w:p>
            <w:pPr>
              <w:spacing w:after="0"/>
            </w:pPr>
            <w:r>
              <w:rPr>
                <w:sz w:val="16"/>
              </w:rPr>
              <w:t>Phone setup and digital help</w:t>
            </w:r>
          </w:p>
        </w:tc>
        <w:tc>
          <w:tcPr>
            <w:tcW w:type="dxa" w:w="3100"/>
            <w:tcMar>
              <w:top w:w="80" w:type="dxa"/>
              <w:start w:w="120" w:type="dxa"/>
              <w:bottom w:w="80" w:type="dxa"/>
              <w:end w:w="120" w:type="dxa"/>
            </w:tcMar>
            <w:vAlign w:val="top"/>
          </w:tcPr>
          <w:p>
            <w:pPr>
              <w:spacing w:after="0"/>
            </w:pPr>
            <w:r>
              <w:rPr>
                <w:sz w:val="16"/>
              </w:rPr>
              <w:t>Access to appointments, maps and family contact</w:t>
            </w:r>
          </w:p>
        </w:tc>
        <w:tc>
          <w:tcPr>
            <w:tcW w:type="dxa" w:w="3960"/>
            <w:tcMar>
              <w:top w:w="80" w:type="dxa"/>
              <w:start w:w="120" w:type="dxa"/>
              <w:bottom w:w="80" w:type="dxa"/>
              <w:end w:w="120" w:type="dxa"/>
            </w:tcMar>
            <w:vAlign w:val="top"/>
          </w:tcPr>
          <w:p>
            <w:pPr>
              <w:spacing w:after="0"/>
            </w:pPr>
            <w:r>
              <w:rPr>
                <w:sz w:val="16"/>
              </w:rPr>
              <w:t>No credential capture; SIM sale/activation only through an authorized retail partner</w:t>
            </w:r>
          </w:p>
        </w:tc>
      </w:tr>
      <w:tr>
        <w:trPr>
          <w:cantSplit/>
        </w:trPr>
        <w:tc>
          <w:tcPr>
            <w:tcW w:type="dxa" w:w="2300"/>
            <w:tcMar>
              <w:top w:w="80" w:type="dxa"/>
              <w:start w:w="120" w:type="dxa"/>
              <w:bottom w:w="80" w:type="dxa"/>
              <w:end w:w="120" w:type="dxa"/>
            </w:tcMar>
            <w:vAlign w:val="top"/>
          </w:tcPr>
          <w:p>
            <w:pPr>
              <w:spacing w:after="0"/>
            </w:pPr>
            <w:r>
              <w:rPr>
                <w:sz w:val="16"/>
              </w:rPr>
              <w:t>Bicycle repair and safety check</w:t>
            </w:r>
          </w:p>
        </w:tc>
        <w:tc>
          <w:tcPr>
            <w:tcW w:type="dxa" w:w="3100"/>
            <w:tcMar>
              <w:top w:w="80" w:type="dxa"/>
              <w:start w:w="120" w:type="dxa"/>
              <w:bottom w:w="80" w:type="dxa"/>
              <w:end w:w="120" w:type="dxa"/>
            </w:tcMar>
            <w:vAlign w:val="top"/>
          </w:tcPr>
          <w:p>
            <w:pPr>
              <w:spacing w:after="0"/>
            </w:pPr>
            <w:r>
              <w:rPr>
                <w:sz w:val="16"/>
              </w:rPr>
              <w:t>Affordable mobility and reusable bicycles</w:t>
            </w:r>
          </w:p>
        </w:tc>
        <w:tc>
          <w:tcPr>
            <w:tcW w:type="dxa" w:w="3960"/>
            <w:tcMar>
              <w:top w:w="80" w:type="dxa"/>
              <w:start w:w="120" w:type="dxa"/>
              <w:bottom w:w="80" w:type="dxa"/>
              <w:end w:w="120" w:type="dxa"/>
            </w:tcMar>
            <w:vAlign w:val="top"/>
          </w:tcPr>
          <w:p>
            <w:pPr>
              <w:spacing w:after="0"/>
            </w:pPr>
            <w:r>
              <w:rPr>
                <w:sz w:val="16"/>
              </w:rPr>
              <w:t>Workshop partner, tools/PPE, liability rules and lawful EUR compensation</w:t>
            </w:r>
          </w:p>
        </w:tc>
      </w:tr>
      <w:tr>
        <w:trPr>
          <w:cantSplit/>
        </w:trPr>
        <w:tc>
          <w:tcPr>
            <w:tcW w:type="dxa" w:w="2300"/>
            <w:tcMar>
              <w:top w:w="80" w:type="dxa"/>
              <w:start w:w="120" w:type="dxa"/>
              <w:bottom w:w="80" w:type="dxa"/>
              <w:end w:w="120" w:type="dxa"/>
            </w:tcMar>
            <w:vAlign w:val="top"/>
          </w:tcPr>
          <w:p>
            <w:pPr>
              <w:spacing w:after="0"/>
            </w:pPr>
            <w:r>
              <w:rPr>
                <w:sz w:val="16"/>
              </w:rPr>
              <w:t>Sewing and clothing repair</w:t>
            </w:r>
          </w:p>
        </w:tc>
        <w:tc>
          <w:tcPr>
            <w:tcW w:type="dxa" w:w="3100"/>
            <w:tcMar>
              <w:top w:w="80" w:type="dxa"/>
              <w:start w:w="120" w:type="dxa"/>
              <w:bottom w:w="80" w:type="dxa"/>
              <w:end w:w="120" w:type="dxa"/>
            </w:tcMar>
            <w:vAlign w:val="top"/>
          </w:tcPr>
          <w:p>
            <w:pPr>
              <w:spacing w:after="0"/>
            </w:pPr>
            <w:r>
              <w:rPr>
                <w:sz w:val="16"/>
              </w:rPr>
              <w:t>Longer garment life and practical peer service</w:t>
            </w:r>
          </w:p>
        </w:tc>
        <w:tc>
          <w:tcPr>
            <w:tcW w:type="dxa" w:w="3960"/>
            <w:tcMar>
              <w:top w:w="80" w:type="dxa"/>
              <w:start w:w="120" w:type="dxa"/>
              <w:bottom w:w="80" w:type="dxa"/>
              <w:end w:w="120" w:type="dxa"/>
            </w:tcMar>
            <w:vAlign w:val="top"/>
          </w:tcPr>
          <w:p>
            <w:pPr>
              <w:spacing w:after="0"/>
            </w:pPr>
            <w:r>
              <w:rPr>
                <w:sz w:val="16"/>
              </w:rPr>
              <w:t>Safe workspace, transparent EUR pricing and eligible provider</w:t>
            </w:r>
          </w:p>
        </w:tc>
      </w:tr>
      <w:tr>
        <w:trPr>
          <w:cantSplit/>
        </w:trPr>
        <w:tc>
          <w:tcPr>
            <w:tcW w:type="dxa" w:w="2300"/>
            <w:tcMar>
              <w:top w:w="80" w:type="dxa"/>
              <w:start w:w="120" w:type="dxa"/>
              <w:bottom w:w="80" w:type="dxa"/>
              <w:end w:w="120" w:type="dxa"/>
            </w:tcMar>
            <w:vAlign w:val="top"/>
          </w:tcPr>
          <w:p>
            <w:pPr>
              <w:spacing w:after="0"/>
            </w:pPr>
            <w:r>
              <w:rPr>
                <w:sz w:val="16"/>
              </w:rPr>
              <w:t>Language conversation and tutoring</w:t>
            </w:r>
          </w:p>
        </w:tc>
        <w:tc>
          <w:tcPr>
            <w:tcW w:type="dxa" w:w="3100"/>
            <w:tcMar>
              <w:top w:w="80" w:type="dxa"/>
              <w:start w:w="120" w:type="dxa"/>
              <w:bottom w:w="80" w:type="dxa"/>
              <w:end w:w="120" w:type="dxa"/>
            </w:tcMar>
            <w:vAlign w:val="top"/>
          </w:tcPr>
          <w:p>
            <w:pPr>
              <w:spacing w:after="0"/>
            </w:pPr>
            <w:r>
              <w:rPr>
                <w:sz w:val="16"/>
              </w:rPr>
              <w:t>French practice, orientation and employability</w:t>
            </w:r>
          </w:p>
        </w:tc>
        <w:tc>
          <w:tcPr>
            <w:tcW w:type="dxa" w:w="3960"/>
            <w:tcMar>
              <w:top w:w="80" w:type="dxa"/>
              <w:start w:w="120" w:type="dxa"/>
              <w:bottom w:w="80" w:type="dxa"/>
              <w:end w:w="120" w:type="dxa"/>
            </w:tcMar>
            <w:vAlign w:val="top"/>
          </w:tcPr>
          <w:p>
            <w:pPr>
              <w:spacing w:after="0"/>
            </w:pPr>
            <w:r>
              <w:rPr>
                <w:sz w:val="16"/>
              </w:rPr>
              <w:t>No legal/medical interpretation claims; safeguarding for minors; lawful tutor payment</w:t>
            </w:r>
          </w:p>
        </w:tc>
      </w:tr>
      <w:tr>
        <w:trPr>
          <w:cantSplit/>
        </w:trPr>
        <w:tc>
          <w:tcPr>
            <w:tcW w:type="dxa" w:w="2300"/>
            <w:tcMar>
              <w:top w:w="80" w:type="dxa"/>
              <w:start w:w="120" w:type="dxa"/>
              <w:bottom w:w="80" w:type="dxa"/>
              <w:end w:w="120" w:type="dxa"/>
            </w:tcMar>
            <w:vAlign w:val="top"/>
          </w:tcPr>
          <w:p>
            <w:pPr>
              <w:spacing w:after="0"/>
            </w:pPr>
            <w:r>
              <w:rPr>
                <w:sz w:val="16"/>
              </w:rPr>
              <w:t>Device refurbishment</w:t>
            </w:r>
          </w:p>
        </w:tc>
        <w:tc>
          <w:tcPr>
            <w:tcW w:type="dxa" w:w="3100"/>
            <w:tcMar>
              <w:top w:w="80" w:type="dxa"/>
              <w:start w:w="120" w:type="dxa"/>
              <w:bottom w:w="80" w:type="dxa"/>
              <w:end w:w="120" w:type="dxa"/>
            </w:tcMar>
            <w:vAlign w:val="top"/>
          </w:tcPr>
          <w:p>
            <w:pPr>
              <w:spacing w:after="0"/>
            </w:pPr>
            <w:r>
              <w:rPr>
                <w:sz w:val="16"/>
              </w:rPr>
              <w:t>Reduces e-waste and improves digital access</w:t>
            </w:r>
          </w:p>
        </w:tc>
        <w:tc>
          <w:tcPr>
            <w:tcW w:type="dxa" w:w="3960"/>
            <w:tcMar>
              <w:top w:w="80" w:type="dxa"/>
              <w:start w:w="120" w:type="dxa"/>
              <w:bottom w:w="80" w:type="dxa"/>
              <w:end w:w="120" w:type="dxa"/>
            </w:tcMar>
            <w:vAlign w:val="top"/>
          </w:tcPr>
          <w:p>
            <w:pPr>
              <w:spacing w:after="0"/>
            </w:pPr>
            <w:r>
              <w:rPr>
                <w:sz w:val="16"/>
              </w:rPr>
              <w:t>Data-wipe protocol, electrical safety, warranty/receipt and approved resale/donation partner</w:t>
            </w:r>
          </w:p>
        </w:tc>
      </w:tr>
      <w:tr>
        <w:trPr>
          <w:cantSplit/>
        </w:trPr>
        <w:tc>
          <w:tcPr>
            <w:tcW w:type="dxa" w:w="2300"/>
            <w:tcMar>
              <w:top w:w="80" w:type="dxa"/>
              <w:start w:w="120" w:type="dxa"/>
              <w:bottom w:w="80" w:type="dxa"/>
              <w:end w:w="120" w:type="dxa"/>
            </w:tcMar>
            <w:vAlign w:val="top"/>
          </w:tcPr>
          <w:p>
            <w:pPr>
              <w:spacing w:after="0"/>
            </w:pPr>
            <w:r>
              <w:rPr>
                <w:sz w:val="16"/>
              </w:rPr>
              <w:t>Public information verification</w:t>
            </w:r>
          </w:p>
        </w:tc>
        <w:tc>
          <w:tcPr>
            <w:tcW w:type="dxa" w:w="3100"/>
            <w:tcMar>
              <w:top w:w="80" w:type="dxa"/>
              <w:start w:w="120" w:type="dxa"/>
              <w:bottom w:w="80" w:type="dxa"/>
              <w:end w:w="120" w:type="dxa"/>
            </w:tcMar>
            <w:vAlign w:val="top"/>
          </w:tcPr>
          <w:p>
            <w:pPr>
              <w:spacing w:after="0"/>
            </w:pPr>
            <w:r>
              <w:rPr>
                <w:sz w:val="16"/>
              </w:rPr>
              <w:t>Fresher service hours, accessibility and multilingual notices</w:t>
            </w:r>
          </w:p>
        </w:tc>
        <w:tc>
          <w:tcPr>
            <w:tcW w:type="dxa" w:w="3960"/>
            <w:tcMar>
              <w:top w:w="80" w:type="dxa"/>
              <w:start w:w="120" w:type="dxa"/>
              <w:bottom w:w="80" w:type="dxa"/>
              <w:end w:w="120" w:type="dxa"/>
            </w:tcMar>
            <w:vAlign w:val="top"/>
          </w:tcPr>
          <w:p>
            <w:pPr>
              <w:spacing w:after="0"/>
            </w:pPr>
            <w:r>
              <w:rPr>
                <w:sz w:val="16"/>
              </w:rPr>
              <w:t>Provider confirmation; paid verification only through lawful work route</w:t>
            </w:r>
          </w:p>
        </w:tc>
      </w:tr>
      <w:tr>
        <w:trPr>
          <w:cantSplit/>
        </w:trPr>
        <w:tc>
          <w:tcPr>
            <w:tcW w:type="dxa" w:w="2300"/>
            <w:tcMar>
              <w:top w:w="80" w:type="dxa"/>
              <w:start w:w="120" w:type="dxa"/>
              <w:bottom w:w="80" w:type="dxa"/>
              <w:end w:w="120" w:type="dxa"/>
            </w:tcMar>
            <w:vAlign w:val="top"/>
          </w:tcPr>
          <w:p>
            <w:pPr>
              <w:spacing w:after="0"/>
            </w:pPr>
            <w:r>
              <w:rPr>
                <w:sz w:val="16"/>
              </w:rPr>
              <w:t>Litter and hazard mapping</w:t>
            </w:r>
          </w:p>
        </w:tc>
        <w:tc>
          <w:tcPr>
            <w:tcW w:type="dxa" w:w="3100"/>
            <w:tcMar>
              <w:top w:w="80" w:type="dxa"/>
              <w:start w:w="120" w:type="dxa"/>
              <w:bottom w:w="80" w:type="dxa"/>
              <w:end w:w="120" w:type="dxa"/>
            </w:tcMar>
            <w:vAlign w:val="top"/>
          </w:tcPr>
          <w:p>
            <w:pPr>
              <w:spacing w:after="0"/>
            </w:pPr>
            <w:r>
              <w:rPr>
                <w:sz w:val="16"/>
              </w:rPr>
              <w:t>Faster city response without informal waste handling</w:t>
            </w:r>
          </w:p>
        </w:tc>
        <w:tc>
          <w:tcPr>
            <w:tcW w:type="dxa" w:w="3960"/>
            <w:tcMar>
              <w:top w:w="80" w:type="dxa"/>
              <w:start w:w="120" w:type="dxa"/>
              <w:bottom w:w="80" w:type="dxa"/>
              <w:end w:w="120" w:type="dxa"/>
            </w:tcMar>
            <w:vAlign w:val="top"/>
          </w:tcPr>
          <w:p>
            <w:pPr>
              <w:spacing w:after="0"/>
            </w:pPr>
            <w:r>
              <w:rPr>
                <w:sz w:val="16"/>
              </w:rPr>
              <w:t>Open report form; no sensitive locations; city decides dispatch</w:t>
            </w:r>
          </w:p>
        </w:tc>
      </w:tr>
      <w:tr>
        <w:trPr>
          <w:cantSplit/>
        </w:trPr>
        <w:tc>
          <w:tcPr>
            <w:tcW w:type="dxa" w:w="2300"/>
            <w:tcMar>
              <w:top w:w="80" w:type="dxa"/>
              <w:start w:w="120" w:type="dxa"/>
              <w:bottom w:w="80" w:type="dxa"/>
              <w:end w:w="120" w:type="dxa"/>
            </w:tcMar>
            <w:vAlign w:val="top"/>
          </w:tcPr>
          <w:p>
            <w:pPr>
              <w:spacing w:after="0"/>
            </w:pPr>
            <w:r>
              <w:rPr>
                <w:sz w:val="16"/>
              </w:rPr>
              <w:t>Supervised cleanup/recycling crew</w:t>
            </w:r>
          </w:p>
        </w:tc>
        <w:tc>
          <w:tcPr>
            <w:tcW w:type="dxa" w:w="3100"/>
            <w:tcMar>
              <w:top w:w="80" w:type="dxa"/>
              <w:start w:w="120" w:type="dxa"/>
              <w:bottom w:w="80" w:type="dxa"/>
              <w:end w:w="120" w:type="dxa"/>
            </w:tcMar>
            <w:vAlign w:val="top"/>
          </w:tcPr>
          <w:p>
            <w:pPr>
              <w:spacing w:after="0"/>
            </w:pPr>
            <w:r>
              <w:rPr>
                <w:sz w:val="16"/>
              </w:rPr>
              <w:t>Cleaner public spaces and recoverable materials</w:t>
            </w:r>
          </w:p>
        </w:tc>
        <w:tc>
          <w:tcPr>
            <w:tcW w:type="dxa" w:w="3960"/>
            <w:tcMar>
              <w:top w:w="80" w:type="dxa"/>
              <w:start w:w="120" w:type="dxa"/>
              <w:bottom w:w="80" w:type="dxa"/>
              <w:end w:w="120" w:type="dxa"/>
            </w:tcMar>
            <w:vAlign w:val="top"/>
          </w:tcPr>
          <w:p>
            <w:pPr>
              <w:spacing w:after="0"/>
            </w:pPr>
            <w:r>
              <w:rPr>
                <w:sz w:val="16"/>
              </w:rPr>
              <w:t>Only city/contractor/association employment with mandate, PPE, insurance and waste rules</w:t>
            </w:r>
          </w:p>
        </w:tc>
      </w:tr>
      <w:tr>
        <w:trPr>
          <w:cantSplit/>
        </w:trPr>
        <w:tc>
          <w:tcPr>
            <w:tcW w:type="dxa" w:w="2300"/>
            <w:tcMar>
              <w:top w:w="80" w:type="dxa"/>
              <w:start w:w="120" w:type="dxa"/>
              <w:bottom w:w="80" w:type="dxa"/>
              <w:end w:w="120" w:type="dxa"/>
            </w:tcMar>
            <w:vAlign w:val="top"/>
          </w:tcPr>
          <w:p>
            <w:pPr>
              <w:spacing w:after="0"/>
            </w:pPr>
            <w:r>
              <w:rPr>
                <w:sz w:val="16"/>
              </w:rPr>
              <w:t>Community garden or greening</w:t>
            </w:r>
          </w:p>
        </w:tc>
        <w:tc>
          <w:tcPr>
            <w:tcW w:type="dxa" w:w="3100"/>
            <w:tcMar>
              <w:top w:w="80" w:type="dxa"/>
              <w:start w:w="120" w:type="dxa"/>
              <w:bottom w:w="80" w:type="dxa"/>
              <w:end w:w="120" w:type="dxa"/>
            </w:tcMar>
            <w:vAlign w:val="top"/>
          </w:tcPr>
          <w:p>
            <w:pPr>
              <w:spacing w:after="0"/>
            </w:pPr>
            <w:r>
              <w:rPr>
                <w:sz w:val="16"/>
              </w:rPr>
              <w:t>Shared space, food literacy and neighborhood contact</w:t>
            </w:r>
          </w:p>
        </w:tc>
        <w:tc>
          <w:tcPr>
            <w:tcW w:type="dxa" w:w="3960"/>
            <w:tcMar>
              <w:top w:w="80" w:type="dxa"/>
              <w:start w:w="120" w:type="dxa"/>
              <w:bottom w:w="80" w:type="dxa"/>
              <w:end w:w="120" w:type="dxa"/>
            </w:tcMar>
            <w:vAlign w:val="top"/>
          </w:tcPr>
          <w:p>
            <w:pPr>
              <w:spacing w:after="0"/>
            </w:pPr>
            <w:r>
              <w:rPr>
                <w:sz w:val="16"/>
              </w:rPr>
              <w:t>Landowner/city permission, tool safety, water/soil plan and supervised participation</w:t>
            </w:r>
          </w:p>
        </w:tc>
      </w:tr>
      <w:tr>
        <w:trPr>
          <w:cantSplit/>
        </w:trPr>
        <w:tc>
          <w:tcPr>
            <w:tcW w:type="dxa" w:w="2300"/>
            <w:tcMar>
              <w:top w:w="80" w:type="dxa"/>
              <w:start w:w="120" w:type="dxa"/>
              <w:bottom w:w="80" w:type="dxa"/>
              <w:end w:w="120" w:type="dxa"/>
            </w:tcMar>
            <w:vAlign w:val="top"/>
          </w:tcPr>
          <w:p>
            <w:pPr>
              <w:spacing w:after="0"/>
            </w:pPr>
            <w:r>
              <w:rPr>
                <w:sz w:val="16"/>
              </w:rPr>
              <w:t>Event setup and cultural workshops</w:t>
            </w:r>
          </w:p>
        </w:tc>
        <w:tc>
          <w:tcPr>
            <w:tcW w:type="dxa" w:w="3100"/>
            <w:tcMar>
              <w:top w:w="80" w:type="dxa"/>
              <w:start w:w="120" w:type="dxa"/>
              <w:bottom w:w="80" w:type="dxa"/>
              <w:end w:w="120" w:type="dxa"/>
            </w:tcMar>
            <w:vAlign w:val="top"/>
          </w:tcPr>
          <w:p>
            <w:pPr>
              <w:spacing w:after="0"/>
            </w:pPr>
            <w:r>
              <w:rPr>
                <w:sz w:val="16"/>
              </w:rPr>
              <w:t>More inclusive civic events and local exchange</w:t>
            </w:r>
          </w:p>
        </w:tc>
        <w:tc>
          <w:tcPr>
            <w:tcW w:type="dxa" w:w="3960"/>
            <w:tcMar>
              <w:top w:w="80" w:type="dxa"/>
              <w:start w:w="120" w:type="dxa"/>
              <w:bottom w:w="80" w:type="dxa"/>
              <w:end w:w="120" w:type="dxa"/>
            </w:tcMar>
            <w:vAlign w:val="top"/>
          </w:tcPr>
          <w:p>
            <w:pPr>
              <w:spacing w:after="0"/>
            </w:pPr>
            <w:r>
              <w:rPr>
                <w:sz w:val="16"/>
              </w:rPr>
              <w:t>Organizer contract, venue risk plan, safeguarding and lawful pay where work is performed</w:t>
            </w:r>
          </w:p>
        </w:tc>
      </w:tr>
      <w:tr>
        <w:trPr>
          <w:cantSplit/>
        </w:trPr>
        <w:tc>
          <w:tcPr>
            <w:tcW w:type="dxa" w:w="2300"/>
            <w:tcMar>
              <w:top w:w="80" w:type="dxa"/>
              <w:start w:w="120" w:type="dxa"/>
              <w:bottom w:w="80" w:type="dxa"/>
              <w:end w:w="120" w:type="dxa"/>
            </w:tcMar>
            <w:vAlign w:val="top"/>
          </w:tcPr>
          <w:p>
            <w:pPr>
              <w:spacing w:after="0"/>
            </w:pPr>
            <w:r>
              <w:rPr>
                <w:sz w:val="16"/>
              </w:rPr>
              <w:t>Heat/cold readiness and kit assembly</w:t>
            </w:r>
          </w:p>
        </w:tc>
        <w:tc>
          <w:tcPr>
            <w:tcW w:type="dxa" w:w="3100"/>
            <w:tcMar>
              <w:top w:w="80" w:type="dxa"/>
              <w:start w:w="120" w:type="dxa"/>
              <w:bottom w:w="80" w:type="dxa"/>
              <w:end w:w="120" w:type="dxa"/>
            </w:tcMar>
            <w:vAlign w:val="top"/>
          </w:tcPr>
          <w:p>
            <w:pPr>
              <w:spacing w:after="0"/>
            </w:pPr>
            <w:r>
              <w:rPr>
                <w:sz w:val="16"/>
              </w:rPr>
              <w:t>Supports city resilience during severe weather</w:t>
            </w:r>
          </w:p>
        </w:tc>
        <w:tc>
          <w:tcPr>
            <w:tcW w:type="dxa" w:w="3960"/>
            <w:tcMar>
              <w:top w:w="80" w:type="dxa"/>
              <w:start w:w="120" w:type="dxa"/>
              <w:bottom w:w="80" w:type="dxa"/>
              <w:end w:w="120" w:type="dxa"/>
            </w:tcMar>
            <w:vAlign w:val="top"/>
          </w:tcPr>
          <w:p>
            <w:pPr>
              <w:spacing w:after="0"/>
            </w:pPr>
            <w:r>
              <w:rPr>
                <w:sz w:val="16"/>
              </w:rPr>
              <w:t>Authority/association plan, safe premises, inventory controls and no replacement of emergency services</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DEBEC"/>
          </w:tcPr>
          <w:p>
            <w:pPr>
              <w:spacing w:after="40"/>
            </w:pPr>
            <w:r>
              <w:rPr>
                <w:b/>
                <w:color w:val="0B2545"/>
              </w:rPr>
              <w:t>Blocked speculative branch</w:t>
              <w:br/>
            </w:r>
            <w:r>
              <w:rPr>
                <w:sz w:val="19"/>
              </w:rPr>
              <w:t>Do not issue or deploy ACTIVITYCOIN as a transferable ERC-20, create ACTIVITYCOIN/USDC or ACTIVITYCOIN/cbBTC pools, promise free price discovery, seed liquidity, burn supply, buy back tokens, market scarcity, or convert a traded token into vouchers. A burn does not create useful activity; it creates appreciation expectations and can shift value from workers to speculators. This branch remains blocked unless independent French/EU labor, tax and crypto counsel approves a later design in writing, an accountable entity accepts responsibility, all offering/trading/AML/consumer duties are met, and the token is never used to bypass wages or work authorization.</w:t>
            </w:r>
          </w:p>
        </w:tc>
      </w:tr>
    </w:tbl>
    <w:p>
      <w:pPr>
        <w:pStyle w:val="TableSource"/>
      </w:pPr>
    </w:p>
    <w:p>
      <w:pPr>
        <w:pStyle w:val="Heading1"/>
      </w:pPr>
      <w:r>
        <w:t>3. Non-negotiable ethics and safety</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tcMar>
              <w:top w:w="80" w:type="dxa"/>
              <w:start w:w="120" w:type="dxa"/>
              <w:bottom w:w="80" w:type="dxa"/>
              <w:end w:w="120" w:type="dxa"/>
            </w:tcMar>
            <w:vAlign w:val="top"/>
          </w:tcPr>
          <w:p>
            <w:pPr>
              <w:spacing w:after="0"/>
            </w:pPr>
            <w:r>
              <w:rPr>
                <w:b/>
                <w:color w:val="0B2545"/>
                <w:sz w:val="18"/>
              </w:rPr>
              <w:t>Required</w:t>
            </w:r>
          </w:p>
        </w:tc>
        <w:tc>
          <w:tcPr>
            <w:tcW w:type="dxa" w:w="4680"/>
            <w:shd w:fill="E8EEF5"/>
            <w:tcMar>
              <w:top w:w="80" w:type="dxa"/>
              <w:start w:w="120" w:type="dxa"/>
              <w:bottom w:w="80" w:type="dxa"/>
              <w:end w:w="120" w:type="dxa"/>
            </w:tcMar>
            <w:vAlign w:val="top"/>
          </w:tcPr>
          <w:p>
            <w:pPr>
              <w:spacing w:after="0"/>
            </w:pPr>
            <w:r>
              <w:rPr>
                <w:b/>
                <w:color w:val="0B2545"/>
                <w:sz w:val="18"/>
              </w:rPr>
              <w:t>Forbidden</w:t>
            </w:r>
          </w:p>
        </w:tc>
      </w:tr>
      <w:tr>
        <w:trPr>
          <w:cantSplit/>
        </w:trPr>
        <w:tc>
          <w:tcPr>
            <w:tcW w:type="dxa" w:w="4680"/>
            <w:tcMar>
              <w:top w:w="80" w:type="dxa"/>
              <w:start w:w="120" w:type="dxa"/>
              <w:bottom w:w="80" w:type="dxa"/>
              <w:end w:w="120" w:type="dxa"/>
            </w:tcMar>
            <w:vAlign w:val="top"/>
          </w:tcPr>
          <w:p>
            <w:pPr>
              <w:spacing w:after="0"/>
            </w:pPr>
            <w:r>
              <w:rPr>
                <w:sz w:val="17"/>
              </w:rPr>
              <w:t>Refugees are beneficiaries and optional co-designers with informed consent</w:t>
            </w:r>
          </w:p>
        </w:tc>
        <w:tc>
          <w:tcPr>
            <w:tcW w:type="dxa" w:w="4680"/>
            <w:tcMar>
              <w:top w:w="80" w:type="dxa"/>
              <w:start w:w="120" w:type="dxa"/>
              <w:bottom w:w="80" w:type="dxa"/>
              <w:end w:w="120" w:type="dxa"/>
            </w:tcMar>
            <w:vAlign w:val="top"/>
          </w:tcPr>
          <w:p>
            <w:pPr>
              <w:spacing w:after="0"/>
            </w:pPr>
            <w:r>
              <w:rPr>
                <w:sz w:val="17"/>
              </w:rPr>
              <w:t>Treating people as leads, referral inventory, marketing audiences or sources of free labor</w:t>
            </w:r>
          </w:p>
        </w:tc>
      </w:tr>
      <w:tr>
        <w:trPr>
          <w:cantSplit/>
        </w:trPr>
        <w:tc>
          <w:tcPr>
            <w:tcW w:type="dxa" w:w="4680"/>
            <w:tcMar>
              <w:top w:w="80" w:type="dxa"/>
              <w:start w:w="120" w:type="dxa"/>
              <w:bottom w:w="80" w:type="dxa"/>
              <w:end w:w="120" w:type="dxa"/>
            </w:tcMar>
            <w:vAlign w:val="top"/>
          </w:tcPr>
          <w:p>
            <w:pPr>
              <w:spacing w:after="0"/>
            </w:pPr>
            <w:r>
              <w:rPr>
                <w:sz w:val="17"/>
              </w:rPr>
              <w:t>Free access without an account, wallet, referral or document</w:t>
            </w:r>
          </w:p>
        </w:tc>
        <w:tc>
          <w:tcPr>
            <w:tcW w:type="dxa" w:w="4680"/>
            <w:tcMar>
              <w:top w:w="80" w:type="dxa"/>
              <w:start w:w="120" w:type="dxa"/>
              <w:bottom w:w="80" w:type="dxa"/>
              <w:end w:w="120" w:type="dxa"/>
            </w:tcMar>
            <w:vAlign w:val="top"/>
          </w:tcPr>
          <w:p>
            <w:pPr>
              <w:spacing w:after="0"/>
            </w:pPr>
            <w:r>
              <w:rPr>
                <w:sz w:val="17"/>
              </w:rPr>
              <w:t>Paywalls, wallet-only access, immigration-status collection, dark patterns</w:t>
            </w:r>
          </w:p>
        </w:tc>
      </w:tr>
      <w:tr>
        <w:trPr>
          <w:cantSplit/>
        </w:trPr>
        <w:tc>
          <w:tcPr>
            <w:tcW w:type="dxa" w:w="4680"/>
            <w:tcMar>
              <w:top w:w="80" w:type="dxa"/>
              <w:start w:w="120" w:type="dxa"/>
              <w:bottom w:w="80" w:type="dxa"/>
              <w:end w:w="120" w:type="dxa"/>
            </w:tcMar>
            <w:vAlign w:val="top"/>
          </w:tcPr>
          <w:p>
            <w:pPr>
              <w:spacing w:after="0"/>
            </w:pPr>
            <w:r>
              <w:rPr>
                <w:sz w:val="17"/>
              </w:rPr>
              <w:t>Separate sponsorship from service information</w:t>
            </w:r>
          </w:p>
        </w:tc>
        <w:tc>
          <w:tcPr>
            <w:tcW w:type="dxa" w:w="4680"/>
            <w:tcMar>
              <w:top w:w="80" w:type="dxa"/>
              <w:start w:w="120" w:type="dxa"/>
              <w:bottom w:w="80" w:type="dxa"/>
              <w:end w:w="120" w:type="dxa"/>
            </w:tcMar>
            <w:vAlign w:val="top"/>
          </w:tcPr>
          <w:p>
            <w:pPr>
              <w:spacing w:after="0"/>
            </w:pPr>
            <w:r>
              <w:rPr>
                <w:sz w:val="17"/>
              </w:rPr>
              <w:t>Ranking essential services by payment or selling personal/precise-location data</w:t>
            </w:r>
          </w:p>
        </w:tc>
      </w:tr>
      <w:tr>
        <w:trPr>
          <w:cantSplit/>
        </w:trPr>
        <w:tc>
          <w:tcPr>
            <w:tcW w:type="dxa" w:w="4680"/>
            <w:tcMar>
              <w:top w:w="80" w:type="dxa"/>
              <w:start w:w="120" w:type="dxa"/>
              <w:bottom w:w="80" w:type="dxa"/>
              <w:end w:w="120" w:type="dxa"/>
            </w:tcMar>
            <w:vAlign w:val="top"/>
          </w:tcPr>
          <w:p>
            <w:pPr>
              <w:spacing w:after="0"/>
            </w:pPr>
            <w:r>
              <w:rPr>
                <w:sz w:val="17"/>
              </w:rPr>
              <w:t>Verify work authorization before any employment or paid task</w:t>
            </w:r>
          </w:p>
        </w:tc>
        <w:tc>
          <w:tcPr>
            <w:tcW w:type="dxa" w:w="4680"/>
            <w:tcMar>
              <w:top w:w="80" w:type="dxa"/>
              <w:start w:w="120" w:type="dxa"/>
              <w:bottom w:w="80" w:type="dxa"/>
              <w:end w:w="120" w:type="dxa"/>
            </w:tcMar>
            <w:vAlign w:val="top"/>
          </w:tcPr>
          <w:p>
            <w:pPr>
              <w:spacing w:after="0"/>
            </w:pPr>
            <w:r>
              <w:rPr>
                <w:sz w:val="17"/>
              </w:rPr>
              <w:t>Cash-in-hand work, disguised volunteering, token compensation or rewards tied to work</w:t>
            </w:r>
          </w:p>
        </w:tc>
      </w:tr>
      <w:tr>
        <w:trPr>
          <w:cantSplit/>
        </w:trPr>
        <w:tc>
          <w:tcPr>
            <w:tcW w:type="dxa" w:w="4680"/>
            <w:tcMar>
              <w:top w:w="80" w:type="dxa"/>
              <w:start w:w="120" w:type="dxa"/>
              <w:bottom w:w="80" w:type="dxa"/>
              <w:end w:w="120" w:type="dxa"/>
            </w:tcMar>
            <w:vAlign w:val="top"/>
          </w:tcPr>
          <w:p>
            <w:pPr>
              <w:spacing w:after="0"/>
            </w:pPr>
            <w:r>
              <w:rPr>
                <w:sz w:val="17"/>
              </w:rPr>
              <w:t>Pay lawful work in EUR with a contract/invoice and normal worker protections</w:t>
            </w:r>
          </w:p>
        </w:tc>
        <w:tc>
          <w:tcPr>
            <w:tcW w:type="dxa" w:w="4680"/>
            <w:tcMar>
              <w:top w:w="80" w:type="dxa"/>
              <w:start w:w="120" w:type="dxa"/>
              <w:bottom w:w="80" w:type="dxa"/>
              <w:end w:w="120" w:type="dxa"/>
            </w:tcMar>
            <w:vAlign w:val="top"/>
          </w:tcPr>
          <w:p>
            <w:pPr>
              <w:spacing w:after="0"/>
            </w:pPr>
            <w:r>
              <w:rPr>
                <w:sz w:val="17"/>
              </w:rPr>
              <w:t>Using volatile tokens, vouchers, badges, tips or barter to evade wages, tax, declarations or work authorization</w:t>
            </w:r>
          </w:p>
        </w:tc>
      </w:tr>
      <w:tr>
        <w:trPr>
          <w:cantSplit/>
        </w:trPr>
        <w:tc>
          <w:tcPr>
            <w:tcW w:type="dxa" w:w="4680"/>
            <w:tcMar>
              <w:top w:w="80" w:type="dxa"/>
              <w:start w:w="120" w:type="dxa"/>
              <w:bottom w:w="80" w:type="dxa"/>
              <w:end w:w="120" w:type="dxa"/>
            </w:tcMar>
            <w:vAlign w:val="top"/>
          </w:tcPr>
          <w:p>
            <w:pPr>
              <w:spacing w:after="0"/>
            </w:pPr>
            <w:r>
              <w:rPr>
                <w:sz w:val="17"/>
              </w:rPr>
              <w:t>Publish ideas only after activity-specific risk and permission review</w:t>
            </w:r>
          </w:p>
        </w:tc>
        <w:tc>
          <w:tcPr>
            <w:tcW w:type="dxa" w:w="4680"/>
            <w:tcMar>
              <w:top w:w="80" w:type="dxa"/>
              <w:start w:w="120" w:type="dxa"/>
              <w:bottom w:w="80" w:type="dxa"/>
              <w:end w:w="120" w:type="dxa"/>
            </w:tcMar>
            <w:vAlign w:val="top"/>
          </w:tcPr>
          <w:p>
            <w:pPr>
              <w:spacing w:after="0"/>
            </w:pPr>
            <w:r>
              <w:rPr>
                <w:sz w:val="17"/>
              </w:rPr>
              <w:t>Informal waste collection, unlicensed SIM resale, unsafe personal services or city work without mandate/PPE</w:t>
            </w:r>
          </w:p>
        </w:tc>
      </w:tr>
      <w:tr>
        <w:trPr>
          <w:cantSplit/>
        </w:trPr>
        <w:tc>
          <w:tcPr>
            <w:tcW w:type="dxa" w:w="4680"/>
            <w:tcMar>
              <w:top w:w="80" w:type="dxa"/>
              <w:start w:w="120" w:type="dxa"/>
              <w:bottom w:w="80" w:type="dxa"/>
              <w:end w:w="120" w:type="dxa"/>
            </w:tcMar>
            <w:vAlign w:val="top"/>
          </w:tcPr>
          <w:p>
            <w:pPr>
              <w:spacing w:after="0"/>
            </w:pPr>
            <w:r>
              <w:rPr>
                <w:sz w:val="17"/>
              </w:rPr>
              <w:t>Clear complaints route and rapid takedown</w:t>
            </w:r>
          </w:p>
        </w:tc>
        <w:tc>
          <w:tcPr>
            <w:tcW w:type="dxa" w:w="4680"/>
            <w:tcMar>
              <w:top w:w="80" w:type="dxa"/>
              <w:start w:w="120" w:type="dxa"/>
              <w:bottom w:w="80" w:type="dxa"/>
              <w:end w:w="120" w:type="dxa"/>
            </w:tcMar>
            <w:vAlign w:val="top"/>
          </w:tcPr>
          <w:p>
            <w:pPr>
              <w:spacing w:after="0"/>
            </w:pPr>
            <w:r>
              <w:rPr>
                <w:sz w:val="17"/>
              </w:rPr>
              <w:t>Publishing sensitive camp locations, names, legal cases, minors' identities or crossing facilitation</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DEBEC"/>
          </w:tcPr>
          <w:p>
            <w:pPr>
              <w:spacing w:after="40"/>
            </w:pPr>
            <w:r>
              <w:rPr>
                <w:b/>
                <w:color w:val="0B2545"/>
              </w:rPr>
              <w:t>Referral redesign</w:t>
              <w:br/>
            </w:r>
            <w:r>
              <w:rPr>
                <w:sz w:val="19"/>
              </w:rPr>
              <w:t>The requested comparison to a violent racist organisation remains rejected. No secrecy, ideological pressure, hierarchy, intimidation, multi-level rewards or recruitment of vulnerable people will be used. The replacement is a transparent civic-introduction loop in which residents introduce one business or service provider. A referral may redirect an optional fixed share to an attested charity, but never to the resident and never based on refugee sign-ups.</w:t>
            </w:r>
          </w:p>
        </w:tc>
      </w:tr>
    </w:tbl>
    <w:p>
      <w:pPr>
        <w:pStyle w:val="TableSource"/>
      </w:pPr>
    </w:p>
    <w:p>
      <w:pPr>
        <w:pStyle w:val="Heading1"/>
      </w:pPr>
      <w:r>
        <w:t>4. Civic introduction loop</w:t>
      </w:r>
    </w:p>
    <w:p>
      <w:pPr>
        <w:pStyle w:val="Heading2"/>
      </w:pPr>
      <w:r>
        <w:t>4.1 Mechanics</w:t>
      </w:r>
    </w:p>
    <w:p>
      <w:pPr>
        <w:pStyle w:val="ListNumber"/>
      </w:pPr>
      <w:r>
        <w:t>A resident receives a public introduction link or printable card with a random source code that identifies the campaign, not any refugee.</w:t>
      </w:r>
    </w:p>
    <w:p>
      <w:pPr>
        <w:pStyle w:val="ListNumber"/>
      </w:pPr>
      <w:r>
        <w:t>They introduce a local business, association or verified activity organiser by email or in person.</w:t>
      </w:r>
    </w:p>
    <w:p>
      <w:pPr>
        <w:pStyle w:val="ListNumber"/>
      </w:pPr>
      <w:r>
        <w:t>The prospect sees the sponsor offer, safeguarding rules, profit pledge and public ledger before agreeing.</w:t>
      </w:r>
    </w:p>
    <w:p>
      <w:pPr>
        <w:pStyle w:val="ListNumber"/>
      </w:pPr>
      <w:r>
        <w:t>A completed introduction is counted only after the prospect consents to contact; no personal data is scraped. A sponsor may select a charity associated with the campaign.</w:t>
      </w:r>
    </w:p>
    <w:p>
      <w:pPr>
        <w:pStyle w:val="ListNumber"/>
      </w:pPr>
      <w:r>
        <w:t>Ambassadors receive public thanks or a non-financial badge. No personal commissions, levels, downlines or prizes based on beneficiary activity.</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top"/>
          </w:tcPr>
          <w:p>
            <w:pPr>
              <w:spacing w:after="0"/>
            </w:pPr>
            <w:r>
              <w:rPr>
                <w:b/>
                <w:color w:val="0B2545"/>
                <w:sz w:val="18"/>
              </w:rPr>
              <w:t>Control</w:t>
            </w:r>
          </w:p>
        </w:tc>
        <w:tc>
          <w:tcPr>
            <w:tcW w:type="dxa" w:w="6860"/>
            <w:shd w:fill="E8EEF5"/>
            <w:tcMar>
              <w:top w:w="80" w:type="dxa"/>
              <w:start w:w="120" w:type="dxa"/>
              <w:bottom w:w="80" w:type="dxa"/>
              <w:end w:w="120" w:type="dxa"/>
            </w:tcMar>
            <w:vAlign w:val="top"/>
          </w:tcPr>
          <w:p>
            <w:pPr>
              <w:spacing w:after="0"/>
            </w:pPr>
            <w:r>
              <w:rPr>
                <w:b/>
                <w:color w:val="0B2545"/>
                <w:sz w:val="18"/>
              </w:rPr>
              <w:t>Acceptance test</w:t>
            </w:r>
          </w:p>
        </w:tc>
      </w:tr>
      <w:tr>
        <w:trPr>
          <w:cantSplit/>
        </w:trPr>
        <w:tc>
          <w:tcPr>
            <w:tcW w:type="dxa" w:w="2500"/>
            <w:tcMar>
              <w:top w:w="80" w:type="dxa"/>
              <w:start w:w="120" w:type="dxa"/>
              <w:bottom w:w="80" w:type="dxa"/>
              <w:end w:w="120" w:type="dxa"/>
            </w:tcMar>
            <w:vAlign w:val="top"/>
          </w:tcPr>
          <w:p>
            <w:pPr>
              <w:spacing w:after="0"/>
            </w:pPr>
            <w:r>
              <w:rPr>
                <w:sz w:val="17"/>
              </w:rPr>
              <w:t>Consent</w:t>
            </w:r>
          </w:p>
        </w:tc>
        <w:tc>
          <w:tcPr>
            <w:tcW w:type="dxa" w:w="6860"/>
            <w:tcMar>
              <w:top w:w="80" w:type="dxa"/>
              <w:start w:w="120" w:type="dxa"/>
              <w:bottom w:w="80" w:type="dxa"/>
              <w:end w:w="120" w:type="dxa"/>
            </w:tcMar>
            <w:vAlign w:val="top"/>
          </w:tcPr>
          <w:p>
            <w:pPr>
              <w:spacing w:after="0"/>
            </w:pPr>
            <w:r>
              <w:rPr>
                <w:sz w:val="17"/>
              </w:rPr>
              <w:t>Prospect explicitly opts in before sales follow-up</w:t>
            </w:r>
          </w:p>
        </w:tc>
      </w:tr>
      <w:tr>
        <w:trPr>
          <w:cantSplit/>
        </w:trPr>
        <w:tc>
          <w:tcPr>
            <w:tcW w:type="dxa" w:w="2500"/>
            <w:tcMar>
              <w:top w:w="80" w:type="dxa"/>
              <w:start w:w="120" w:type="dxa"/>
              <w:bottom w:w="80" w:type="dxa"/>
              <w:end w:w="120" w:type="dxa"/>
            </w:tcMar>
            <w:vAlign w:val="top"/>
          </w:tcPr>
          <w:p>
            <w:pPr>
              <w:spacing w:after="0"/>
            </w:pPr>
            <w:r>
              <w:rPr>
                <w:sz w:val="17"/>
              </w:rPr>
              <w:t>No beneficiary tracking</w:t>
            </w:r>
          </w:p>
        </w:tc>
        <w:tc>
          <w:tcPr>
            <w:tcW w:type="dxa" w:w="6860"/>
            <w:tcMar>
              <w:top w:w="80" w:type="dxa"/>
              <w:start w:w="120" w:type="dxa"/>
              <w:bottom w:w="80" w:type="dxa"/>
              <w:end w:w="120" w:type="dxa"/>
            </w:tcMar>
            <w:vAlign w:val="top"/>
          </w:tcPr>
          <w:p>
            <w:pPr>
              <w:spacing w:after="0"/>
            </w:pPr>
            <w:r>
              <w:rPr>
                <w:sz w:val="17"/>
              </w:rPr>
              <w:t>Referral code never appears in public-service clicks or beneficiary analytics</w:t>
            </w:r>
          </w:p>
        </w:tc>
      </w:tr>
      <w:tr>
        <w:trPr>
          <w:cantSplit/>
        </w:trPr>
        <w:tc>
          <w:tcPr>
            <w:tcW w:type="dxa" w:w="2500"/>
            <w:tcMar>
              <w:top w:w="80" w:type="dxa"/>
              <w:start w:w="120" w:type="dxa"/>
              <w:bottom w:w="80" w:type="dxa"/>
              <w:end w:w="120" w:type="dxa"/>
            </w:tcMar>
            <w:vAlign w:val="top"/>
          </w:tcPr>
          <w:p>
            <w:pPr>
              <w:spacing w:after="0"/>
            </w:pPr>
            <w:r>
              <w:rPr>
                <w:sz w:val="17"/>
              </w:rPr>
              <w:t>Anti-spam</w:t>
            </w:r>
          </w:p>
        </w:tc>
        <w:tc>
          <w:tcPr>
            <w:tcW w:type="dxa" w:w="6860"/>
            <w:tcMar>
              <w:top w:w="80" w:type="dxa"/>
              <w:start w:w="120" w:type="dxa"/>
              <w:bottom w:w="80" w:type="dxa"/>
              <w:end w:w="120" w:type="dxa"/>
            </w:tcMar>
            <w:vAlign w:val="top"/>
          </w:tcPr>
          <w:p>
            <w:pPr>
              <w:spacing w:after="0"/>
            </w:pPr>
            <w:r>
              <w:rPr>
                <w:sz w:val="17"/>
              </w:rPr>
              <w:t>One contact plus one follow-up; unsubscribe/suppression respected</w:t>
            </w:r>
          </w:p>
        </w:tc>
      </w:tr>
      <w:tr>
        <w:trPr>
          <w:cantSplit/>
        </w:trPr>
        <w:tc>
          <w:tcPr>
            <w:tcW w:type="dxa" w:w="2500"/>
            <w:tcMar>
              <w:top w:w="80" w:type="dxa"/>
              <w:start w:w="120" w:type="dxa"/>
              <w:bottom w:w="80" w:type="dxa"/>
              <w:end w:w="120" w:type="dxa"/>
            </w:tcMar>
            <w:vAlign w:val="top"/>
          </w:tcPr>
          <w:p>
            <w:pPr>
              <w:spacing w:after="0"/>
            </w:pPr>
            <w:r>
              <w:rPr>
                <w:sz w:val="17"/>
              </w:rPr>
              <w:t>Transparency</w:t>
            </w:r>
          </w:p>
        </w:tc>
        <w:tc>
          <w:tcPr>
            <w:tcW w:type="dxa" w:w="6860"/>
            <w:tcMar>
              <w:top w:w="80" w:type="dxa"/>
              <w:start w:w="120" w:type="dxa"/>
              <w:bottom w:w="80" w:type="dxa"/>
              <w:end w:w="120" w:type="dxa"/>
            </w:tcMar>
            <w:vAlign w:val="top"/>
          </w:tcPr>
          <w:p>
            <w:pPr>
              <w:spacing w:after="0"/>
            </w:pPr>
            <w:r>
              <w:rPr>
                <w:sz w:val="17"/>
              </w:rPr>
              <w:t>Public rules state there is no personal financial reward and no affiliation requirement</w:t>
            </w:r>
          </w:p>
        </w:tc>
      </w:tr>
      <w:tr>
        <w:trPr>
          <w:cantSplit/>
        </w:trPr>
        <w:tc>
          <w:tcPr>
            <w:tcW w:type="dxa" w:w="2500"/>
            <w:tcMar>
              <w:top w:w="80" w:type="dxa"/>
              <w:start w:w="120" w:type="dxa"/>
              <w:bottom w:w="80" w:type="dxa"/>
              <w:end w:w="120" w:type="dxa"/>
            </w:tcMar>
            <w:vAlign w:val="top"/>
          </w:tcPr>
          <w:p>
            <w:pPr>
              <w:spacing w:after="0"/>
            </w:pPr>
            <w:r>
              <w:rPr>
                <w:sz w:val="17"/>
              </w:rPr>
              <w:t>Abuse response</w:t>
            </w:r>
          </w:p>
        </w:tc>
        <w:tc>
          <w:tcPr>
            <w:tcW w:type="dxa" w:w="6860"/>
            <w:tcMar>
              <w:top w:w="80" w:type="dxa"/>
              <w:start w:w="120" w:type="dxa"/>
              <w:bottom w:w="80" w:type="dxa"/>
              <w:end w:w="120" w:type="dxa"/>
            </w:tcMar>
            <w:vAlign w:val="top"/>
          </w:tcPr>
          <w:p>
            <w:pPr>
              <w:spacing w:after="0"/>
            </w:pPr>
            <w:r>
              <w:rPr>
                <w:sz w:val="17"/>
              </w:rPr>
              <w:t>Admin can revoke source codes and purge prospect contact data</w:t>
            </w:r>
          </w:p>
        </w:tc>
      </w:tr>
    </w:tbl>
    <w:p>
      <w:pPr>
        <w:pStyle w:val="TableSource"/>
      </w:pPr>
    </w:p>
    <w:p>
      <w:pPr>
        <w:pStyle w:val="Heading1"/>
      </w:pPr>
      <w:r>
        <w:t>5. Refugee onboarding</w:t>
      </w:r>
    </w:p>
    <w:p>
      <w:pPr>
        <w:pStyle w:val="ListBullet"/>
      </w:pPr>
      <w:r>
        <w:t>Entry points: short URL, QR card, poster at a partner venue and assisted demonstration by trained staff/volunteers.</w:t>
      </w:r>
    </w:p>
    <w:p>
      <w:pPr>
        <w:pStyle w:val="ListBullet"/>
      </w:pPr>
      <w:r>
        <w:t>Default languages for day 14: French, English and Arabic. Add Tigrinya, Kurdish Sorani, Farsi, Pashto and Amharic only after a competent reviewer approves translations.</w:t>
      </w:r>
    </w:p>
    <w:p>
      <w:pPr>
        <w:pStyle w:val="ListBullet"/>
      </w:pPr>
      <w:r>
        <w:t>No registration. Language preference remains on the device. No cookies except strictly necessary settings; no ad-tech, fingerprinting or third-party analytics.</w:t>
      </w:r>
    </w:p>
    <w:p>
      <w:pPr>
        <w:pStyle w:val="ListBullet"/>
      </w:pPr>
      <w:r>
        <w:t>Emergency numbers and medical/emergency accommodation routes appear first. The interface warns that schedules change and shows a prominent last-verified date.</w:t>
      </w:r>
    </w:p>
    <w:p>
      <w:pPr>
        <w:pStyle w:val="ListBullet"/>
      </w:pPr>
      <w:r>
        <w:t>A user can report an error without giving a name. Free-text submissions are reviewed, stripped of personal details and deleted after resolution.</w:t>
      </w:r>
    </w:p>
    <w:p>
      <w:pPr>
        <w:pStyle w:val="ListBullet"/>
      </w:pPr>
      <w:r>
        <w:t>Feedback sessions provide food/transport only through a partner and are not disguised work. Any translation, moderation or development work requires a lawful employment/contracting basis and a work-rights check.</w:t>
      </w: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FF3CD"/>
          </w:tcPr>
          <w:p>
            <w:pPr>
              <w:spacing w:after="40"/>
            </w:pPr>
            <w:r>
              <w:rPr>
                <w:b/>
                <w:color w:val="0B2545"/>
              </w:rPr>
              <w:t>Work-rights gate</w:t>
              <w:br/>
            </w:r>
            <w:r>
              <w:rPr>
                <w:sz w:val="19"/>
              </w:rPr>
              <w:t>Current French public guidance says an asylum applicant cannot obtain permission to work during the first six months after OFPRA registration; later access is conditional and employer-led. Statuses differ. The product must never infer entitlement or offer gig work. A qualified association or employer checks documents for each engagement.</w:t>
            </w:r>
          </w:p>
        </w:tc>
      </w:tr>
    </w:tbl>
    <w:p>
      <w:pPr>
        <w:pStyle w:val="TableSource"/>
      </w:pPr>
    </w:p>
    <w:p>
      <w:pPr>
        <w:pStyle w:val="Heading1"/>
      </w:pPr>
      <w:r>
        <w:t>6. Fourteen-day launch plan</w:t>
      </w:r>
    </w:p>
    <w:tbl>
      <w:tblPr>
        <w:tblStyle w:val="TableGrid"/>
        <w:tblW w:type="dxa" w:w="9360"/>
        <w:jc w:val="center"/>
        <w:tblLayout w:type="fixed"/>
        <w:tblLook w:firstColumn="1" w:firstRow="1" w:lastColumn="0" w:lastRow="0" w:noHBand="0" w:noVBand="1" w:val="04A0"/>
        <w:tblInd w:w="120" w:type="dxa"/>
      </w:tblPr>
      <w:tblGrid>
        <w:gridCol w:w="500"/>
        <w:gridCol w:w="3300"/>
        <w:gridCol w:w="2950"/>
        <w:gridCol w:w="2610"/>
      </w:tblGrid>
      <w:tr>
        <w:trPr>
          <w:tblHeader w:val="true"/>
          <w:cantSplit/>
        </w:trPr>
        <w:tc>
          <w:tcPr>
            <w:tcW w:type="dxa" w:w="500"/>
            <w:shd w:fill="E8EEF5"/>
            <w:tcMar>
              <w:top w:w="80" w:type="dxa"/>
              <w:start w:w="120" w:type="dxa"/>
              <w:bottom w:w="80" w:type="dxa"/>
              <w:end w:w="120" w:type="dxa"/>
            </w:tcMar>
            <w:vAlign w:val="top"/>
          </w:tcPr>
          <w:p>
            <w:pPr>
              <w:spacing w:after="0"/>
            </w:pPr>
            <w:r>
              <w:rPr>
                <w:b/>
                <w:color w:val="0B2545"/>
                <w:sz w:val="17"/>
              </w:rPr>
              <w:t>Day</w:t>
            </w:r>
          </w:p>
        </w:tc>
        <w:tc>
          <w:tcPr>
            <w:tcW w:type="dxa" w:w="3300"/>
            <w:shd w:fill="E8EEF5"/>
            <w:tcMar>
              <w:top w:w="80" w:type="dxa"/>
              <w:start w:w="120" w:type="dxa"/>
              <w:bottom w:w="80" w:type="dxa"/>
              <w:end w:w="120" w:type="dxa"/>
            </w:tcMar>
            <w:vAlign w:val="top"/>
          </w:tcPr>
          <w:p>
            <w:pPr>
              <w:spacing w:after="0"/>
            </w:pPr>
            <w:r>
              <w:rPr>
                <w:b/>
                <w:color w:val="0B2545"/>
                <w:sz w:val="17"/>
              </w:rPr>
              <w:t>Build / operations</w:t>
            </w:r>
          </w:p>
        </w:tc>
        <w:tc>
          <w:tcPr>
            <w:tcW w:type="dxa" w:w="2950"/>
            <w:shd w:fill="E8EEF5"/>
            <w:tcMar>
              <w:top w:w="80" w:type="dxa"/>
              <w:start w:w="120" w:type="dxa"/>
              <w:bottom w:w="80" w:type="dxa"/>
              <w:end w:w="120" w:type="dxa"/>
            </w:tcMar>
            <w:vAlign w:val="top"/>
          </w:tcPr>
          <w:p>
            <w:pPr>
              <w:spacing w:after="0"/>
            </w:pPr>
            <w:r>
              <w:rPr>
                <w:b/>
                <w:color w:val="0B2545"/>
                <w:sz w:val="17"/>
              </w:rPr>
              <w:t>Commercial proof</w:t>
            </w:r>
          </w:p>
        </w:tc>
        <w:tc>
          <w:tcPr>
            <w:tcW w:type="dxa" w:w="2610"/>
            <w:shd w:fill="E8EEF5"/>
            <w:tcMar>
              <w:top w:w="80" w:type="dxa"/>
              <w:start w:w="120" w:type="dxa"/>
              <w:bottom w:w="80" w:type="dxa"/>
              <w:end w:w="120" w:type="dxa"/>
            </w:tcMar>
            <w:vAlign w:val="top"/>
          </w:tcPr>
          <w:p>
            <w:pPr>
              <w:spacing w:after="0"/>
            </w:pPr>
            <w:r>
              <w:rPr>
                <w:b/>
                <w:color w:val="0B2545"/>
                <w:sz w:val="17"/>
              </w:rPr>
              <w:t>Gate</w:t>
            </w:r>
          </w:p>
        </w:tc>
      </w:tr>
      <w:tr>
        <w:trPr>
          <w:cantSplit/>
        </w:trPr>
        <w:tc>
          <w:tcPr>
            <w:tcW w:type="dxa" w:w="500"/>
            <w:tcMar>
              <w:top w:w="80" w:type="dxa"/>
              <w:start w:w="120" w:type="dxa"/>
              <w:bottom w:w="80" w:type="dxa"/>
              <w:end w:w="120" w:type="dxa"/>
            </w:tcMar>
            <w:vAlign w:val="top"/>
          </w:tcPr>
          <w:p>
            <w:pPr>
              <w:spacing w:after="0"/>
            </w:pPr>
            <w:r>
              <w:rPr>
                <w:sz w:val="16"/>
              </w:rPr>
              <w:t>1</w:t>
            </w:r>
          </w:p>
        </w:tc>
        <w:tc>
          <w:tcPr>
            <w:tcW w:type="dxa" w:w="3300"/>
            <w:tcMar>
              <w:top w:w="80" w:type="dxa"/>
              <w:start w:w="120" w:type="dxa"/>
              <w:bottom w:w="80" w:type="dxa"/>
              <w:end w:w="120" w:type="dxa"/>
            </w:tcMar>
            <w:vAlign w:val="top"/>
          </w:tcPr>
          <w:p>
            <w:pPr>
              <w:spacing w:after="0"/>
            </w:pPr>
            <w:r>
              <w:rPr>
                <w:sz w:val="16"/>
              </w:rPr>
              <w:t>Freeze mission, threat model and public adminWallet address placeholder; convert brief to task board</w:t>
            </w:r>
          </w:p>
        </w:tc>
        <w:tc>
          <w:tcPr>
            <w:tcW w:type="dxa" w:w="2950"/>
            <w:tcMar>
              <w:top w:w="80" w:type="dxa"/>
              <w:start w:w="120" w:type="dxa"/>
              <w:bottom w:w="80" w:type="dxa"/>
              <w:end w:w="120" w:type="dxa"/>
            </w:tcMar>
            <w:vAlign w:val="top"/>
          </w:tcPr>
          <w:p>
            <w:pPr>
              <w:spacing w:after="0"/>
            </w:pPr>
            <w:r>
              <w:rPr>
                <w:sz w:val="16"/>
              </w:rPr>
              <w:t>Define Founding-12 offer, funded-result menu and 50-prospect list</w:t>
            </w:r>
          </w:p>
        </w:tc>
        <w:tc>
          <w:tcPr>
            <w:tcW w:type="dxa" w:w="2610"/>
            <w:tcMar>
              <w:top w:w="80" w:type="dxa"/>
              <w:start w:w="120" w:type="dxa"/>
              <w:bottom w:w="80" w:type="dxa"/>
              <w:end w:w="120" w:type="dxa"/>
            </w:tcMar>
            <w:vAlign w:val="top"/>
          </w:tcPr>
          <w:p>
            <w:pPr>
              <w:spacing w:after="0"/>
            </w:pPr>
            <w:r>
              <w:rPr>
                <w:sz w:val="16"/>
              </w:rPr>
              <w:t>Never request a private key</w:t>
            </w:r>
          </w:p>
        </w:tc>
      </w:tr>
      <w:tr>
        <w:trPr>
          <w:cantSplit/>
        </w:trPr>
        <w:tc>
          <w:tcPr>
            <w:tcW w:type="dxa" w:w="500"/>
            <w:tcMar>
              <w:top w:w="80" w:type="dxa"/>
              <w:start w:w="120" w:type="dxa"/>
              <w:bottom w:w="80" w:type="dxa"/>
              <w:end w:w="120" w:type="dxa"/>
            </w:tcMar>
            <w:vAlign w:val="top"/>
          </w:tcPr>
          <w:p>
            <w:pPr>
              <w:spacing w:after="0"/>
            </w:pPr>
            <w:r>
              <w:rPr>
                <w:sz w:val="16"/>
              </w:rPr>
              <w:t>2</w:t>
            </w:r>
          </w:p>
        </w:tc>
        <w:tc>
          <w:tcPr>
            <w:tcW w:type="dxa" w:w="3300"/>
            <w:tcMar>
              <w:top w:w="80" w:type="dxa"/>
              <w:start w:w="120" w:type="dxa"/>
              <w:bottom w:w="80" w:type="dxa"/>
              <w:end w:w="120" w:type="dxa"/>
            </w:tcMar>
            <w:vAlign w:val="top"/>
          </w:tcPr>
          <w:p>
            <w:pPr>
              <w:spacing w:after="0"/>
            </w:pPr>
            <w:r>
              <w:rPr>
                <w:sz w:val="16"/>
              </w:rPr>
              <w:t>Specify router and select hosted-card/SEPA providers with no fixed pre-revenue fee</w:t>
            </w:r>
          </w:p>
        </w:tc>
        <w:tc>
          <w:tcPr>
            <w:tcW w:type="dxa" w:w="2950"/>
            <w:tcMar>
              <w:top w:w="80" w:type="dxa"/>
              <w:start w:w="120" w:type="dxa"/>
              <w:bottom w:w="80" w:type="dxa"/>
              <w:end w:w="120" w:type="dxa"/>
            </w:tcMar>
            <w:vAlign w:val="top"/>
          </w:tcPr>
          <w:p>
            <w:pPr>
              <w:spacing w:after="0"/>
            </w:pPr>
            <w:r>
              <w:rPr>
                <w:sz w:val="16"/>
              </w:rPr>
              <w:t>Interview five Calais businesses and five web3/public-goods buyers</w:t>
            </w:r>
          </w:p>
        </w:tc>
        <w:tc>
          <w:tcPr>
            <w:tcW w:type="dxa" w:w="2610"/>
            <w:tcMar>
              <w:top w:w="80" w:type="dxa"/>
              <w:start w:w="120" w:type="dxa"/>
              <w:bottom w:w="80" w:type="dxa"/>
              <w:end w:w="120" w:type="dxa"/>
            </w:tcMar>
            <w:vAlign w:val="top"/>
          </w:tcPr>
          <w:p>
            <w:pPr>
              <w:spacing w:after="0"/>
            </w:pPr>
            <w:r>
              <w:rPr>
                <w:sz w:val="16"/>
              </w:rPr>
              <w:t>Legal/accounting owner named</w:t>
            </w:r>
          </w:p>
        </w:tc>
      </w:tr>
      <w:tr>
        <w:trPr>
          <w:cantSplit/>
        </w:trPr>
        <w:tc>
          <w:tcPr>
            <w:tcW w:type="dxa" w:w="500"/>
            <w:tcMar>
              <w:top w:w="80" w:type="dxa"/>
              <w:start w:w="120" w:type="dxa"/>
              <w:bottom w:w="80" w:type="dxa"/>
              <w:end w:w="120" w:type="dxa"/>
            </w:tcMar>
            <w:vAlign w:val="top"/>
          </w:tcPr>
          <w:p>
            <w:pPr>
              <w:spacing w:after="0"/>
            </w:pPr>
            <w:r>
              <w:rPr>
                <w:sz w:val="16"/>
              </w:rPr>
              <w:t>3</w:t>
            </w:r>
          </w:p>
        </w:tc>
        <w:tc>
          <w:tcPr>
            <w:tcW w:type="dxa" w:w="3300"/>
            <w:tcMar>
              <w:top w:w="80" w:type="dxa"/>
              <w:start w:w="120" w:type="dxa"/>
              <w:bottom w:w="80" w:type="dxa"/>
              <w:end w:w="120" w:type="dxa"/>
            </w:tcMar>
            <w:vAlign w:val="top"/>
          </w:tcPr>
          <w:p>
            <w:pPr>
              <w:spacing w:after="0"/>
            </w:pPr>
            <w:r>
              <w:rPr>
                <w:sz w:val="16"/>
              </w:rPr>
              <w:t>Implement contract, events, custom errors, property tests and reentrancy protection</w:t>
            </w:r>
          </w:p>
        </w:tc>
        <w:tc>
          <w:tcPr>
            <w:tcW w:type="dxa" w:w="2950"/>
            <w:tcMar>
              <w:top w:w="80" w:type="dxa"/>
              <w:start w:w="120" w:type="dxa"/>
              <w:bottom w:w="80" w:type="dxa"/>
              <w:end w:w="120" w:type="dxa"/>
            </w:tcMar>
            <w:vAlign w:val="top"/>
          </w:tcPr>
          <w:p>
            <w:pPr>
              <w:spacing w:after="0"/>
            </w:pPr>
            <w:r>
              <w:rPr>
                <w:sz w:val="16"/>
              </w:rPr>
              <w:t>Start 10/day personalised outreach with 90-second offer</w:t>
            </w:r>
          </w:p>
        </w:tc>
        <w:tc>
          <w:tcPr>
            <w:tcW w:type="dxa" w:w="2610"/>
            <w:tcMar>
              <w:top w:w="80" w:type="dxa"/>
              <w:start w:w="120" w:type="dxa"/>
              <w:bottom w:w="80" w:type="dxa"/>
              <w:end w:w="120" w:type="dxa"/>
            </w:tcMar>
            <w:vAlign w:val="top"/>
          </w:tcPr>
          <w:p>
            <w:pPr>
              <w:spacing w:after="0"/>
            </w:pPr>
            <w:r>
              <w:rPr>
                <w:sz w:val="16"/>
              </w:rPr>
              <w:t>All invariants green</w:t>
            </w:r>
          </w:p>
        </w:tc>
      </w:tr>
      <w:tr>
        <w:trPr>
          <w:cantSplit/>
        </w:trPr>
        <w:tc>
          <w:tcPr>
            <w:tcW w:type="dxa" w:w="500"/>
            <w:tcMar>
              <w:top w:w="80" w:type="dxa"/>
              <w:start w:w="120" w:type="dxa"/>
              <w:bottom w:w="80" w:type="dxa"/>
              <w:end w:w="120" w:type="dxa"/>
            </w:tcMar>
            <w:vAlign w:val="top"/>
          </w:tcPr>
          <w:p>
            <w:pPr>
              <w:spacing w:after="0"/>
            </w:pPr>
            <w:r>
              <w:rPr>
                <w:sz w:val="16"/>
              </w:rPr>
              <w:t>4</w:t>
            </w:r>
          </w:p>
        </w:tc>
        <w:tc>
          <w:tcPr>
            <w:tcW w:type="dxa" w:w="3300"/>
            <w:tcMar>
              <w:top w:w="80" w:type="dxa"/>
              <w:start w:w="120" w:type="dxa"/>
              <w:bottom w:w="80" w:type="dxa"/>
              <w:end w:w="120" w:type="dxa"/>
            </w:tcMar>
            <w:vAlign w:val="top"/>
          </w:tcPr>
          <w:p>
            <w:pPr>
              <w:spacing w:after="0"/>
            </w:pPr>
            <w:r>
              <w:rPr>
                <w:sz w:val="16"/>
              </w:rPr>
              <w:t>Build static mobile page and signed listing schema; import PDF as unverified draft</w:t>
            </w:r>
          </w:p>
        </w:tc>
        <w:tc>
          <w:tcPr>
            <w:tcW w:type="dxa" w:w="2950"/>
            <w:tcMar>
              <w:top w:w="80" w:type="dxa"/>
              <w:start w:w="120" w:type="dxa"/>
              <w:bottom w:w="80" w:type="dxa"/>
              <w:end w:w="120" w:type="dxa"/>
            </w:tcMar>
            <w:vAlign w:val="top"/>
          </w:tcPr>
          <w:p>
            <w:pPr>
              <w:spacing w:after="0"/>
            </w:pPr>
            <w:r>
              <w:rPr>
                <w:sz w:val="16"/>
              </w:rPr>
              <w:t>Share proof-page and evidence-pack previews</w:t>
            </w:r>
          </w:p>
        </w:tc>
        <w:tc>
          <w:tcPr>
            <w:tcW w:type="dxa" w:w="2610"/>
            <w:tcMar>
              <w:top w:w="80" w:type="dxa"/>
              <w:start w:w="120" w:type="dxa"/>
              <w:bottom w:w="80" w:type="dxa"/>
              <w:end w:w="120" w:type="dxa"/>
            </w:tcMar>
            <w:vAlign w:val="top"/>
          </w:tcPr>
          <w:p>
            <w:pPr>
              <w:spacing w:after="0"/>
            </w:pPr>
            <w:r>
              <w:rPr>
                <w:sz w:val="16"/>
              </w:rPr>
              <w:t>Privacy review</w:t>
            </w:r>
          </w:p>
        </w:tc>
      </w:tr>
      <w:tr>
        <w:trPr>
          <w:cantSplit/>
        </w:trPr>
        <w:tc>
          <w:tcPr>
            <w:tcW w:type="dxa" w:w="500"/>
            <w:tcMar>
              <w:top w:w="80" w:type="dxa"/>
              <w:start w:w="120" w:type="dxa"/>
              <w:bottom w:w="80" w:type="dxa"/>
              <w:end w:w="120" w:type="dxa"/>
            </w:tcMar>
            <w:vAlign w:val="top"/>
          </w:tcPr>
          <w:p>
            <w:pPr>
              <w:spacing w:after="0"/>
            </w:pPr>
            <w:r>
              <w:rPr>
                <w:sz w:val="16"/>
              </w:rPr>
              <w:t>5</w:t>
            </w:r>
          </w:p>
        </w:tc>
        <w:tc>
          <w:tcPr>
            <w:tcW w:type="dxa" w:w="3300"/>
            <w:tcMar>
              <w:top w:w="80" w:type="dxa"/>
              <w:start w:w="120" w:type="dxa"/>
              <w:bottom w:w="80" w:type="dxa"/>
              <w:end w:w="120" w:type="dxa"/>
            </w:tcMar>
            <w:vAlign w:val="top"/>
          </w:tcPr>
          <w:p>
            <w:pPr>
              <w:spacing w:after="0"/>
            </w:pPr>
            <w:r>
              <w:rPr>
                <w:sz w:val="16"/>
              </w:rPr>
              <w:t>Add content hashes, verifier signatures, expiry logic and independent mirrors</w:t>
            </w:r>
          </w:p>
        </w:tc>
        <w:tc>
          <w:tcPr>
            <w:tcW w:type="dxa" w:w="2950"/>
            <w:tcMar>
              <w:top w:w="80" w:type="dxa"/>
              <w:start w:w="120" w:type="dxa"/>
              <w:bottom w:w="80" w:type="dxa"/>
              <w:end w:w="120" w:type="dxa"/>
            </w:tcMar>
            <w:vAlign w:val="top"/>
          </w:tcPr>
          <w:p>
            <w:pPr>
              <w:spacing w:after="0"/>
            </w:pPr>
            <w:r>
              <w:rPr>
                <w:sz w:val="16"/>
              </w:rPr>
              <w:t>Ask for two conditional commitments against named funded results</w:t>
            </w:r>
          </w:p>
        </w:tc>
        <w:tc>
          <w:tcPr>
            <w:tcW w:type="dxa" w:w="2610"/>
            <w:tcMar>
              <w:top w:w="80" w:type="dxa"/>
              <w:start w:w="120" w:type="dxa"/>
              <w:bottom w:w="80" w:type="dxa"/>
              <w:end w:w="120" w:type="dxa"/>
            </w:tcMar>
            <w:vAlign w:val="top"/>
          </w:tcPr>
          <w:p>
            <w:pPr>
              <w:spacing w:after="0"/>
            </w:pPr>
            <w:r>
              <w:rPr>
                <w:sz w:val="16"/>
              </w:rPr>
              <w:t>Emergency UX review</w:t>
            </w:r>
          </w:p>
        </w:tc>
      </w:tr>
      <w:tr>
        <w:trPr>
          <w:cantSplit/>
        </w:trPr>
        <w:tc>
          <w:tcPr>
            <w:tcW w:type="dxa" w:w="500"/>
            <w:tcMar>
              <w:top w:w="80" w:type="dxa"/>
              <w:start w:w="120" w:type="dxa"/>
              <w:bottom w:w="80" w:type="dxa"/>
              <w:end w:w="120" w:type="dxa"/>
            </w:tcMar>
            <w:vAlign w:val="top"/>
          </w:tcPr>
          <w:p>
            <w:pPr>
              <w:spacing w:after="0"/>
            </w:pPr>
            <w:r>
              <w:rPr>
                <w:sz w:val="16"/>
              </w:rPr>
              <w:t>6</w:t>
            </w:r>
          </w:p>
        </w:tc>
        <w:tc>
          <w:tcPr>
            <w:tcW w:type="dxa" w:w="3300"/>
            <w:tcMar>
              <w:top w:w="80" w:type="dxa"/>
              <w:start w:w="120" w:type="dxa"/>
              <w:bottom w:w="80" w:type="dxa"/>
              <w:end w:w="120" w:type="dxa"/>
            </w:tcMar>
            <w:vAlign w:val="top"/>
          </w:tcPr>
          <w:p>
            <w:pPr>
              <w:spacing w:after="0"/>
            </w:pPr>
            <w:r>
              <w:rPr>
                <w:sz w:val="16"/>
              </w:rPr>
              <w:t>French/English review; Arabic review arranged; correction flow and Activity Idea Lab prototype</w:t>
            </w:r>
          </w:p>
        </w:tc>
        <w:tc>
          <w:tcPr>
            <w:tcW w:type="dxa" w:w="2950"/>
            <w:tcMar>
              <w:top w:w="80" w:type="dxa"/>
              <w:start w:w="120" w:type="dxa"/>
              <w:bottom w:w="80" w:type="dxa"/>
              <w:end w:w="120" w:type="dxa"/>
            </w:tcMar>
            <w:vAlign w:val="top"/>
          </w:tcPr>
          <w:p>
            <w:pPr>
              <w:spacing w:after="0"/>
            </w:pPr>
            <w:r>
              <w:rPr>
                <w:sz w:val="16"/>
              </w:rPr>
              <w:t>Secure first attested charity wallet, listing verifiers and activity-triage operator</w:t>
            </w:r>
          </w:p>
        </w:tc>
        <w:tc>
          <w:tcPr>
            <w:tcW w:type="dxa" w:w="2610"/>
            <w:tcMar>
              <w:top w:w="80" w:type="dxa"/>
              <w:start w:w="120" w:type="dxa"/>
              <w:bottom w:w="80" w:type="dxa"/>
              <w:end w:w="120" w:type="dxa"/>
            </w:tcMar>
            <w:vAlign w:val="top"/>
          </w:tcPr>
          <w:p>
            <w:pPr>
              <w:spacing w:after="0"/>
            </w:pPr>
            <w:r>
              <w:rPr>
                <w:sz w:val="16"/>
              </w:rPr>
              <w:t>Wallet ownership; no paid activity live</w:t>
            </w:r>
          </w:p>
        </w:tc>
      </w:tr>
      <w:tr>
        <w:trPr>
          <w:cantSplit/>
        </w:trPr>
        <w:tc>
          <w:tcPr>
            <w:tcW w:type="dxa" w:w="500"/>
            <w:tcMar>
              <w:top w:w="80" w:type="dxa"/>
              <w:start w:w="120" w:type="dxa"/>
              <w:bottom w:w="80" w:type="dxa"/>
              <w:end w:w="120" w:type="dxa"/>
            </w:tcMar>
            <w:vAlign w:val="top"/>
          </w:tcPr>
          <w:p>
            <w:pPr>
              <w:spacing w:after="0"/>
            </w:pPr>
            <w:r>
              <w:rPr>
                <w:sz w:val="16"/>
              </w:rPr>
              <w:t>7</w:t>
            </w:r>
          </w:p>
        </w:tc>
        <w:tc>
          <w:tcPr>
            <w:tcW w:type="dxa" w:w="3300"/>
            <w:tcMar>
              <w:top w:w="80" w:type="dxa"/>
              <w:start w:w="120" w:type="dxa"/>
              <w:bottom w:w="80" w:type="dxa"/>
              <w:end w:w="120" w:type="dxa"/>
            </w:tcMar>
            <w:vAlign w:val="top"/>
          </w:tcPr>
          <w:p>
            <w:pPr>
              <w:spacing w:after="0"/>
            </w:pPr>
            <w:r>
              <w:rPr>
                <w:sz w:val="16"/>
              </w:rPr>
              <w:t>Deploy Base testnet; test hosted checkout sandbox, signed webhooks and SEPA reconciliation</w:t>
            </w:r>
          </w:p>
        </w:tc>
        <w:tc>
          <w:tcPr>
            <w:tcW w:type="dxa" w:w="2950"/>
            <w:tcMar>
              <w:top w:w="80" w:type="dxa"/>
              <w:start w:w="120" w:type="dxa"/>
              <w:bottom w:w="80" w:type="dxa"/>
              <w:end w:w="120" w:type="dxa"/>
            </w:tcMar>
            <w:vAlign w:val="top"/>
          </w:tcPr>
          <w:p>
            <w:pPr>
              <w:spacing w:after="0"/>
            </w:pPr>
            <w:r>
              <w:rPr>
                <w:sz w:val="16"/>
              </w:rPr>
              <w:t>Decision: two commitments or pivot</w:t>
            </w:r>
          </w:p>
        </w:tc>
        <w:tc>
          <w:tcPr>
            <w:tcW w:type="dxa" w:w="2610"/>
            <w:tcMar>
              <w:top w:w="80" w:type="dxa"/>
              <w:start w:w="120" w:type="dxa"/>
              <w:bottom w:w="80" w:type="dxa"/>
              <w:end w:w="120" w:type="dxa"/>
            </w:tcMar>
            <w:vAlign w:val="top"/>
          </w:tcPr>
          <w:p>
            <w:pPr>
              <w:spacing w:after="0"/>
            </w:pPr>
            <w:r>
              <w:rPr>
                <w:sz w:val="16"/>
              </w:rPr>
              <w:t>No live payment collection yet</w:t>
            </w:r>
          </w:p>
        </w:tc>
      </w:tr>
      <w:tr>
        <w:trPr>
          <w:cantSplit/>
        </w:trPr>
        <w:tc>
          <w:tcPr>
            <w:tcW w:type="dxa" w:w="500"/>
            <w:tcMar>
              <w:top w:w="80" w:type="dxa"/>
              <w:start w:w="120" w:type="dxa"/>
              <w:bottom w:w="80" w:type="dxa"/>
              <w:end w:w="120" w:type="dxa"/>
            </w:tcMar>
            <w:vAlign w:val="top"/>
          </w:tcPr>
          <w:p>
            <w:pPr>
              <w:spacing w:after="0"/>
            </w:pPr>
            <w:r>
              <w:rPr>
                <w:sz w:val="16"/>
              </w:rPr>
              <w:t>8</w:t>
            </w:r>
          </w:p>
        </w:tc>
        <w:tc>
          <w:tcPr>
            <w:tcW w:type="dxa" w:w="3300"/>
            <w:tcMar>
              <w:top w:w="80" w:type="dxa"/>
              <w:start w:w="120" w:type="dxa"/>
              <w:bottom w:w="80" w:type="dxa"/>
              <w:end w:w="120" w:type="dxa"/>
            </w:tcMar>
            <w:vAlign w:val="top"/>
          </w:tcPr>
          <w:p>
            <w:pPr>
              <w:spacing w:after="0"/>
            </w:pPr>
            <w:r>
              <w:rPr>
                <w:sz w:val="16"/>
              </w:rPr>
              <w:t>Independent contract review; test refunds, chargebacks, duplicate webhooks and unmatched transfers</w:t>
            </w:r>
          </w:p>
        </w:tc>
        <w:tc>
          <w:tcPr>
            <w:tcW w:type="dxa" w:w="2950"/>
            <w:tcMar>
              <w:top w:w="80" w:type="dxa"/>
              <w:start w:w="120" w:type="dxa"/>
              <w:bottom w:w="80" w:type="dxa"/>
              <w:end w:w="120" w:type="dxa"/>
            </w:tcMar>
            <w:vAlign w:val="top"/>
          </w:tcPr>
          <w:p>
            <w:pPr>
              <w:spacing w:after="0"/>
            </w:pPr>
            <w:r>
              <w:rPr>
                <w:sz w:val="16"/>
              </w:rPr>
              <w:t>Send approval-ready order summary, terms and payment link/instructions</w:t>
            </w:r>
          </w:p>
        </w:tc>
        <w:tc>
          <w:tcPr>
            <w:tcW w:type="dxa" w:w="2610"/>
            <w:tcMar>
              <w:top w:w="80" w:type="dxa"/>
              <w:start w:w="120" w:type="dxa"/>
              <w:bottom w:w="80" w:type="dxa"/>
              <w:end w:w="120" w:type="dxa"/>
            </w:tcMar>
            <w:vAlign w:val="top"/>
          </w:tcPr>
          <w:p>
            <w:pPr>
              <w:spacing w:after="0"/>
            </w:pPr>
            <w:r>
              <w:rPr>
                <w:sz w:val="16"/>
              </w:rPr>
              <w:t>Zero critical/high findings</w:t>
            </w:r>
          </w:p>
        </w:tc>
      </w:tr>
      <w:tr>
        <w:trPr>
          <w:cantSplit/>
        </w:trPr>
        <w:tc>
          <w:tcPr>
            <w:tcW w:type="dxa" w:w="500"/>
            <w:tcMar>
              <w:top w:w="80" w:type="dxa"/>
              <w:start w:w="120" w:type="dxa"/>
              <w:bottom w:w="80" w:type="dxa"/>
              <w:end w:w="120" w:type="dxa"/>
            </w:tcMar>
            <w:vAlign w:val="top"/>
          </w:tcPr>
          <w:p>
            <w:pPr>
              <w:spacing w:after="0"/>
            </w:pPr>
            <w:r>
              <w:rPr>
                <w:sz w:val="16"/>
              </w:rPr>
              <w:t>9</w:t>
            </w:r>
          </w:p>
        </w:tc>
        <w:tc>
          <w:tcPr>
            <w:tcW w:type="dxa" w:w="3300"/>
            <w:tcMar>
              <w:top w:w="80" w:type="dxa"/>
              <w:start w:w="120" w:type="dxa"/>
              <w:bottom w:w="80" w:type="dxa"/>
              <w:end w:w="120" w:type="dxa"/>
            </w:tcMar>
            <w:vAlign w:val="top"/>
          </w:tcPr>
          <w:p>
            <w:pPr>
              <w:spacing w:after="0"/>
            </w:pPr>
            <w:r>
              <w:rPr>
                <w:sz w:val="16"/>
              </w:rPr>
              <w:t>Deploy non-upgradeable mainnet router with founder-supplied adminWallet</w:t>
            </w:r>
          </w:p>
        </w:tc>
        <w:tc>
          <w:tcPr>
            <w:tcW w:type="dxa" w:w="2950"/>
            <w:tcMar>
              <w:top w:w="80" w:type="dxa"/>
              <w:start w:w="120" w:type="dxa"/>
              <w:bottom w:w="80" w:type="dxa"/>
              <w:end w:w="120" w:type="dxa"/>
            </w:tcMar>
            <w:vAlign w:val="top"/>
          </w:tcPr>
          <w:p>
            <w:pPr>
              <w:spacing w:after="0"/>
            </w:pPr>
            <w:r>
              <w:rPr>
                <w:sz w:val="16"/>
              </w:rPr>
              <w:t>Send test-minimum sponsorship</w:t>
            </w:r>
          </w:p>
        </w:tc>
        <w:tc>
          <w:tcPr>
            <w:tcW w:type="dxa" w:w="2610"/>
            <w:tcMar>
              <w:top w:w="80" w:type="dxa"/>
              <w:start w:w="120" w:type="dxa"/>
              <w:bottom w:w="80" w:type="dxa"/>
              <w:end w:w="120" w:type="dxa"/>
            </w:tcMar>
            <w:vAlign w:val="top"/>
          </w:tcPr>
          <w:p>
            <w:pPr>
              <w:spacing w:after="0"/>
            </w:pPr>
            <w:r>
              <w:rPr>
                <w:sz w:val="16"/>
              </w:rPr>
              <w:t>Explorer verification and reconciliation</w:t>
            </w:r>
          </w:p>
        </w:tc>
      </w:tr>
      <w:tr>
        <w:trPr>
          <w:cantSplit/>
        </w:trPr>
        <w:tc>
          <w:tcPr>
            <w:tcW w:type="dxa" w:w="500"/>
            <w:tcMar>
              <w:top w:w="80" w:type="dxa"/>
              <w:start w:w="120" w:type="dxa"/>
              <w:bottom w:w="80" w:type="dxa"/>
              <w:end w:w="120" w:type="dxa"/>
            </w:tcMar>
            <w:vAlign w:val="top"/>
          </w:tcPr>
          <w:p>
            <w:pPr>
              <w:spacing w:after="0"/>
            </w:pPr>
            <w:r>
              <w:rPr>
                <w:sz w:val="16"/>
              </w:rPr>
              <w:t>10</w:t>
            </w:r>
          </w:p>
        </w:tc>
        <w:tc>
          <w:tcPr>
            <w:tcW w:type="dxa" w:w="3300"/>
            <w:tcMar>
              <w:top w:w="80" w:type="dxa"/>
              <w:start w:w="120" w:type="dxa"/>
              <w:bottom w:w="80" w:type="dxa"/>
              <w:end w:w="120" w:type="dxa"/>
            </w:tcMar>
            <w:vAlign w:val="top"/>
          </w:tcPr>
          <w:p>
            <w:pPr>
              <w:spacing w:after="0"/>
            </w:pPr>
            <w:r>
              <w:rPr>
                <w:sz w:val="16"/>
              </w:rPr>
              <w:t>Public beta with card, SEPA and Base choices</w:t>
            </w:r>
          </w:p>
        </w:tc>
        <w:tc>
          <w:tcPr>
            <w:tcW w:type="dxa" w:w="2950"/>
            <w:tcMar>
              <w:top w:w="80" w:type="dxa"/>
              <w:start w:w="120" w:type="dxa"/>
              <w:bottom w:w="80" w:type="dxa"/>
              <w:end w:w="120" w:type="dxa"/>
            </w:tcMar>
            <w:vAlign w:val="top"/>
          </w:tcPr>
          <w:p>
            <w:pPr>
              <w:spacing w:after="0"/>
            </w:pPr>
            <w:r>
              <w:rPr>
                <w:sz w:val="16"/>
              </w:rPr>
              <w:t>Close first €79 sponsorship through buyer-preferred lane</w:t>
            </w:r>
          </w:p>
        </w:tc>
        <w:tc>
          <w:tcPr>
            <w:tcW w:type="dxa" w:w="2610"/>
            <w:tcMar>
              <w:top w:w="80" w:type="dxa"/>
              <w:start w:w="120" w:type="dxa"/>
              <w:bottom w:w="80" w:type="dxa"/>
              <w:end w:w="120" w:type="dxa"/>
            </w:tcMar>
            <w:vAlign w:val="top"/>
          </w:tcPr>
          <w:p>
            <w:pPr>
              <w:spacing w:after="0"/>
            </w:pPr>
            <w:r>
              <w:rPr>
                <w:sz w:val="16"/>
              </w:rPr>
              <w:t>Correct allocation and reconciliation</w:t>
            </w:r>
          </w:p>
        </w:tc>
      </w:tr>
      <w:tr>
        <w:trPr>
          <w:cantSplit/>
        </w:trPr>
        <w:tc>
          <w:tcPr>
            <w:tcW w:type="dxa" w:w="500"/>
            <w:tcMar>
              <w:top w:w="80" w:type="dxa"/>
              <w:start w:w="120" w:type="dxa"/>
              <w:bottom w:w="80" w:type="dxa"/>
              <w:end w:w="120" w:type="dxa"/>
            </w:tcMar>
            <w:vAlign w:val="top"/>
          </w:tcPr>
          <w:p>
            <w:pPr>
              <w:spacing w:after="0"/>
            </w:pPr>
            <w:r>
              <w:rPr>
                <w:sz w:val="16"/>
              </w:rPr>
              <w:t>11</w:t>
            </w:r>
          </w:p>
        </w:tc>
        <w:tc>
          <w:tcPr>
            <w:tcW w:type="dxa" w:w="3300"/>
            <w:tcMar>
              <w:top w:w="80" w:type="dxa"/>
              <w:start w:w="120" w:type="dxa"/>
              <w:bottom w:w="80" w:type="dxa"/>
              <w:end w:w="120" w:type="dxa"/>
            </w:tcMar>
            <w:vAlign w:val="top"/>
          </w:tcPr>
          <w:p>
            <w:pPr>
              <w:spacing w:after="0"/>
            </w:pPr>
            <w:r>
              <w:rPr>
                <w:sz w:val="16"/>
              </w:rPr>
              <w:t>Add public ledger, proof pages, badge, campaign referrals and mirror instructions</w:t>
            </w:r>
          </w:p>
        </w:tc>
        <w:tc>
          <w:tcPr>
            <w:tcW w:type="dxa" w:w="2950"/>
            <w:tcMar>
              <w:top w:w="80" w:type="dxa"/>
              <w:start w:w="120" w:type="dxa"/>
              <w:bottom w:w="80" w:type="dxa"/>
              <w:end w:w="120" w:type="dxa"/>
            </w:tcMar>
            <w:vAlign w:val="top"/>
          </w:tcPr>
          <w:p>
            <w:pPr>
              <w:spacing w:after="0"/>
            </w:pPr>
            <w:r>
              <w:rPr>
                <w:sz w:val="16"/>
              </w:rPr>
              <w:t>Second sponsor sprint; offer one capped matching campaign</w:t>
            </w:r>
          </w:p>
        </w:tc>
        <w:tc>
          <w:tcPr>
            <w:tcW w:type="dxa" w:w="2610"/>
            <w:tcMar>
              <w:top w:w="80" w:type="dxa"/>
              <w:start w:w="120" w:type="dxa"/>
              <w:bottom w:w="80" w:type="dxa"/>
              <w:end w:w="120" w:type="dxa"/>
            </w:tcMar>
            <w:vAlign w:val="top"/>
          </w:tcPr>
          <w:p>
            <w:pPr>
              <w:spacing w:after="0"/>
            </w:pPr>
            <w:r>
              <w:rPr>
                <w:sz w:val="16"/>
              </w:rPr>
              <w:t>No beneficiary analytics</w:t>
            </w:r>
          </w:p>
        </w:tc>
      </w:tr>
      <w:tr>
        <w:trPr>
          <w:cantSplit/>
        </w:trPr>
        <w:tc>
          <w:tcPr>
            <w:tcW w:type="dxa" w:w="500"/>
            <w:tcMar>
              <w:top w:w="80" w:type="dxa"/>
              <w:start w:w="120" w:type="dxa"/>
              <w:bottom w:w="80" w:type="dxa"/>
              <w:end w:w="120" w:type="dxa"/>
            </w:tcMar>
            <w:vAlign w:val="top"/>
          </w:tcPr>
          <w:p>
            <w:pPr>
              <w:spacing w:after="0"/>
            </w:pPr>
            <w:r>
              <w:rPr>
                <w:sz w:val="16"/>
              </w:rPr>
              <w:t>12</w:t>
            </w:r>
          </w:p>
        </w:tc>
        <w:tc>
          <w:tcPr>
            <w:tcW w:type="dxa" w:w="3300"/>
            <w:tcMar>
              <w:top w:w="80" w:type="dxa"/>
              <w:start w:w="120" w:type="dxa"/>
              <w:bottom w:w="80" w:type="dxa"/>
              <w:end w:w="120" w:type="dxa"/>
            </w:tcMar>
            <w:vAlign w:val="top"/>
          </w:tcPr>
          <w:p>
            <w:pPr>
              <w:spacing w:after="0"/>
            </w:pPr>
            <w:r>
              <w:rPr>
                <w:sz w:val="16"/>
              </w:rPr>
              <w:t>Verify top listings; test Idea Lab submission/triage and assisted-use sessions</w:t>
            </w:r>
          </w:p>
        </w:tc>
        <w:tc>
          <w:tcPr>
            <w:tcW w:type="dxa" w:w="2950"/>
            <w:tcMar>
              <w:top w:w="80" w:type="dxa"/>
              <w:start w:w="120" w:type="dxa"/>
              <w:bottom w:w="80" w:type="dxa"/>
              <w:end w:w="120" w:type="dxa"/>
            </w:tcMar>
            <w:vAlign w:val="top"/>
          </w:tcPr>
          <w:p>
            <w:pPr>
              <w:spacing w:after="0"/>
            </w:pPr>
            <w:r>
              <w:rPr>
                <w:sz w:val="16"/>
              </w:rPr>
              <w:t>Pitch €149 language underwriting and one sponsor-funded civic pilot</w:t>
            </w:r>
          </w:p>
        </w:tc>
        <w:tc>
          <w:tcPr>
            <w:tcW w:type="dxa" w:w="2610"/>
            <w:tcMar>
              <w:top w:w="80" w:type="dxa"/>
              <w:start w:w="120" w:type="dxa"/>
              <w:bottom w:w="80" w:type="dxa"/>
              <w:end w:w="120" w:type="dxa"/>
            </w:tcMar>
            <w:vAlign w:val="top"/>
          </w:tcPr>
          <w:p>
            <w:pPr>
              <w:spacing w:after="0"/>
            </w:pPr>
            <w:r>
              <w:rPr>
                <w:sz w:val="16"/>
              </w:rPr>
              <w:t>No identifying stories/photos or unapproved work</w:t>
            </w:r>
          </w:p>
        </w:tc>
      </w:tr>
      <w:tr>
        <w:trPr>
          <w:cantSplit/>
        </w:trPr>
        <w:tc>
          <w:tcPr>
            <w:tcW w:type="dxa" w:w="500"/>
            <w:tcMar>
              <w:top w:w="80" w:type="dxa"/>
              <w:start w:w="120" w:type="dxa"/>
              <w:bottom w:w="80" w:type="dxa"/>
              <w:end w:w="120" w:type="dxa"/>
            </w:tcMar>
            <w:vAlign w:val="top"/>
          </w:tcPr>
          <w:p>
            <w:pPr>
              <w:spacing w:after="0"/>
            </w:pPr>
            <w:r>
              <w:rPr>
                <w:sz w:val="16"/>
              </w:rPr>
              <w:t>13</w:t>
            </w:r>
          </w:p>
        </w:tc>
        <w:tc>
          <w:tcPr>
            <w:tcW w:type="dxa" w:w="3300"/>
            <w:tcMar>
              <w:top w:w="80" w:type="dxa"/>
              <w:start w:w="120" w:type="dxa"/>
              <w:bottom w:w="80" w:type="dxa"/>
              <w:end w:w="120" w:type="dxa"/>
            </w:tcMar>
            <w:vAlign w:val="top"/>
          </w:tcPr>
          <w:p>
            <w:pPr>
              <w:spacing w:after="0"/>
            </w:pPr>
            <w:r>
              <w:rPr>
                <w:sz w:val="16"/>
              </w:rPr>
              <w:t>Full security, accessibility, broken-link, stale-data and disaster tests</w:t>
            </w:r>
          </w:p>
        </w:tc>
        <w:tc>
          <w:tcPr>
            <w:tcW w:type="dxa" w:w="2950"/>
            <w:tcMar>
              <w:top w:w="80" w:type="dxa"/>
              <w:start w:w="120" w:type="dxa"/>
              <w:bottom w:w="80" w:type="dxa"/>
              <w:end w:w="120" w:type="dxa"/>
            </w:tcMar>
            <w:vAlign w:val="top"/>
          </w:tcPr>
          <w:p>
            <w:pPr>
              <w:spacing w:after="0"/>
            </w:pPr>
            <w:r>
              <w:rPr>
                <w:sz w:val="16"/>
              </w:rPr>
              <w:t>Close stretch sponsors</w:t>
            </w:r>
          </w:p>
        </w:tc>
        <w:tc>
          <w:tcPr>
            <w:tcW w:type="dxa" w:w="2610"/>
            <w:tcMar>
              <w:top w:w="80" w:type="dxa"/>
              <w:start w:w="120" w:type="dxa"/>
              <w:bottom w:w="80" w:type="dxa"/>
              <w:end w:w="120" w:type="dxa"/>
            </w:tcMar>
            <w:vAlign w:val="top"/>
          </w:tcPr>
          <w:p>
            <w:pPr>
              <w:spacing w:after="0"/>
            </w:pPr>
            <w:r>
              <w:rPr>
                <w:sz w:val="16"/>
              </w:rPr>
              <w:t>Incident and key-loss drill</w:t>
            </w:r>
          </w:p>
        </w:tc>
      </w:tr>
      <w:tr>
        <w:trPr>
          <w:cantSplit/>
        </w:trPr>
        <w:tc>
          <w:tcPr>
            <w:tcW w:type="dxa" w:w="500"/>
            <w:tcMar>
              <w:top w:w="80" w:type="dxa"/>
              <w:start w:w="120" w:type="dxa"/>
              <w:bottom w:w="80" w:type="dxa"/>
              <w:end w:w="120" w:type="dxa"/>
            </w:tcMar>
            <w:vAlign w:val="top"/>
          </w:tcPr>
          <w:p>
            <w:pPr>
              <w:spacing w:after="0"/>
            </w:pPr>
            <w:r>
              <w:rPr>
                <w:sz w:val="16"/>
              </w:rPr>
              <w:t>14</w:t>
            </w:r>
          </w:p>
        </w:tc>
        <w:tc>
          <w:tcPr>
            <w:tcW w:type="dxa" w:w="3300"/>
            <w:tcMar>
              <w:top w:w="80" w:type="dxa"/>
              <w:start w:w="120" w:type="dxa"/>
              <w:bottom w:w="80" w:type="dxa"/>
              <w:end w:w="120" w:type="dxa"/>
            </w:tcMar>
            <w:vAlign w:val="top"/>
          </w:tcPr>
          <w:p>
            <w:pPr>
              <w:spacing w:after="0"/>
            </w:pPr>
            <w:r>
              <w:rPr>
                <w:sz w:val="16"/>
              </w:rPr>
              <w:t>Publish results, reproducible deployment and 90-day scale backlog</w:t>
            </w:r>
          </w:p>
        </w:tc>
        <w:tc>
          <w:tcPr>
            <w:tcW w:type="dxa" w:w="2950"/>
            <w:tcMar>
              <w:top w:w="80" w:type="dxa"/>
              <w:start w:w="120" w:type="dxa"/>
              <w:bottom w:w="80" w:type="dxa"/>
              <w:end w:w="120" w:type="dxa"/>
            </w:tcMar>
            <w:vAlign w:val="top"/>
          </w:tcPr>
          <w:p>
            <w:pPr>
              <w:spacing w:after="0"/>
            </w:pPr>
            <w:r>
              <w:rPr>
                <w:sz w:val="16"/>
              </w:rPr>
              <w:t>Deliver evidence pack; reconcile all lanes, costs and donation obligation</w:t>
            </w:r>
          </w:p>
        </w:tc>
        <w:tc>
          <w:tcPr>
            <w:tcW w:type="dxa" w:w="2610"/>
            <w:tcMar>
              <w:top w:w="80" w:type="dxa"/>
              <w:start w:w="120" w:type="dxa"/>
              <w:bottom w:w="80" w:type="dxa"/>
              <w:end w:w="120" w:type="dxa"/>
            </w:tcMar>
            <w:vAlign w:val="top"/>
          </w:tcPr>
          <w:p>
            <w:pPr>
              <w:spacing w:after="0"/>
            </w:pPr>
            <w:r>
              <w:rPr>
                <w:sz w:val="16"/>
              </w:rPr>
              <w:t>Go/iterate/stop decision</w:t>
            </w:r>
          </w:p>
        </w:tc>
      </w:tr>
    </w:tbl>
    <w:p>
      <w:pPr>
        <w:pStyle w:val="TableSource"/>
      </w:pPr>
    </w:p>
    <w:p>
      <w:pPr>
        <w:pStyle w:val="Heading1"/>
      </w:pPr>
      <w:r>
        <w:t>7. Budget before first revenue</w:t>
      </w:r>
    </w:p>
    <w:tbl>
      <w:tblPr>
        <w:tblStyle w:val="TableGrid"/>
        <w:tblW w:type="dxa" w:w="9360"/>
        <w:jc w:val="center"/>
        <w:tblLayout w:type="fixed"/>
        <w:tblLook w:firstColumn="1" w:firstRow="1" w:lastColumn="0" w:lastRow="0" w:noHBand="0" w:noVBand="1" w:val="04A0"/>
        <w:tblInd w:w="120" w:type="dxa"/>
      </w:tblPr>
      <w:tblGrid>
        <w:gridCol w:w="2600"/>
        <w:gridCol w:w="900"/>
        <w:gridCol w:w="5860"/>
      </w:tblGrid>
      <w:tr>
        <w:trPr>
          <w:tblHeader w:val="true"/>
          <w:cantSplit/>
        </w:trPr>
        <w:tc>
          <w:tcPr>
            <w:tcW w:type="dxa" w:w="2600"/>
            <w:shd w:fill="E8EEF5"/>
            <w:tcMar>
              <w:top w:w="80" w:type="dxa"/>
              <w:start w:w="120" w:type="dxa"/>
              <w:bottom w:w="80" w:type="dxa"/>
              <w:end w:w="120" w:type="dxa"/>
            </w:tcMar>
            <w:vAlign w:val="top"/>
          </w:tcPr>
          <w:p>
            <w:pPr>
              <w:spacing w:after="0"/>
            </w:pPr>
            <w:r>
              <w:rPr>
                <w:b/>
                <w:color w:val="0B2545"/>
                <w:sz w:val="18"/>
              </w:rPr>
              <w:t>Item</w:t>
            </w:r>
          </w:p>
        </w:tc>
        <w:tc>
          <w:tcPr>
            <w:tcW w:type="dxa" w:w="900"/>
            <w:shd w:fill="E8EEF5"/>
            <w:tcMar>
              <w:top w:w="80" w:type="dxa"/>
              <w:start w:w="120" w:type="dxa"/>
              <w:bottom w:w="80" w:type="dxa"/>
              <w:end w:w="120" w:type="dxa"/>
            </w:tcMar>
            <w:vAlign w:val="top"/>
          </w:tcPr>
          <w:p>
            <w:pPr>
              <w:spacing w:after="0"/>
            </w:pPr>
            <w:r>
              <w:rPr>
                <w:b/>
                <w:color w:val="0B2545"/>
                <w:sz w:val="18"/>
              </w:rPr>
              <w:t>Cap</w:t>
            </w:r>
          </w:p>
        </w:tc>
        <w:tc>
          <w:tcPr>
            <w:tcW w:type="dxa" w:w="5860"/>
            <w:shd w:fill="E8EEF5"/>
            <w:tcMar>
              <w:top w:w="80" w:type="dxa"/>
              <w:start w:w="120" w:type="dxa"/>
              <w:bottom w:w="80" w:type="dxa"/>
              <w:end w:w="120" w:type="dxa"/>
            </w:tcMar>
            <w:vAlign w:val="top"/>
          </w:tcPr>
          <w:p>
            <w:pPr>
              <w:spacing w:after="0"/>
            </w:pPr>
            <w:r>
              <w:rPr>
                <w:b/>
                <w:color w:val="0B2545"/>
                <w:sz w:val="18"/>
              </w:rPr>
              <w:t>Rule</w:t>
            </w:r>
          </w:p>
        </w:tc>
      </w:tr>
      <w:tr>
        <w:trPr>
          <w:cantSplit/>
        </w:trPr>
        <w:tc>
          <w:tcPr>
            <w:tcW w:type="dxa" w:w="2600"/>
            <w:tcMar>
              <w:top w:w="80" w:type="dxa"/>
              <w:start w:w="120" w:type="dxa"/>
              <w:bottom w:w="80" w:type="dxa"/>
              <w:end w:w="120" w:type="dxa"/>
            </w:tcMar>
            <w:vAlign w:val="top"/>
          </w:tcPr>
          <w:p>
            <w:pPr>
              <w:spacing w:after="0"/>
            </w:pPr>
            <w:r>
              <w:rPr>
                <w:sz w:val="17"/>
              </w:rPr>
              <w:t>Hosting and subdomain</w:t>
            </w:r>
          </w:p>
        </w:tc>
        <w:tc>
          <w:tcPr>
            <w:tcW w:type="dxa" w:w="900"/>
            <w:tcMar>
              <w:top w:w="80" w:type="dxa"/>
              <w:start w:w="120" w:type="dxa"/>
              <w:bottom w:w="80" w:type="dxa"/>
              <w:end w:w="120" w:type="dxa"/>
            </w:tcMar>
            <w:vAlign w:val="top"/>
          </w:tcPr>
          <w:p>
            <w:pPr>
              <w:spacing w:after="0"/>
            </w:pPr>
            <w:r>
              <w:rPr>
                <w:sz w:val="17"/>
              </w:rPr>
              <w:t>€0</w:t>
            </w:r>
          </w:p>
        </w:tc>
        <w:tc>
          <w:tcPr>
            <w:tcW w:type="dxa" w:w="5860"/>
            <w:tcMar>
              <w:top w:w="80" w:type="dxa"/>
              <w:start w:w="120" w:type="dxa"/>
              <w:bottom w:w="80" w:type="dxa"/>
              <w:end w:w="120" w:type="dxa"/>
            </w:tcMar>
            <w:vAlign w:val="top"/>
          </w:tcPr>
          <w:p>
            <w:pPr>
              <w:spacing w:after="0"/>
            </w:pPr>
            <w:r>
              <w:rPr>
                <w:sz w:val="17"/>
              </w:rPr>
              <w:t>Use free static hosting and a provider subdomain initially</w:t>
            </w:r>
          </w:p>
        </w:tc>
      </w:tr>
      <w:tr>
        <w:trPr>
          <w:cantSplit/>
        </w:trPr>
        <w:tc>
          <w:tcPr>
            <w:tcW w:type="dxa" w:w="2600"/>
            <w:tcMar>
              <w:top w:w="80" w:type="dxa"/>
              <w:start w:w="120" w:type="dxa"/>
              <w:bottom w:w="80" w:type="dxa"/>
              <w:end w:w="120" w:type="dxa"/>
            </w:tcMar>
            <w:vAlign w:val="top"/>
          </w:tcPr>
          <w:p>
            <w:pPr>
              <w:spacing w:after="0"/>
            </w:pPr>
            <w:r>
              <w:rPr>
                <w:sz w:val="17"/>
              </w:rPr>
              <w:t>Database/admin</w:t>
            </w:r>
          </w:p>
        </w:tc>
        <w:tc>
          <w:tcPr>
            <w:tcW w:type="dxa" w:w="900"/>
            <w:tcMar>
              <w:top w:w="80" w:type="dxa"/>
              <w:start w:w="120" w:type="dxa"/>
              <w:bottom w:w="80" w:type="dxa"/>
              <w:end w:w="120" w:type="dxa"/>
            </w:tcMar>
            <w:vAlign w:val="top"/>
          </w:tcPr>
          <w:p>
            <w:pPr>
              <w:spacing w:after="0"/>
            </w:pPr>
            <w:r>
              <w:rPr>
                <w:sz w:val="17"/>
              </w:rPr>
              <w:t>€0</w:t>
            </w:r>
          </w:p>
        </w:tc>
        <w:tc>
          <w:tcPr>
            <w:tcW w:type="dxa" w:w="5860"/>
            <w:tcMar>
              <w:top w:w="80" w:type="dxa"/>
              <w:start w:w="120" w:type="dxa"/>
              <w:bottom w:w="80" w:type="dxa"/>
              <w:end w:w="120" w:type="dxa"/>
            </w:tcMar>
            <w:vAlign w:val="top"/>
          </w:tcPr>
          <w:p>
            <w:pPr>
              <w:spacing w:after="0"/>
            </w:pPr>
            <w:r>
              <w:rPr>
                <w:sz w:val="17"/>
              </w:rPr>
              <w:t>Versioned CSV/JSON in repository; no paid SaaS</w:t>
            </w:r>
          </w:p>
        </w:tc>
      </w:tr>
      <w:tr>
        <w:trPr>
          <w:cantSplit/>
        </w:trPr>
        <w:tc>
          <w:tcPr>
            <w:tcW w:type="dxa" w:w="2600"/>
            <w:tcMar>
              <w:top w:w="80" w:type="dxa"/>
              <w:start w:w="120" w:type="dxa"/>
              <w:bottom w:w="80" w:type="dxa"/>
              <w:end w:w="120" w:type="dxa"/>
            </w:tcMar>
            <w:vAlign w:val="top"/>
          </w:tcPr>
          <w:p>
            <w:pPr>
              <w:spacing w:after="0"/>
            </w:pPr>
            <w:r>
              <w:rPr>
                <w:sz w:val="17"/>
              </w:rPr>
              <w:t>Base deployment gas</w:t>
            </w:r>
          </w:p>
        </w:tc>
        <w:tc>
          <w:tcPr>
            <w:tcW w:type="dxa" w:w="900"/>
            <w:tcMar>
              <w:top w:w="80" w:type="dxa"/>
              <w:start w:w="120" w:type="dxa"/>
              <w:bottom w:w="80" w:type="dxa"/>
              <w:end w:w="120" w:type="dxa"/>
            </w:tcMar>
            <w:vAlign w:val="top"/>
          </w:tcPr>
          <w:p>
            <w:pPr>
              <w:spacing w:after="0"/>
            </w:pPr>
            <w:r>
              <w:rPr>
                <w:sz w:val="17"/>
              </w:rPr>
              <w:t>€10</w:t>
            </w:r>
          </w:p>
        </w:tc>
        <w:tc>
          <w:tcPr>
            <w:tcW w:type="dxa" w:w="5860"/>
            <w:tcMar>
              <w:top w:w="80" w:type="dxa"/>
              <w:start w:w="120" w:type="dxa"/>
              <w:bottom w:w="80" w:type="dxa"/>
              <w:end w:w="120" w:type="dxa"/>
            </w:tcMar>
            <w:vAlign w:val="top"/>
          </w:tcPr>
          <w:p>
            <w:pPr>
              <w:spacing w:after="0"/>
            </w:pPr>
            <w:r>
              <w:rPr>
                <w:sz w:val="17"/>
              </w:rPr>
              <w:t>Hard gas-price ceiling; rehearse and estimate before broadcast</w:t>
            </w:r>
          </w:p>
        </w:tc>
      </w:tr>
      <w:tr>
        <w:trPr>
          <w:cantSplit/>
        </w:trPr>
        <w:tc>
          <w:tcPr>
            <w:tcW w:type="dxa" w:w="2600"/>
            <w:tcMar>
              <w:top w:w="80" w:type="dxa"/>
              <w:start w:w="120" w:type="dxa"/>
              <w:bottom w:w="80" w:type="dxa"/>
              <w:end w:w="120" w:type="dxa"/>
            </w:tcMar>
            <w:vAlign w:val="top"/>
          </w:tcPr>
          <w:p>
            <w:pPr>
              <w:spacing w:after="0"/>
            </w:pPr>
            <w:r>
              <w:rPr>
                <w:sz w:val="17"/>
              </w:rPr>
              <w:t>Card/SEPA setup</w:t>
            </w:r>
          </w:p>
        </w:tc>
        <w:tc>
          <w:tcPr>
            <w:tcW w:type="dxa" w:w="900"/>
            <w:tcMar>
              <w:top w:w="80" w:type="dxa"/>
              <w:start w:w="120" w:type="dxa"/>
              <w:bottom w:w="80" w:type="dxa"/>
              <w:end w:w="120" w:type="dxa"/>
            </w:tcMar>
            <w:vAlign w:val="top"/>
          </w:tcPr>
          <w:p>
            <w:pPr>
              <w:spacing w:after="0"/>
            </w:pPr>
            <w:r>
              <w:rPr>
                <w:sz w:val="17"/>
              </w:rPr>
              <w:t>€0</w:t>
            </w:r>
          </w:p>
        </w:tc>
        <w:tc>
          <w:tcPr>
            <w:tcW w:type="dxa" w:w="5860"/>
            <w:tcMar>
              <w:top w:w="80" w:type="dxa"/>
              <w:start w:w="120" w:type="dxa"/>
              <w:bottom w:w="80" w:type="dxa"/>
              <w:end w:w="120" w:type="dxa"/>
            </w:tcMar>
            <w:vAlign w:val="top"/>
          </w:tcPr>
          <w:p>
            <w:pPr>
              <w:spacing w:after="0"/>
            </w:pPr>
            <w:r>
              <w:rPr>
                <w:sz w:val="17"/>
              </w:rPr>
              <w:t>Select provider/account with no setup or monthly fee before first revenue; transaction fees occur after payment</w:t>
            </w:r>
          </w:p>
        </w:tc>
      </w:tr>
      <w:tr>
        <w:trPr>
          <w:cantSplit/>
        </w:trPr>
        <w:tc>
          <w:tcPr>
            <w:tcW w:type="dxa" w:w="2600"/>
            <w:tcMar>
              <w:top w:w="80" w:type="dxa"/>
              <w:start w:w="120" w:type="dxa"/>
              <w:bottom w:w="80" w:type="dxa"/>
              <w:end w:w="120" w:type="dxa"/>
            </w:tcMar>
            <w:vAlign w:val="top"/>
          </w:tcPr>
          <w:p>
            <w:pPr>
              <w:spacing w:after="0"/>
            </w:pPr>
            <w:r>
              <w:rPr>
                <w:sz w:val="17"/>
              </w:rPr>
              <w:t>Printing</w:t>
            </w:r>
          </w:p>
        </w:tc>
        <w:tc>
          <w:tcPr>
            <w:tcW w:type="dxa" w:w="900"/>
            <w:tcMar>
              <w:top w:w="80" w:type="dxa"/>
              <w:start w:w="120" w:type="dxa"/>
              <w:bottom w:w="80" w:type="dxa"/>
              <w:end w:w="120" w:type="dxa"/>
            </w:tcMar>
            <w:vAlign w:val="top"/>
          </w:tcPr>
          <w:p>
            <w:pPr>
              <w:spacing w:after="0"/>
            </w:pPr>
            <w:r>
              <w:rPr>
                <w:sz w:val="17"/>
              </w:rPr>
              <w:t>€15</w:t>
            </w:r>
          </w:p>
        </w:tc>
        <w:tc>
          <w:tcPr>
            <w:tcW w:type="dxa" w:w="5860"/>
            <w:tcMar>
              <w:top w:w="80" w:type="dxa"/>
              <w:start w:w="120" w:type="dxa"/>
              <w:bottom w:w="80" w:type="dxa"/>
              <w:end w:w="120" w:type="dxa"/>
            </w:tcMar>
            <w:vAlign w:val="top"/>
          </w:tcPr>
          <w:p>
            <w:pPr>
              <w:spacing w:after="0"/>
            </w:pPr>
            <w:r>
              <w:rPr>
                <w:sz w:val="17"/>
              </w:rPr>
              <w:t>Only after a partner confirms distribution; black-and-white QR cards</w:t>
            </w:r>
          </w:p>
        </w:tc>
      </w:tr>
      <w:tr>
        <w:trPr>
          <w:cantSplit/>
        </w:trPr>
        <w:tc>
          <w:tcPr>
            <w:tcW w:type="dxa" w:w="2600"/>
            <w:tcMar>
              <w:top w:w="80" w:type="dxa"/>
              <w:start w:w="120" w:type="dxa"/>
              <w:bottom w:w="80" w:type="dxa"/>
              <w:end w:w="120" w:type="dxa"/>
            </w:tcMar>
            <w:vAlign w:val="top"/>
          </w:tcPr>
          <w:p>
            <w:pPr>
              <w:spacing w:after="0"/>
            </w:pPr>
            <w:r>
              <w:rPr>
                <w:sz w:val="17"/>
              </w:rPr>
              <w:t>Phone/SMS</w:t>
            </w:r>
          </w:p>
        </w:tc>
        <w:tc>
          <w:tcPr>
            <w:tcW w:type="dxa" w:w="900"/>
            <w:tcMar>
              <w:top w:w="80" w:type="dxa"/>
              <w:start w:w="120" w:type="dxa"/>
              <w:bottom w:w="80" w:type="dxa"/>
              <w:end w:w="120" w:type="dxa"/>
            </w:tcMar>
            <w:vAlign w:val="top"/>
          </w:tcPr>
          <w:p>
            <w:pPr>
              <w:spacing w:after="0"/>
            </w:pPr>
            <w:r>
              <w:rPr>
                <w:sz w:val="17"/>
              </w:rPr>
              <w:t>€5</w:t>
            </w:r>
          </w:p>
        </w:tc>
        <w:tc>
          <w:tcPr>
            <w:tcW w:type="dxa" w:w="5860"/>
            <w:tcMar>
              <w:top w:w="80" w:type="dxa"/>
              <w:start w:w="120" w:type="dxa"/>
              <w:bottom w:w="80" w:type="dxa"/>
              <w:end w:w="120" w:type="dxa"/>
            </w:tcMar>
            <w:vAlign w:val="top"/>
          </w:tcPr>
          <w:p>
            <w:pPr>
              <w:spacing w:after="0"/>
            </w:pPr>
            <w:r>
              <w:rPr>
                <w:sz w:val="17"/>
              </w:rPr>
              <w:t>Verification only; prefer existing internet messaging with organisation consent</w:t>
            </w:r>
          </w:p>
        </w:tc>
      </w:tr>
      <w:tr>
        <w:trPr>
          <w:cantSplit/>
        </w:trPr>
        <w:tc>
          <w:tcPr>
            <w:tcW w:type="dxa" w:w="2600"/>
            <w:tcMar>
              <w:top w:w="80" w:type="dxa"/>
              <w:start w:w="120" w:type="dxa"/>
              <w:bottom w:w="80" w:type="dxa"/>
              <w:end w:w="120" w:type="dxa"/>
            </w:tcMar>
            <w:vAlign w:val="top"/>
          </w:tcPr>
          <w:p>
            <w:pPr>
              <w:spacing w:after="0"/>
            </w:pPr>
            <w:r>
              <w:rPr>
                <w:sz w:val="17"/>
              </w:rPr>
              <w:t>Contingency</w:t>
            </w:r>
          </w:p>
        </w:tc>
        <w:tc>
          <w:tcPr>
            <w:tcW w:type="dxa" w:w="900"/>
            <w:tcMar>
              <w:top w:w="80" w:type="dxa"/>
              <w:start w:w="120" w:type="dxa"/>
              <w:bottom w:w="80" w:type="dxa"/>
              <w:end w:w="120" w:type="dxa"/>
            </w:tcMar>
            <w:vAlign w:val="top"/>
          </w:tcPr>
          <w:p>
            <w:pPr>
              <w:spacing w:after="0"/>
            </w:pPr>
            <w:r>
              <w:rPr>
                <w:sz w:val="17"/>
              </w:rPr>
              <w:t>€19</w:t>
            </w:r>
          </w:p>
        </w:tc>
        <w:tc>
          <w:tcPr>
            <w:tcW w:type="dxa" w:w="5860"/>
            <w:tcMar>
              <w:top w:w="80" w:type="dxa"/>
              <w:start w:w="120" w:type="dxa"/>
              <w:bottom w:w="80" w:type="dxa"/>
              <w:end w:w="120" w:type="dxa"/>
            </w:tcMar>
            <w:vAlign w:val="top"/>
          </w:tcPr>
          <w:p>
            <w:pPr>
              <w:spacing w:after="0"/>
            </w:pPr>
            <w:r>
              <w:rPr>
                <w:sz w:val="17"/>
              </w:rPr>
              <w:t>Cannot be spent without written reason in budget log; listed caps are alternatives, not additive beyond €49</w:t>
            </w:r>
          </w:p>
        </w:tc>
      </w:tr>
      <w:tr>
        <w:trPr>
          <w:cantSplit/>
        </w:trPr>
        <w:tc>
          <w:tcPr>
            <w:tcW w:type="dxa" w:w="2600"/>
            <w:tcMar>
              <w:top w:w="80" w:type="dxa"/>
              <w:start w:w="120" w:type="dxa"/>
              <w:bottom w:w="80" w:type="dxa"/>
              <w:end w:w="120" w:type="dxa"/>
            </w:tcMar>
            <w:vAlign w:val="top"/>
          </w:tcPr>
          <w:p>
            <w:pPr>
              <w:spacing w:after="0"/>
            </w:pPr>
            <w:r>
              <w:rPr>
                <w:sz w:val="17"/>
              </w:rPr>
              <w:t>TOTAL</w:t>
            </w:r>
          </w:p>
        </w:tc>
        <w:tc>
          <w:tcPr>
            <w:tcW w:type="dxa" w:w="900"/>
            <w:tcMar>
              <w:top w:w="80" w:type="dxa"/>
              <w:start w:w="120" w:type="dxa"/>
              <w:bottom w:w="80" w:type="dxa"/>
              <w:end w:w="120" w:type="dxa"/>
            </w:tcMar>
            <w:vAlign w:val="top"/>
          </w:tcPr>
          <w:p>
            <w:pPr>
              <w:spacing w:after="0"/>
            </w:pPr>
            <w:r>
              <w:rPr>
                <w:sz w:val="17"/>
              </w:rPr>
              <w:t>€49</w:t>
            </w:r>
          </w:p>
        </w:tc>
        <w:tc>
          <w:tcPr>
            <w:tcW w:type="dxa" w:w="5860"/>
            <w:tcMar>
              <w:top w:w="80" w:type="dxa"/>
              <w:start w:w="120" w:type="dxa"/>
              <w:bottom w:w="80" w:type="dxa"/>
              <w:end w:w="120" w:type="dxa"/>
            </w:tcMar>
            <w:vAlign w:val="top"/>
          </w:tcPr>
          <w:p>
            <w:pPr>
              <w:spacing w:after="0"/>
            </w:pPr>
            <w:r>
              <w:rPr>
                <w:sz w:val="17"/>
              </w:rPr>
              <w:t>Hard cap until cleared revenue is received</w:t>
            </w:r>
          </w:p>
        </w:tc>
      </w:tr>
    </w:tbl>
    <w:p>
      <w:pPr>
        <w:pStyle w:val="TableSource"/>
      </w:pPr>
    </w:p>
    <w:p>
      <w:r>
        <w:t>The plan is viable below €10 if printing and verification calls are donated in kind. Paid ads, a custom domain, paid pinning, paid automation and any project-token deployment are excluded before first revenue.</w:t>
      </w:r>
    </w:p>
    <w:p>
      <w:pPr>
        <w:pStyle w:val="Heading1"/>
      </w:pPr>
      <w:r>
        <w:t>8. Legal, tax and organisational gates</w:t>
      </w:r>
    </w:p>
    <w:tbl>
      <w:tblPr>
        <w:tblStyle w:val="TableGrid"/>
        <w:tblW w:type="dxa" w:w="9360"/>
        <w:jc w:val="center"/>
        <w:tblLayout w:type="fixed"/>
        <w:tblLook w:firstColumn="1" w:firstRow="1" w:lastColumn="0" w:lastRow="0" w:noHBand="0" w:noVBand="1" w:val="04A0"/>
        <w:tblInd w:w="120" w:type="dxa"/>
      </w:tblPr>
      <w:tblGrid>
        <w:gridCol w:w="1700"/>
        <w:gridCol w:w="4000"/>
        <w:gridCol w:w="3660"/>
      </w:tblGrid>
      <w:tr>
        <w:trPr>
          <w:tblHeader w:val="true"/>
          <w:cantSplit/>
        </w:trPr>
        <w:tc>
          <w:tcPr>
            <w:tcW w:type="dxa" w:w="1700"/>
            <w:shd w:fill="E8EEF5"/>
            <w:tcMar>
              <w:top w:w="80" w:type="dxa"/>
              <w:start w:w="120" w:type="dxa"/>
              <w:bottom w:w="80" w:type="dxa"/>
              <w:end w:w="120" w:type="dxa"/>
            </w:tcMar>
            <w:vAlign w:val="top"/>
          </w:tcPr>
          <w:p>
            <w:pPr>
              <w:spacing w:after="0"/>
            </w:pPr>
            <w:r>
              <w:rPr>
                <w:b/>
                <w:color w:val="0B2545"/>
                <w:sz w:val="17"/>
              </w:rPr>
              <w:t>Topic</w:t>
            </w:r>
          </w:p>
        </w:tc>
        <w:tc>
          <w:tcPr>
            <w:tcW w:type="dxa" w:w="4000"/>
            <w:shd w:fill="E8EEF5"/>
            <w:tcMar>
              <w:top w:w="80" w:type="dxa"/>
              <w:start w:w="120" w:type="dxa"/>
              <w:bottom w:w="80" w:type="dxa"/>
              <w:end w:w="120" w:type="dxa"/>
            </w:tcMar>
            <w:vAlign w:val="top"/>
          </w:tcPr>
          <w:p>
            <w:pPr>
              <w:spacing w:after="0"/>
            </w:pPr>
            <w:r>
              <w:rPr>
                <w:b/>
                <w:color w:val="0B2545"/>
                <w:sz w:val="17"/>
              </w:rPr>
              <w:t>Day-14 position</w:t>
            </w:r>
          </w:p>
        </w:tc>
        <w:tc>
          <w:tcPr>
            <w:tcW w:type="dxa" w:w="3660"/>
            <w:shd w:fill="E8EEF5"/>
            <w:tcMar>
              <w:top w:w="80" w:type="dxa"/>
              <w:start w:w="120" w:type="dxa"/>
              <w:bottom w:w="80" w:type="dxa"/>
              <w:end w:w="120" w:type="dxa"/>
            </w:tcMar>
            <w:vAlign w:val="top"/>
          </w:tcPr>
          <w:p>
            <w:pPr>
              <w:spacing w:after="0"/>
            </w:pPr>
            <w:r>
              <w:rPr>
                <w:b/>
                <w:color w:val="0B2545"/>
                <w:sz w:val="17"/>
              </w:rPr>
              <w:t>Required evidence before action</w:t>
            </w:r>
          </w:p>
        </w:tc>
      </w:tr>
      <w:tr>
        <w:trPr>
          <w:cantSplit/>
        </w:trPr>
        <w:tc>
          <w:tcPr>
            <w:tcW w:type="dxa" w:w="1700"/>
            <w:tcMar>
              <w:top w:w="80" w:type="dxa"/>
              <w:start w:w="120" w:type="dxa"/>
              <w:bottom w:w="80" w:type="dxa"/>
              <w:end w:w="120" w:type="dxa"/>
            </w:tcMar>
            <w:vAlign w:val="top"/>
          </w:tcPr>
          <w:p>
            <w:pPr>
              <w:spacing w:after="0"/>
            </w:pPr>
            <w:r>
              <w:rPr>
                <w:sz w:val="16"/>
              </w:rPr>
              <w:t>Economic controller</w:t>
            </w:r>
          </w:p>
        </w:tc>
        <w:tc>
          <w:tcPr>
            <w:tcW w:type="dxa" w:w="4000"/>
            <w:tcMar>
              <w:top w:w="80" w:type="dxa"/>
              <w:start w:w="120" w:type="dxa"/>
              <w:bottom w:w="80" w:type="dxa"/>
              <w:end w:w="120" w:type="dxa"/>
            </w:tcMar>
            <w:vAlign w:val="top"/>
          </w:tcPr>
          <w:p>
            <w:pPr>
              <w:spacing w:after="0"/>
            </w:pPr>
            <w:r>
              <w:rPr>
                <w:sz w:val="16"/>
              </w:rPr>
              <w:t>The public protocol can be technically decentralised; the adminWallet controller is still accountable for receipts, tax and promises.</w:t>
            </w:r>
          </w:p>
        </w:tc>
        <w:tc>
          <w:tcPr>
            <w:tcW w:type="dxa" w:w="3660"/>
            <w:tcMar>
              <w:top w:w="80" w:type="dxa"/>
              <w:start w:w="120" w:type="dxa"/>
              <w:bottom w:w="80" w:type="dxa"/>
              <w:end w:w="120" w:type="dxa"/>
            </w:tcMar>
            <w:vAlign w:val="top"/>
          </w:tcPr>
          <w:p>
            <w:pPr>
              <w:spacing w:after="0"/>
            </w:pPr>
            <w:r>
              <w:rPr>
                <w:sz w:val="16"/>
              </w:rPr>
              <w:t>Named controller, wallet ownership proof, accounting method and invoice responsibility</w:t>
            </w:r>
          </w:p>
        </w:tc>
      </w:tr>
      <w:tr>
        <w:trPr>
          <w:cantSplit/>
        </w:trPr>
        <w:tc>
          <w:tcPr>
            <w:tcW w:type="dxa" w:w="1700"/>
            <w:tcMar>
              <w:top w:w="80" w:type="dxa"/>
              <w:start w:w="120" w:type="dxa"/>
              <w:bottom w:w="80" w:type="dxa"/>
              <w:end w:w="120" w:type="dxa"/>
            </w:tcMar>
            <w:vAlign w:val="top"/>
          </w:tcPr>
          <w:p>
            <w:pPr>
              <w:spacing w:after="0"/>
            </w:pPr>
            <w:r>
              <w:rPr>
                <w:sz w:val="16"/>
              </w:rPr>
              <w:t>Optional fiscal host</w:t>
            </w:r>
          </w:p>
        </w:tc>
        <w:tc>
          <w:tcPr>
            <w:tcW w:type="dxa" w:w="4000"/>
            <w:tcMar>
              <w:top w:w="80" w:type="dxa"/>
              <w:start w:w="120" w:type="dxa"/>
              <w:bottom w:w="80" w:type="dxa"/>
              <w:end w:w="120" w:type="dxa"/>
            </w:tcMar>
            <w:vAlign w:val="top"/>
          </w:tcPr>
          <w:p>
            <w:pPr>
              <w:spacing w:after="0"/>
            </w:pPr>
            <w:r>
              <w:rPr>
                <w:sz w:val="16"/>
              </w:rPr>
              <w:t>Existing association may receive fiat, verify charity wallets or issue documents without controlling the protocol.</w:t>
            </w:r>
          </w:p>
        </w:tc>
        <w:tc>
          <w:tcPr>
            <w:tcW w:type="dxa" w:w="3660"/>
            <w:tcMar>
              <w:top w:w="80" w:type="dxa"/>
              <w:start w:w="120" w:type="dxa"/>
              <w:bottom w:w="80" w:type="dxa"/>
              <w:end w:w="120" w:type="dxa"/>
            </w:tcMar>
            <w:vAlign w:val="top"/>
          </w:tcPr>
          <w:p>
            <w:pPr>
              <w:spacing w:after="0"/>
            </w:pPr>
            <w:r>
              <w:rPr>
                <w:sz w:val="16"/>
              </w:rPr>
              <w:t>Written mandate and clear separation from smart-contract governance</w:t>
            </w:r>
          </w:p>
        </w:tc>
      </w:tr>
      <w:tr>
        <w:trPr>
          <w:cantSplit/>
        </w:trPr>
        <w:tc>
          <w:tcPr>
            <w:tcW w:type="dxa" w:w="1700"/>
            <w:tcMar>
              <w:top w:w="80" w:type="dxa"/>
              <w:start w:w="120" w:type="dxa"/>
              <w:bottom w:w="80" w:type="dxa"/>
              <w:end w:w="120" w:type="dxa"/>
            </w:tcMar>
            <w:vAlign w:val="top"/>
          </w:tcPr>
          <w:p>
            <w:pPr>
              <w:spacing w:after="0"/>
            </w:pPr>
            <w:r>
              <w:rPr>
                <w:sz w:val="16"/>
              </w:rPr>
              <w:t>Association loi 1901</w:t>
            </w:r>
          </w:p>
        </w:tc>
        <w:tc>
          <w:tcPr>
            <w:tcW w:type="dxa" w:w="4000"/>
            <w:tcMar>
              <w:top w:w="80" w:type="dxa"/>
              <w:start w:w="120" w:type="dxa"/>
              <w:bottom w:w="80" w:type="dxa"/>
              <w:end w:w="120" w:type="dxa"/>
            </w:tcMar>
            <w:vAlign w:val="top"/>
          </w:tcPr>
          <w:p>
            <w:pPr>
              <w:spacing w:after="0"/>
            </w:pPr>
            <w:r>
              <w:rPr>
                <w:sz w:val="16"/>
              </w:rPr>
              <w:t>Possible future vehicle; declaration does not itself confer recognised-public-utility status or automatic tax-receipt authority.</w:t>
            </w:r>
          </w:p>
        </w:tc>
        <w:tc>
          <w:tcPr>
            <w:tcW w:type="dxa" w:w="3660"/>
            <w:tcMar>
              <w:top w:w="80" w:type="dxa"/>
              <w:start w:w="120" w:type="dxa"/>
              <w:bottom w:w="80" w:type="dxa"/>
              <w:end w:w="120" w:type="dxa"/>
            </w:tcMar>
            <w:vAlign w:val="top"/>
          </w:tcPr>
          <w:p>
            <w:pPr>
              <w:spacing w:after="0"/>
            </w:pPr>
            <w:r>
              <w:rPr>
                <w:sz w:val="16"/>
              </w:rPr>
              <w:t>Statutes, governance, declaration/publication, bank/accounting, insurance</w:t>
            </w:r>
          </w:p>
        </w:tc>
      </w:tr>
      <w:tr>
        <w:trPr>
          <w:cantSplit/>
        </w:trPr>
        <w:tc>
          <w:tcPr>
            <w:tcW w:type="dxa" w:w="1700"/>
            <w:tcMar>
              <w:top w:w="80" w:type="dxa"/>
              <w:start w:w="120" w:type="dxa"/>
              <w:bottom w:w="80" w:type="dxa"/>
              <w:end w:w="120" w:type="dxa"/>
            </w:tcMar>
            <w:vAlign w:val="top"/>
          </w:tcPr>
          <w:p>
            <w:pPr>
              <w:spacing w:after="0"/>
            </w:pPr>
            <w:r>
              <w:rPr>
                <w:sz w:val="16"/>
              </w:rPr>
              <w:t>Commercial sponsorship</w:t>
            </w:r>
          </w:p>
        </w:tc>
        <w:tc>
          <w:tcPr>
            <w:tcW w:type="dxa" w:w="4000"/>
            <w:tcMar>
              <w:top w:w="80" w:type="dxa"/>
              <w:start w:w="120" w:type="dxa"/>
              <w:bottom w:w="80" w:type="dxa"/>
              <w:end w:w="120" w:type="dxa"/>
            </w:tcMar>
            <w:vAlign w:val="top"/>
          </w:tcPr>
          <w:p>
            <w:pPr>
              <w:spacing w:after="0"/>
            </w:pPr>
            <w:r>
              <w:rPr>
                <w:sz w:val="16"/>
              </w:rPr>
              <w:t>Payment for visibility/service may be commercial consideration regardless of payment lane.</w:t>
            </w:r>
          </w:p>
        </w:tc>
        <w:tc>
          <w:tcPr>
            <w:tcW w:type="dxa" w:w="3660"/>
            <w:tcMar>
              <w:top w:w="80" w:type="dxa"/>
              <w:start w:w="120" w:type="dxa"/>
              <w:bottom w:w="80" w:type="dxa"/>
              <w:end w:w="120" w:type="dxa"/>
            </w:tcMar>
            <w:vAlign w:val="top"/>
          </w:tcPr>
          <w:p>
            <w:pPr>
              <w:spacing w:after="0"/>
            </w:pPr>
            <w:r>
              <w:rPr>
                <w:sz w:val="16"/>
              </w:rPr>
              <w:t>Terms, invoice/VAT position, sponsor approval rules and transaction reference</w:t>
            </w:r>
          </w:p>
        </w:tc>
      </w:tr>
      <w:tr>
        <w:trPr>
          <w:cantSplit/>
        </w:trPr>
        <w:tc>
          <w:tcPr>
            <w:tcW w:type="dxa" w:w="1700"/>
            <w:tcMar>
              <w:top w:w="80" w:type="dxa"/>
              <w:start w:w="120" w:type="dxa"/>
              <w:bottom w:w="80" w:type="dxa"/>
              <w:end w:w="120" w:type="dxa"/>
            </w:tcMar>
            <w:vAlign w:val="top"/>
          </w:tcPr>
          <w:p>
            <w:pPr>
              <w:spacing w:after="0"/>
            </w:pPr>
            <w:r>
              <w:rPr>
                <w:sz w:val="16"/>
              </w:rPr>
              <w:t>Card acceptance</w:t>
            </w:r>
          </w:p>
        </w:tc>
        <w:tc>
          <w:tcPr>
            <w:tcW w:type="dxa" w:w="4000"/>
            <w:tcMar>
              <w:top w:w="80" w:type="dxa"/>
              <w:start w:w="120" w:type="dxa"/>
              <w:bottom w:w="80" w:type="dxa"/>
              <w:end w:w="120" w:type="dxa"/>
            </w:tcMar>
            <w:vAlign w:val="top"/>
          </w:tcPr>
          <w:p>
            <w:pPr>
              <w:spacing w:after="0"/>
            </w:pPr>
            <w:r>
              <w:rPr>
                <w:sz w:val="16"/>
              </w:rPr>
              <w:t>Use hosted checkout so the project never handles raw card data; provider handles card authentication.</w:t>
            </w:r>
          </w:p>
        </w:tc>
        <w:tc>
          <w:tcPr>
            <w:tcW w:type="dxa" w:w="3660"/>
            <w:tcMar>
              <w:top w:w="80" w:type="dxa"/>
              <w:start w:w="120" w:type="dxa"/>
              <w:bottom w:w="80" w:type="dxa"/>
              <w:end w:w="120" w:type="dxa"/>
            </w:tcMar>
            <w:vAlign w:val="top"/>
          </w:tcPr>
          <w:p>
            <w:pPr>
              <w:spacing w:after="0"/>
            </w:pPr>
            <w:r>
              <w:rPr>
                <w:sz w:val="16"/>
              </w:rPr>
              <w:t>Provider agreement, PCI responsibility matrix, SCA/3DS behavior, refund/chargeback policy</w:t>
            </w:r>
          </w:p>
        </w:tc>
      </w:tr>
      <w:tr>
        <w:trPr>
          <w:cantSplit/>
        </w:trPr>
        <w:tc>
          <w:tcPr>
            <w:tcW w:type="dxa" w:w="1700"/>
            <w:tcMar>
              <w:top w:w="80" w:type="dxa"/>
              <w:start w:w="120" w:type="dxa"/>
              <w:bottom w:w="80" w:type="dxa"/>
              <w:end w:w="120" w:type="dxa"/>
            </w:tcMar>
            <w:vAlign w:val="top"/>
          </w:tcPr>
          <w:p>
            <w:pPr>
              <w:spacing w:after="0"/>
            </w:pPr>
            <w:r>
              <w:rPr>
                <w:sz w:val="16"/>
              </w:rPr>
              <w:t>Bank transfer</w:t>
            </w:r>
          </w:p>
        </w:tc>
        <w:tc>
          <w:tcPr>
            <w:tcW w:type="dxa" w:w="4000"/>
            <w:tcMar>
              <w:top w:w="80" w:type="dxa"/>
              <w:start w:w="120" w:type="dxa"/>
              <w:bottom w:w="80" w:type="dxa"/>
              <w:end w:w="120" w:type="dxa"/>
            </w:tcMar>
            <w:vAlign w:val="top"/>
          </w:tcPr>
          <w:p>
            <w:pPr>
              <w:spacing w:after="0"/>
            </w:pPr>
            <w:r>
              <w:rPr>
                <w:sz w:val="16"/>
              </w:rPr>
              <w:t>Use an accountable business/association account and unique references; never publish a volunteer's personal IBAN.</w:t>
            </w:r>
          </w:p>
        </w:tc>
        <w:tc>
          <w:tcPr>
            <w:tcW w:type="dxa" w:w="3660"/>
            <w:tcMar>
              <w:top w:w="80" w:type="dxa"/>
              <w:start w:w="120" w:type="dxa"/>
              <w:bottom w:w="80" w:type="dxa"/>
              <w:end w:w="120" w:type="dxa"/>
            </w:tcMar>
            <w:vAlign w:val="top"/>
          </w:tcPr>
          <w:p>
            <w:pPr>
              <w:spacing w:after="0"/>
            </w:pPr>
            <w:r>
              <w:rPr>
                <w:sz w:val="16"/>
              </w:rPr>
              <w:t>Account ownership, invoice reference, reconciliation and refund procedure</w:t>
            </w:r>
          </w:p>
        </w:tc>
      </w:tr>
      <w:tr>
        <w:trPr>
          <w:cantSplit/>
        </w:trPr>
        <w:tc>
          <w:tcPr>
            <w:tcW w:type="dxa" w:w="1700"/>
            <w:tcMar>
              <w:top w:w="80" w:type="dxa"/>
              <w:start w:w="120" w:type="dxa"/>
              <w:bottom w:w="80" w:type="dxa"/>
              <w:end w:w="120" w:type="dxa"/>
            </w:tcMar>
            <w:vAlign w:val="top"/>
          </w:tcPr>
          <w:p>
            <w:pPr>
              <w:spacing w:after="0"/>
            </w:pPr>
            <w:r>
              <w:rPr>
                <w:sz w:val="16"/>
              </w:rPr>
              <w:t>Donations</w:t>
            </w:r>
          </w:p>
        </w:tc>
        <w:tc>
          <w:tcPr>
            <w:tcW w:type="dxa" w:w="4000"/>
            <w:tcMar>
              <w:top w:w="80" w:type="dxa"/>
              <w:start w:w="120" w:type="dxa"/>
              <w:bottom w:w="80" w:type="dxa"/>
              <w:end w:w="120" w:type="dxa"/>
            </w:tcMar>
            <w:vAlign w:val="top"/>
          </w:tcPr>
          <w:p>
            <w:pPr>
              <w:spacing w:after="0"/>
            </w:pPr>
            <w:r>
              <w:rPr>
                <w:sz w:val="16"/>
              </w:rPr>
              <w:t>Route directly to eligible partner. Never promise a tax reduction or issue a receipt without confirmed eligibility/rescrit advice.</w:t>
            </w:r>
          </w:p>
        </w:tc>
        <w:tc>
          <w:tcPr>
            <w:tcW w:type="dxa" w:w="3660"/>
            <w:tcMar>
              <w:top w:w="80" w:type="dxa"/>
              <w:start w:w="120" w:type="dxa"/>
              <w:bottom w:w="80" w:type="dxa"/>
              <w:end w:w="120" w:type="dxa"/>
            </w:tcMar>
            <w:vAlign w:val="top"/>
          </w:tcPr>
          <w:p>
            <w:pPr>
              <w:spacing w:after="0"/>
            </w:pPr>
            <w:r>
              <w:rPr>
                <w:sz w:val="16"/>
              </w:rPr>
              <w:t>Partner's written receipt policy and fund designation</w:t>
            </w:r>
          </w:p>
        </w:tc>
      </w:tr>
      <w:tr>
        <w:trPr>
          <w:cantSplit/>
        </w:trPr>
        <w:tc>
          <w:tcPr>
            <w:tcW w:type="dxa" w:w="1700"/>
            <w:tcMar>
              <w:top w:w="80" w:type="dxa"/>
              <w:start w:w="120" w:type="dxa"/>
              <w:bottom w:w="80" w:type="dxa"/>
              <w:end w:w="120" w:type="dxa"/>
            </w:tcMar>
            <w:vAlign w:val="top"/>
          </w:tcPr>
          <w:p>
            <w:pPr>
              <w:spacing w:after="0"/>
            </w:pPr>
            <w:r>
              <w:rPr>
                <w:sz w:val="16"/>
              </w:rPr>
              <w:t>Profit donation</w:t>
            </w:r>
          </w:p>
        </w:tc>
        <w:tc>
          <w:tcPr>
            <w:tcW w:type="dxa" w:w="4000"/>
            <w:tcMar>
              <w:top w:w="80" w:type="dxa"/>
              <w:start w:w="120" w:type="dxa"/>
              <w:bottom w:w="80" w:type="dxa"/>
              <w:end w:w="120" w:type="dxa"/>
            </w:tcMar>
            <w:vAlign w:val="top"/>
          </w:tcPr>
          <w:p>
            <w:pPr>
              <w:spacing w:after="0"/>
            </w:pPr>
            <w:r>
              <w:rPr>
                <w:sz w:val="16"/>
              </w:rPr>
              <w:t>100% of net profit after mandatory costs/tax; publish reconciliation.</w:t>
            </w:r>
          </w:p>
        </w:tc>
        <w:tc>
          <w:tcPr>
            <w:tcW w:type="dxa" w:w="3660"/>
            <w:tcMar>
              <w:top w:w="80" w:type="dxa"/>
              <w:start w:w="120" w:type="dxa"/>
              <w:bottom w:w="80" w:type="dxa"/>
              <w:end w:w="120" w:type="dxa"/>
            </w:tcMar>
            <w:vAlign w:val="top"/>
          </w:tcPr>
          <w:p>
            <w:pPr>
              <w:spacing w:after="0"/>
            </w:pPr>
            <w:r>
              <w:rPr>
                <w:sz w:val="16"/>
              </w:rPr>
              <w:t>Ledger, board/founder approval, transfer proof, beneficiary acknowledgement</w:t>
            </w:r>
          </w:p>
        </w:tc>
      </w:tr>
      <w:tr>
        <w:trPr>
          <w:cantSplit/>
        </w:trPr>
        <w:tc>
          <w:tcPr>
            <w:tcW w:type="dxa" w:w="1700"/>
            <w:tcMar>
              <w:top w:w="80" w:type="dxa"/>
              <w:start w:w="120" w:type="dxa"/>
              <w:bottom w:w="80" w:type="dxa"/>
              <w:end w:w="120" w:type="dxa"/>
            </w:tcMar>
            <w:vAlign w:val="top"/>
          </w:tcPr>
          <w:p>
            <w:pPr>
              <w:spacing w:after="0"/>
            </w:pPr>
            <w:r>
              <w:rPr>
                <w:sz w:val="16"/>
              </w:rPr>
              <w:t>Privacy/GDPR</w:t>
            </w:r>
          </w:p>
        </w:tc>
        <w:tc>
          <w:tcPr>
            <w:tcW w:type="dxa" w:w="4000"/>
            <w:tcMar>
              <w:top w:w="80" w:type="dxa"/>
              <w:start w:w="120" w:type="dxa"/>
              <w:bottom w:w="80" w:type="dxa"/>
              <w:end w:w="120" w:type="dxa"/>
            </w:tcMar>
            <w:vAlign w:val="top"/>
          </w:tcPr>
          <w:p>
            <w:pPr>
              <w:spacing w:after="0"/>
            </w:pPr>
            <w:r>
              <w:rPr>
                <w:sz w:val="16"/>
              </w:rPr>
              <w:t>Public directory should process almost no beneficiary data.</w:t>
            </w:r>
          </w:p>
        </w:tc>
        <w:tc>
          <w:tcPr>
            <w:tcW w:type="dxa" w:w="3660"/>
            <w:tcMar>
              <w:top w:w="80" w:type="dxa"/>
              <w:start w:w="120" w:type="dxa"/>
              <w:bottom w:w="80" w:type="dxa"/>
              <w:end w:w="120" w:type="dxa"/>
            </w:tcMar>
            <w:vAlign w:val="top"/>
          </w:tcPr>
          <w:p>
            <w:pPr>
              <w:spacing w:after="0"/>
            </w:pPr>
            <w:r>
              <w:rPr>
                <w:sz w:val="16"/>
              </w:rPr>
              <w:t>Privacy notice, lawful basis, retention schedule, processor list, breach route</w:t>
            </w:r>
          </w:p>
        </w:tc>
      </w:tr>
      <w:tr>
        <w:trPr>
          <w:cantSplit/>
        </w:trPr>
        <w:tc>
          <w:tcPr>
            <w:tcW w:type="dxa" w:w="1700"/>
            <w:tcMar>
              <w:top w:w="80" w:type="dxa"/>
              <w:start w:w="120" w:type="dxa"/>
              <w:bottom w:w="80" w:type="dxa"/>
              <w:end w:w="120" w:type="dxa"/>
            </w:tcMar>
            <w:vAlign w:val="top"/>
          </w:tcPr>
          <w:p>
            <w:pPr>
              <w:spacing w:after="0"/>
            </w:pPr>
            <w:r>
              <w:rPr>
                <w:sz w:val="16"/>
              </w:rPr>
              <w:t>Employment</w:t>
            </w:r>
          </w:p>
        </w:tc>
        <w:tc>
          <w:tcPr>
            <w:tcW w:type="dxa" w:w="4000"/>
            <w:tcMar>
              <w:top w:w="80" w:type="dxa"/>
              <w:start w:w="120" w:type="dxa"/>
              <w:bottom w:w="80" w:type="dxa"/>
              <w:end w:w="120" w:type="dxa"/>
            </w:tcMar>
            <w:vAlign w:val="top"/>
          </w:tcPr>
          <w:p>
            <w:pPr>
              <w:spacing w:after="0"/>
            </w:pPr>
            <w:r>
              <w:rPr>
                <w:sz w:val="16"/>
              </w:rPr>
              <w:t>No work or work-like paid tasks without individual entitlement check; token, voucher or barter compensation does not remove the employment issue.</w:t>
            </w:r>
          </w:p>
        </w:tc>
        <w:tc>
          <w:tcPr>
            <w:tcW w:type="dxa" w:w="3660"/>
            <w:tcMar>
              <w:top w:w="80" w:type="dxa"/>
              <w:start w:w="120" w:type="dxa"/>
              <w:bottom w:w="80" w:type="dxa"/>
              <w:end w:w="120" w:type="dxa"/>
            </w:tcMar>
            <w:vAlign w:val="top"/>
          </w:tcPr>
          <w:p>
            <w:pPr>
              <w:spacing w:after="0"/>
            </w:pPr>
            <w:r>
              <w:rPr>
                <w:sz w:val="16"/>
              </w:rPr>
              <w:t>Employer/operator check, contract, declaration, wage and authorization where required</w:t>
            </w:r>
          </w:p>
        </w:tc>
      </w:tr>
      <w:tr>
        <w:trPr>
          <w:cantSplit/>
        </w:trPr>
        <w:tc>
          <w:tcPr>
            <w:tcW w:type="dxa" w:w="1700"/>
            <w:tcMar>
              <w:top w:w="80" w:type="dxa"/>
              <w:start w:w="120" w:type="dxa"/>
              <w:bottom w:w="80" w:type="dxa"/>
              <w:end w:w="120" w:type="dxa"/>
            </w:tcMar>
            <w:vAlign w:val="top"/>
          </w:tcPr>
          <w:p>
            <w:pPr>
              <w:spacing w:after="0"/>
            </w:pPr>
            <w:r>
              <w:rPr>
                <w:sz w:val="16"/>
              </w:rPr>
              <w:t>Peer services</w:t>
            </w:r>
          </w:p>
        </w:tc>
        <w:tc>
          <w:tcPr>
            <w:tcW w:type="dxa" w:w="4000"/>
            <w:tcMar>
              <w:top w:w="80" w:type="dxa"/>
              <w:start w:w="120" w:type="dxa"/>
              <w:bottom w:w="80" w:type="dxa"/>
              <w:end w:w="120" w:type="dxa"/>
            </w:tcMar>
            <w:vAlign w:val="top"/>
          </w:tcPr>
          <w:p>
            <w:pPr>
              <w:spacing w:after="0"/>
            </w:pPr>
            <w:r>
              <w:rPr>
                <w:sz w:val="16"/>
              </w:rPr>
              <w:t>The platform must not assume self-employment or occasional peer payment is lawful for a particular person or activity.</w:t>
            </w:r>
          </w:p>
        </w:tc>
        <w:tc>
          <w:tcPr>
            <w:tcW w:type="dxa" w:w="3660"/>
            <w:tcMar>
              <w:top w:w="80" w:type="dxa"/>
              <w:start w:w="120" w:type="dxa"/>
              <w:bottom w:w="80" w:type="dxa"/>
              <w:end w:w="120" w:type="dxa"/>
            </w:tcMar>
            <w:vAlign w:val="top"/>
          </w:tcPr>
          <w:p>
            <w:pPr>
              <w:spacing w:after="0"/>
            </w:pPr>
            <w:r>
              <w:rPr>
                <w:sz w:val="16"/>
              </w:rPr>
              <w:t>Provider eligibility flag from accountable operator, registration/tax route, insurance and sector-specific checklist</w:t>
            </w:r>
          </w:p>
        </w:tc>
      </w:tr>
      <w:tr>
        <w:trPr>
          <w:cantSplit/>
        </w:trPr>
        <w:tc>
          <w:tcPr>
            <w:tcW w:type="dxa" w:w="1700"/>
            <w:tcMar>
              <w:top w:w="80" w:type="dxa"/>
              <w:start w:w="120" w:type="dxa"/>
              <w:bottom w:w="80" w:type="dxa"/>
              <w:end w:w="120" w:type="dxa"/>
            </w:tcMar>
            <w:vAlign w:val="top"/>
          </w:tcPr>
          <w:p>
            <w:pPr>
              <w:spacing w:after="0"/>
            </w:pPr>
            <w:r>
              <w:rPr>
                <w:sz w:val="16"/>
              </w:rPr>
              <w:t>Municipal-benefit work</w:t>
            </w:r>
          </w:p>
        </w:tc>
        <w:tc>
          <w:tcPr>
            <w:tcW w:type="dxa" w:w="4000"/>
            <w:tcMar>
              <w:top w:w="80" w:type="dxa"/>
              <w:start w:w="120" w:type="dxa"/>
              <w:bottom w:w="80" w:type="dxa"/>
              <w:end w:w="120" w:type="dxa"/>
            </w:tcMar>
            <w:vAlign w:val="top"/>
          </w:tcPr>
          <w:p>
            <w:pPr>
              <w:spacing w:after="0"/>
            </w:pPr>
            <w:r>
              <w:rPr>
                <w:sz w:val="16"/>
              </w:rPr>
              <w:t>Waste collection, maintenance and similar services require an authorized city/contractor/association route; the app cannot create an informal public workforce.</w:t>
            </w:r>
          </w:p>
        </w:tc>
        <w:tc>
          <w:tcPr>
            <w:tcW w:type="dxa" w:w="3660"/>
            <w:tcMar>
              <w:top w:w="80" w:type="dxa"/>
              <w:start w:w="120" w:type="dxa"/>
              <w:bottom w:w="80" w:type="dxa"/>
              <w:end w:w="120" w:type="dxa"/>
            </w:tcMar>
            <w:vAlign w:val="top"/>
          </w:tcPr>
          <w:p>
            <w:pPr>
              <w:spacing w:after="0"/>
            </w:pPr>
            <w:r>
              <w:rPr>
                <w:sz w:val="16"/>
              </w:rPr>
              <w:t>Written mandate, procurement route, employment basis, risk assessment, PPE, supervision and accident cover</w:t>
            </w:r>
          </w:p>
        </w:tc>
      </w:tr>
      <w:tr>
        <w:trPr>
          <w:cantSplit/>
        </w:trPr>
        <w:tc>
          <w:tcPr>
            <w:tcW w:type="dxa" w:w="1700"/>
            <w:tcMar>
              <w:top w:w="80" w:type="dxa"/>
              <w:start w:w="120" w:type="dxa"/>
              <w:bottom w:w="80" w:type="dxa"/>
              <w:end w:w="120" w:type="dxa"/>
            </w:tcMar>
            <w:vAlign w:val="top"/>
          </w:tcPr>
          <w:p>
            <w:pPr>
              <w:spacing w:after="0"/>
            </w:pPr>
            <w:r>
              <w:rPr>
                <w:sz w:val="16"/>
              </w:rPr>
              <w:t>SIM and regulated retail</w:t>
            </w:r>
          </w:p>
        </w:tc>
        <w:tc>
          <w:tcPr>
            <w:tcW w:type="dxa" w:w="4000"/>
            <w:tcMar>
              <w:top w:w="80" w:type="dxa"/>
              <w:start w:w="120" w:type="dxa"/>
              <w:bottom w:w="80" w:type="dxa"/>
              <w:end w:w="120" w:type="dxa"/>
            </w:tcMar>
            <w:vAlign w:val="top"/>
          </w:tcPr>
          <w:p>
            <w:pPr>
              <w:spacing w:after="0"/>
            </w:pPr>
            <w:r>
              <w:rPr>
                <w:sz w:val="16"/>
              </w:rPr>
              <w:t>Only an authorized operator/retailer/reseller may sell or activate SIMs; platform never bypasses identity, fraud, consumer or warranty controls.</w:t>
            </w:r>
          </w:p>
        </w:tc>
        <w:tc>
          <w:tcPr>
            <w:tcW w:type="dxa" w:w="3660"/>
            <w:tcMar>
              <w:top w:w="80" w:type="dxa"/>
              <w:start w:w="120" w:type="dxa"/>
              <w:bottom w:w="80" w:type="dxa"/>
              <w:end w:w="120" w:type="dxa"/>
            </w:tcMar>
            <w:vAlign w:val="top"/>
          </w:tcPr>
          <w:p>
            <w:pPr>
              <w:spacing w:after="0"/>
            </w:pPr>
            <w:r>
              <w:rPr>
                <w:sz w:val="16"/>
              </w:rPr>
              <w:t>Retail agreement, approved inventory, receipt, support/refund and required customer verification</w:t>
            </w:r>
          </w:p>
        </w:tc>
      </w:tr>
      <w:tr>
        <w:trPr>
          <w:cantSplit/>
        </w:trPr>
        <w:tc>
          <w:tcPr>
            <w:tcW w:type="dxa" w:w="1700"/>
            <w:tcMar>
              <w:top w:w="80" w:type="dxa"/>
              <w:start w:w="120" w:type="dxa"/>
              <w:bottom w:w="80" w:type="dxa"/>
              <w:end w:w="120" w:type="dxa"/>
            </w:tcMar>
            <w:vAlign w:val="top"/>
          </w:tcPr>
          <w:p>
            <w:pPr>
              <w:spacing w:after="0"/>
            </w:pPr>
            <w:r>
              <w:rPr>
                <w:sz w:val="16"/>
              </w:rPr>
              <w:t>Badges and vouchers</w:t>
            </w:r>
          </w:p>
        </w:tc>
        <w:tc>
          <w:tcPr>
            <w:tcW w:type="dxa" w:w="4000"/>
            <w:tcMar>
              <w:top w:w="80" w:type="dxa"/>
              <w:start w:w="120" w:type="dxa"/>
              <w:bottom w:w="80" w:type="dxa"/>
              <w:end w:w="120" w:type="dxa"/>
            </w:tcMar>
            <w:vAlign w:val="top"/>
          </w:tcPr>
          <w:p>
            <w:pPr>
              <w:spacing w:after="0"/>
            </w:pPr>
            <w:r>
              <w:rPr>
                <w:sz w:val="16"/>
              </w:rPr>
              <w:t>Recognition badge has no transferable or redemption value. Essential-goods vouchers are separately funded and must not disguise wages.</w:t>
            </w:r>
          </w:p>
        </w:tc>
        <w:tc>
          <w:tcPr>
            <w:tcW w:type="dxa" w:w="3660"/>
            <w:tcMar>
              <w:top w:w="80" w:type="dxa"/>
              <w:start w:w="120" w:type="dxa"/>
              <w:bottom w:w="80" w:type="dxa"/>
              <w:end w:w="120" w:type="dxa"/>
            </w:tcMar>
            <w:vAlign w:val="top"/>
          </w:tcPr>
          <w:p>
            <w:pPr>
              <w:spacing w:after="0"/>
            </w:pPr>
            <w:r>
              <w:rPr>
                <w:sz w:val="16"/>
              </w:rPr>
              <w:t>Issuer terms, funding, face value, approved merchants, expiry/refund, accounting and no secondary market</w:t>
            </w:r>
          </w:p>
        </w:tc>
      </w:tr>
      <w:tr>
        <w:trPr>
          <w:cantSplit/>
        </w:trPr>
        <w:tc>
          <w:tcPr>
            <w:tcW w:type="dxa" w:w="1700"/>
            <w:tcMar>
              <w:top w:w="80" w:type="dxa"/>
              <w:start w:w="120" w:type="dxa"/>
              <w:bottom w:w="80" w:type="dxa"/>
              <w:end w:w="120" w:type="dxa"/>
            </w:tcMar>
            <w:vAlign w:val="top"/>
          </w:tcPr>
          <w:p>
            <w:pPr>
              <w:spacing w:after="0"/>
            </w:pPr>
            <w:r>
              <w:rPr>
                <w:sz w:val="16"/>
              </w:rPr>
              <w:t>Tradable activity token</w:t>
            </w:r>
          </w:p>
        </w:tc>
        <w:tc>
          <w:tcPr>
            <w:tcW w:type="dxa" w:w="4000"/>
            <w:tcMar>
              <w:top w:w="80" w:type="dxa"/>
              <w:start w:w="120" w:type="dxa"/>
              <w:bottom w:w="80" w:type="dxa"/>
              <w:end w:w="120" w:type="dxa"/>
            </w:tcMar>
            <w:vAlign w:val="top"/>
          </w:tcPr>
          <w:p>
            <w:pPr>
              <w:spacing w:after="0"/>
            </w:pPr>
            <w:r>
              <w:rPr>
                <w:sz w:val="16"/>
              </w:rPr>
              <w:t>Transferable ERC-20 issuance, DEX admission/liquidity, burn/buyback and voucher conversion are blocked from MVP.</w:t>
            </w:r>
          </w:p>
        </w:tc>
        <w:tc>
          <w:tcPr>
            <w:tcW w:type="dxa" w:w="3660"/>
            <w:tcMar>
              <w:top w:w="80" w:type="dxa"/>
              <w:start w:w="120" w:type="dxa"/>
              <w:bottom w:w="80" w:type="dxa"/>
              <w:end w:w="120" w:type="dxa"/>
            </w:tcMar>
            <w:vAlign w:val="top"/>
          </w:tcPr>
          <w:p>
            <w:pPr>
              <w:spacing w:after="0"/>
            </w:pPr>
            <w:r>
              <w:rPr>
                <w:sz w:val="16"/>
              </w:rPr>
              <w:t>Written labor/tax/crypto classification, accountable issuer, offering/trading/AML/consumer plan and independent audit</w:t>
            </w:r>
          </w:p>
        </w:tc>
      </w:tr>
      <w:tr>
        <w:trPr>
          <w:cantSplit/>
        </w:trPr>
        <w:tc>
          <w:tcPr>
            <w:tcW w:type="dxa" w:w="1700"/>
            <w:tcMar>
              <w:top w:w="80" w:type="dxa"/>
              <w:start w:w="120" w:type="dxa"/>
              <w:bottom w:w="80" w:type="dxa"/>
              <w:end w:w="120" w:type="dxa"/>
            </w:tcMar>
            <w:vAlign w:val="top"/>
          </w:tcPr>
          <w:p>
            <w:pPr>
              <w:spacing w:after="0"/>
            </w:pPr>
            <w:r>
              <w:rPr>
                <w:sz w:val="16"/>
              </w:rPr>
              <w:t>Content liability</w:t>
            </w:r>
          </w:p>
        </w:tc>
        <w:tc>
          <w:tcPr>
            <w:tcW w:type="dxa" w:w="4000"/>
            <w:tcMar>
              <w:top w:w="80" w:type="dxa"/>
              <w:start w:w="120" w:type="dxa"/>
              <w:bottom w:w="80" w:type="dxa"/>
              <w:end w:w="120" w:type="dxa"/>
            </w:tcMar>
            <w:vAlign w:val="top"/>
          </w:tcPr>
          <w:p>
            <w:pPr>
              <w:spacing w:after="0"/>
            </w:pPr>
            <w:r>
              <w:rPr>
                <w:sz w:val="16"/>
              </w:rPr>
              <w:t>Listings are verified pointers, not legal/medical advice; emergencies point to official numbers.</w:t>
            </w:r>
          </w:p>
        </w:tc>
        <w:tc>
          <w:tcPr>
            <w:tcW w:type="dxa" w:w="3660"/>
            <w:tcMar>
              <w:top w:w="80" w:type="dxa"/>
              <w:start w:w="120" w:type="dxa"/>
              <w:bottom w:w="80" w:type="dxa"/>
              <w:end w:w="120" w:type="dxa"/>
            </w:tcMar>
            <w:vAlign w:val="top"/>
          </w:tcPr>
          <w:p>
            <w:pPr>
              <w:spacing w:after="0"/>
            </w:pPr>
            <w:r>
              <w:rPr>
                <w:sz w:val="16"/>
              </w:rPr>
              <w:t>Provider permission, review date, disclaimer and correction mechanism</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DEBEC"/>
          </w:tcPr>
          <w:p>
            <w:pPr>
              <w:spacing w:after="40"/>
            </w:pPr>
            <w:r>
              <w:rPr>
                <w:b/>
                <w:color w:val="0B2545"/>
              </w:rPr>
              <w:t>No invisible-liability launch</w:t>
              <w:br/>
            </w:r>
            <w:r>
              <w:rPr>
                <w:sz w:val="19"/>
              </w:rPr>
              <w:t>A decentralised contract is not a legal invisibility device. Compliance starts with the first euro-equivalent and the first personal-data record. If the adminWallet controller cannot lawfully account for receipts or issue required documents, collect non-binding sponsor commitments but do not enable payments. Obtain French accounting/tax advice before scaling.</w:t>
            </w:r>
          </w:p>
        </w:tc>
      </w:tr>
    </w:tbl>
    <w:p>
      <w:pPr>
        <w:pStyle w:val="TableSource"/>
      </w:pPr>
    </w:p>
    <w:p>
      <w:pPr>
        <w:pStyle w:val="Heading1"/>
      </w:pPr>
      <w:r>
        <w:t>9. Decentralised payment and content protocol</w:t>
      </w:r>
    </w:p>
    <w:p>
      <w:r>
        <w:t>The MVP issues no asset. It uses one existing, independently issued Base payment token selected in the signed deployment manifest. The router is non-custodial in the narrow technical sense: during a successful call, funds move atomically from sponsor to beneficiary and adminWallet; the contract retains no balance by design.</w:t>
      </w:r>
    </w:p>
    <w:tbl>
      <w:tblPr>
        <w:tblStyle w:val="TableGrid"/>
        <w:tblW w:type="dxa" w:w="9360"/>
        <w:jc w:val="center"/>
        <w:tblLayout w:type="fixed"/>
        <w:tblLook w:firstColumn="1" w:firstRow="1" w:lastColumn="0" w:lastRow="0" w:noHBand="0" w:noVBand="1" w:val="04A0"/>
        <w:tblInd w:w="120" w:type="dxa"/>
      </w:tblPr>
      <w:tblGrid>
        <w:gridCol w:w="2100"/>
        <w:gridCol w:w="3850"/>
        <w:gridCol w:w="3410"/>
      </w:tblGrid>
      <w:tr>
        <w:trPr>
          <w:tblHeader w:val="true"/>
          <w:cantSplit/>
        </w:trPr>
        <w:tc>
          <w:tcPr>
            <w:tcW w:type="dxa" w:w="2100"/>
            <w:shd w:fill="E8EEF5"/>
            <w:tcMar>
              <w:top w:w="80" w:type="dxa"/>
              <w:start w:w="120" w:type="dxa"/>
              <w:bottom w:w="80" w:type="dxa"/>
              <w:end w:w="120" w:type="dxa"/>
            </w:tcMar>
            <w:vAlign w:val="top"/>
          </w:tcPr>
          <w:p>
            <w:pPr>
              <w:spacing w:after="0"/>
            </w:pPr>
            <w:r>
              <w:rPr>
                <w:b/>
                <w:color w:val="0B2545"/>
                <w:sz w:val="17"/>
              </w:rPr>
              <w:t>Parameter</w:t>
            </w:r>
          </w:p>
        </w:tc>
        <w:tc>
          <w:tcPr>
            <w:tcW w:type="dxa" w:w="3850"/>
            <w:shd w:fill="E8EEF5"/>
            <w:tcMar>
              <w:top w:w="80" w:type="dxa"/>
              <w:start w:w="120" w:type="dxa"/>
              <w:bottom w:w="80" w:type="dxa"/>
              <w:end w:w="120" w:type="dxa"/>
            </w:tcMar>
            <w:vAlign w:val="top"/>
          </w:tcPr>
          <w:p>
            <w:pPr>
              <w:spacing w:after="0"/>
            </w:pPr>
            <w:r>
              <w:rPr>
                <w:b/>
                <w:color w:val="0B2545"/>
                <w:sz w:val="17"/>
              </w:rPr>
              <w:t>MVP requirement</w:t>
            </w:r>
          </w:p>
        </w:tc>
        <w:tc>
          <w:tcPr>
            <w:tcW w:type="dxa" w:w="3410"/>
            <w:shd w:fill="E8EEF5"/>
            <w:tcMar>
              <w:top w:w="80" w:type="dxa"/>
              <w:start w:w="120" w:type="dxa"/>
              <w:bottom w:w="80" w:type="dxa"/>
              <w:end w:w="120" w:type="dxa"/>
            </w:tcMar>
            <w:vAlign w:val="top"/>
          </w:tcPr>
          <w:p>
            <w:pPr>
              <w:spacing w:after="0"/>
            </w:pPr>
            <w:r>
              <w:rPr>
                <w:b/>
                <w:color w:val="0B2545"/>
                <w:sz w:val="17"/>
              </w:rPr>
              <w:t>Reason</w:t>
            </w:r>
          </w:p>
        </w:tc>
      </w:tr>
      <w:tr>
        <w:trPr>
          <w:cantSplit/>
        </w:trPr>
        <w:tc>
          <w:tcPr>
            <w:tcW w:type="dxa" w:w="2100"/>
            <w:tcMar>
              <w:top w:w="80" w:type="dxa"/>
              <w:start w:w="120" w:type="dxa"/>
              <w:bottom w:w="80" w:type="dxa"/>
              <w:end w:w="120" w:type="dxa"/>
            </w:tcMar>
            <w:vAlign w:val="top"/>
          </w:tcPr>
          <w:p>
            <w:pPr>
              <w:spacing w:after="0"/>
            </w:pPr>
            <w:r>
              <w:rPr>
                <w:sz w:val="16"/>
              </w:rPr>
              <w:t>paymentToken</w:t>
            </w:r>
          </w:p>
        </w:tc>
        <w:tc>
          <w:tcPr>
            <w:tcW w:type="dxa" w:w="3850"/>
            <w:tcMar>
              <w:top w:w="80" w:type="dxa"/>
              <w:start w:w="120" w:type="dxa"/>
              <w:bottom w:w="80" w:type="dxa"/>
              <w:end w:w="120" w:type="dxa"/>
            </w:tcMar>
            <w:vAlign w:val="top"/>
          </w:tcPr>
          <w:p>
            <w:pPr>
              <w:spacing w:after="0"/>
            </w:pPr>
            <w:r>
              <w:rPr>
                <w:sz w:val="16"/>
              </w:rPr>
              <w:t>Immutable, verified Base ERC-20 address</w:t>
            </w:r>
          </w:p>
        </w:tc>
        <w:tc>
          <w:tcPr>
            <w:tcW w:type="dxa" w:w="3410"/>
            <w:tcMar>
              <w:top w:w="80" w:type="dxa"/>
              <w:start w:w="120" w:type="dxa"/>
              <w:bottom w:w="80" w:type="dxa"/>
              <w:end w:w="120" w:type="dxa"/>
            </w:tcMar>
            <w:vAlign w:val="top"/>
          </w:tcPr>
          <w:p>
            <w:pPr>
              <w:spacing w:after="0"/>
            </w:pPr>
            <w:r>
              <w:rPr>
                <w:sz w:val="16"/>
              </w:rPr>
              <w:t>Prevents arbitrary-asset substitution</w:t>
            </w:r>
          </w:p>
        </w:tc>
      </w:tr>
      <w:tr>
        <w:trPr>
          <w:cantSplit/>
        </w:trPr>
        <w:tc>
          <w:tcPr>
            <w:tcW w:type="dxa" w:w="2100"/>
            <w:tcMar>
              <w:top w:w="80" w:type="dxa"/>
              <w:start w:w="120" w:type="dxa"/>
              <w:bottom w:w="80" w:type="dxa"/>
              <w:end w:w="120" w:type="dxa"/>
            </w:tcMar>
            <w:vAlign w:val="top"/>
          </w:tcPr>
          <w:p>
            <w:pPr>
              <w:spacing w:after="0"/>
            </w:pPr>
            <w:r>
              <w:rPr>
                <w:sz w:val="16"/>
              </w:rPr>
              <w:t>adminWallet</w:t>
            </w:r>
          </w:p>
        </w:tc>
        <w:tc>
          <w:tcPr>
            <w:tcW w:type="dxa" w:w="3850"/>
            <w:tcMar>
              <w:top w:w="80" w:type="dxa"/>
              <w:start w:w="120" w:type="dxa"/>
              <w:bottom w:w="80" w:type="dxa"/>
              <w:end w:w="120" w:type="dxa"/>
            </w:tcMar>
            <w:vAlign w:val="top"/>
          </w:tcPr>
          <w:p>
            <w:pPr>
              <w:spacing w:after="0"/>
            </w:pPr>
            <w:r>
              <w:rPr>
                <w:sz w:val="16"/>
              </w:rPr>
              <w:t>Founder-supplied public EVM address, immutable</w:t>
            </w:r>
          </w:p>
        </w:tc>
        <w:tc>
          <w:tcPr>
            <w:tcW w:type="dxa" w:w="3410"/>
            <w:tcMar>
              <w:top w:w="80" w:type="dxa"/>
              <w:start w:w="120" w:type="dxa"/>
              <w:bottom w:w="80" w:type="dxa"/>
              <w:end w:w="120" w:type="dxa"/>
            </w:tcMar>
            <w:vAlign w:val="top"/>
          </w:tcPr>
          <w:p>
            <w:pPr>
              <w:spacing w:after="0"/>
            </w:pPr>
            <w:r>
              <w:rPr>
                <w:sz w:val="16"/>
              </w:rPr>
              <w:t>Clear fee destination; no hidden recipient</w:t>
            </w:r>
          </w:p>
        </w:tc>
      </w:tr>
      <w:tr>
        <w:trPr>
          <w:cantSplit/>
        </w:trPr>
        <w:tc>
          <w:tcPr>
            <w:tcW w:type="dxa" w:w="2100"/>
            <w:tcMar>
              <w:top w:w="80" w:type="dxa"/>
              <w:start w:w="120" w:type="dxa"/>
              <w:bottom w:w="80" w:type="dxa"/>
              <w:end w:w="120" w:type="dxa"/>
            </w:tcMar>
            <w:vAlign w:val="top"/>
          </w:tcPr>
          <w:p>
            <w:pPr>
              <w:spacing w:after="0"/>
            </w:pPr>
            <w:r>
              <w:rPr>
                <w:sz w:val="16"/>
              </w:rPr>
              <w:t>adminFeeBps</w:t>
            </w:r>
          </w:p>
        </w:tc>
        <w:tc>
          <w:tcPr>
            <w:tcW w:type="dxa" w:w="3850"/>
            <w:tcMar>
              <w:top w:w="80" w:type="dxa"/>
              <w:start w:w="120" w:type="dxa"/>
              <w:bottom w:w="80" w:type="dxa"/>
              <w:end w:w="120" w:type="dxa"/>
            </w:tcMar>
            <w:vAlign w:val="top"/>
          </w:tcPr>
          <w:p>
            <w:pPr>
              <w:spacing w:after="0"/>
            </w:pPr>
            <w:r>
              <w:rPr>
                <w:sz w:val="16"/>
              </w:rPr>
              <w:t>1,000 basis points (10%), immutable; hard-coded maximum 1,000</w:t>
            </w:r>
          </w:p>
        </w:tc>
        <w:tc>
          <w:tcPr>
            <w:tcW w:type="dxa" w:w="3410"/>
            <w:tcMar>
              <w:top w:w="80" w:type="dxa"/>
              <w:start w:w="120" w:type="dxa"/>
              <w:bottom w:w="80" w:type="dxa"/>
              <w:end w:w="120" w:type="dxa"/>
            </w:tcMar>
            <w:vAlign w:val="top"/>
          </w:tcPr>
          <w:p>
            <w:pPr>
              <w:spacing w:after="0"/>
            </w:pPr>
            <w:r>
              <w:rPr>
                <w:sz w:val="16"/>
              </w:rPr>
              <w:t>Predictable economics and beneficiary protection</w:t>
            </w:r>
          </w:p>
        </w:tc>
      </w:tr>
      <w:tr>
        <w:trPr>
          <w:cantSplit/>
        </w:trPr>
        <w:tc>
          <w:tcPr>
            <w:tcW w:type="dxa" w:w="2100"/>
            <w:tcMar>
              <w:top w:w="80" w:type="dxa"/>
              <w:start w:w="120" w:type="dxa"/>
              <w:bottom w:w="80" w:type="dxa"/>
              <w:end w:w="120" w:type="dxa"/>
            </w:tcMar>
            <w:vAlign w:val="top"/>
          </w:tcPr>
          <w:p>
            <w:pPr>
              <w:spacing w:after="0"/>
            </w:pPr>
            <w:r>
              <w:rPr>
                <w:sz w:val="16"/>
              </w:rPr>
              <w:t>beneficiary</w:t>
            </w:r>
          </w:p>
        </w:tc>
        <w:tc>
          <w:tcPr>
            <w:tcW w:type="dxa" w:w="3850"/>
            <w:tcMar>
              <w:top w:w="80" w:type="dxa"/>
              <w:start w:w="120" w:type="dxa"/>
              <w:bottom w:w="80" w:type="dxa"/>
              <w:end w:w="120" w:type="dxa"/>
            </w:tcMar>
            <w:vAlign w:val="top"/>
          </w:tcPr>
          <w:p>
            <w:pPr>
              <w:spacing w:after="0"/>
            </w:pPr>
            <w:r>
              <w:rPr>
                <w:sz w:val="16"/>
              </w:rPr>
              <w:t>Chosen per sponsorship; never adminWallet or zero address</w:t>
            </w:r>
          </w:p>
        </w:tc>
        <w:tc>
          <w:tcPr>
            <w:tcW w:type="dxa" w:w="3410"/>
            <w:tcMar>
              <w:top w:w="80" w:type="dxa"/>
              <w:start w:w="120" w:type="dxa"/>
              <w:bottom w:w="80" w:type="dxa"/>
              <w:end w:w="120" w:type="dxa"/>
            </w:tcMar>
            <w:vAlign w:val="top"/>
          </w:tcPr>
          <w:p>
            <w:pPr>
              <w:spacing w:after="0"/>
            </w:pPr>
            <w:r>
              <w:rPr>
                <w:sz w:val="16"/>
              </w:rPr>
              <w:t>Direct funding without contract custody</w:t>
            </w:r>
          </w:p>
        </w:tc>
      </w:tr>
      <w:tr>
        <w:trPr>
          <w:cantSplit/>
        </w:trPr>
        <w:tc>
          <w:tcPr>
            <w:tcW w:type="dxa" w:w="2100"/>
            <w:tcMar>
              <w:top w:w="80" w:type="dxa"/>
              <w:start w:w="120" w:type="dxa"/>
              <w:bottom w:w="80" w:type="dxa"/>
              <w:end w:w="120" w:type="dxa"/>
            </w:tcMar>
            <w:vAlign w:val="top"/>
          </w:tcPr>
          <w:p>
            <w:pPr>
              <w:spacing w:after="0"/>
            </w:pPr>
            <w:r>
              <w:rPr>
                <w:sz w:val="16"/>
              </w:rPr>
              <w:t>referralCode</w:t>
            </w:r>
          </w:p>
        </w:tc>
        <w:tc>
          <w:tcPr>
            <w:tcW w:type="dxa" w:w="3850"/>
            <w:tcMar>
              <w:top w:w="80" w:type="dxa"/>
              <w:start w:w="120" w:type="dxa"/>
              <w:bottom w:w="80" w:type="dxa"/>
              <w:end w:w="120" w:type="dxa"/>
            </w:tcMar>
            <w:vAlign w:val="top"/>
          </w:tcPr>
          <w:p>
            <w:pPr>
              <w:spacing w:after="0"/>
            </w:pPr>
            <w:r>
              <w:rPr>
                <w:sz w:val="16"/>
              </w:rPr>
              <w:t>Optional bytes32 campaign attribution only</w:t>
            </w:r>
          </w:p>
        </w:tc>
        <w:tc>
          <w:tcPr>
            <w:tcW w:type="dxa" w:w="3410"/>
            <w:tcMar>
              <w:top w:w="80" w:type="dxa"/>
              <w:start w:w="120" w:type="dxa"/>
              <w:bottom w:w="80" w:type="dxa"/>
              <w:end w:w="120" w:type="dxa"/>
            </w:tcMar>
            <w:vAlign w:val="top"/>
          </w:tcPr>
          <w:p>
            <w:pPr>
              <w:spacing w:after="0"/>
            </w:pPr>
            <w:r>
              <w:rPr>
                <w:sz w:val="16"/>
              </w:rPr>
              <w:t>No personal commissions or beneficiary tracking</w:t>
            </w:r>
          </w:p>
        </w:tc>
      </w:tr>
      <w:tr>
        <w:trPr>
          <w:cantSplit/>
        </w:trPr>
        <w:tc>
          <w:tcPr>
            <w:tcW w:type="dxa" w:w="2100"/>
            <w:tcMar>
              <w:top w:w="80" w:type="dxa"/>
              <w:start w:w="120" w:type="dxa"/>
              <w:bottom w:w="80" w:type="dxa"/>
              <w:end w:w="120" w:type="dxa"/>
            </w:tcMar>
            <w:vAlign w:val="top"/>
          </w:tcPr>
          <w:p>
            <w:pPr>
              <w:spacing w:after="0"/>
            </w:pPr>
            <w:r>
              <w:rPr>
                <w:sz w:val="16"/>
              </w:rPr>
              <w:t>upgradeability</w:t>
            </w:r>
          </w:p>
        </w:tc>
        <w:tc>
          <w:tcPr>
            <w:tcW w:type="dxa" w:w="3850"/>
            <w:tcMar>
              <w:top w:w="80" w:type="dxa"/>
              <w:start w:w="120" w:type="dxa"/>
              <w:bottom w:w="80" w:type="dxa"/>
              <w:end w:w="120" w:type="dxa"/>
            </w:tcMar>
            <w:vAlign w:val="top"/>
          </w:tcPr>
          <w:p>
            <w:pPr>
              <w:spacing w:after="0"/>
            </w:pPr>
            <w:r>
              <w:rPr>
                <w:sz w:val="16"/>
              </w:rPr>
              <w:t>None</w:t>
            </w:r>
          </w:p>
        </w:tc>
        <w:tc>
          <w:tcPr>
            <w:tcW w:type="dxa" w:w="3410"/>
            <w:tcMar>
              <w:top w:w="80" w:type="dxa"/>
              <w:start w:w="120" w:type="dxa"/>
              <w:bottom w:w="80" w:type="dxa"/>
              <w:end w:w="120" w:type="dxa"/>
            </w:tcMar>
            <w:vAlign w:val="top"/>
          </w:tcPr>
          <w:p>
            <w:pPr>
              <w:spacing w:after="0"/>
            </w:pPr>
            <w:r>
              <w:rPr>
                <w:sz w:val="16"/>
              </w:rPr>
              <w:t>No proxy admin or post-launch logic replacement</w:t>
            </w:r>
          </w:p>
        </w:tc>
      </w:tr>
    </w:tbl>
    <w:p>
      <w:pPr>
        <w:pStyle w:val="TableSource"/>
      </w:pPr>
    </w:p>
    <w:p>
      <w:pPr>
        <w:pStyle w:val="Heading2"/>
      </w:pPr>
      <w:r>
        <w:t>9.1 Contract interface</w:t>
      </w: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4F6F9"/>
          </w:tcPr>
          <w:p>
            <w:pPr>
              <w:spacing w:after="40"/>
            </w:pPr>
            <w:r>
              <w:rPr>
                <w:b/>
                <w:color w:val="0B2545"/>
              </w:rPr>
              <w:t>Normative Solidity surface</w:t>
              <w:br/>
            </w:r>
            <w:r>
              <w:rPr>
                <w:sz w:val="19"/>
              </w:rPr>
              <w:t>constructor(address paymentToken_, address adminWallet_, uint16 adminFeeBps_)</w:t>
              <w:br/>
              <w:t>function sponsor(bytes32 campaignId, address beneficiary, uint256 amount, bytes32 referralCode) external</w:t>
              <w:br/>
              <w:t>function quote(uint256 amount) external view returns (uint256 beneficiaryAmount, uint256 adminAmount)</w:t>
              <w:br/>
              <w:t>event Sponsored(bytes32 indexed campaignId, address indexed sponsor, address indexed beneficiary, uint256 grossAmount, uint256 beneficiaryAmount, uint256 adminAmount, bytes32 referralCode)</w:t>
            </w:r>
          </w:p>
        </w:tc>
      </w:tr>
    </w:tbl>
    <w:p>
      <w:pPr>
        <w:pStyle w:val="TableSource"/>
      </w:pPr>
    </w:p>
    <w:p>
      <w:pPr>
        <w:pStyle w:val="Heading2"/>
      </w:pPr>
      <w:r>
        <w:t>9.2 Contract invariants</w:t>
      </w:r>
    </w:p>
    <w:p>
      <w:pPr>
        <w:pStyle w:val="ListBullet"/>
      </w:pPr>
      <w:r>
        <w:t>For every successful sponsorship: beneficiaryAmount + adminAmount = grossAmount; rounding remainder goes to beneficiary.</w:t>
      </w:r>
    </w:p>
    <w:p>
      <w:pPr>
        <w:pStyle w:val="ListBullet"/>
      </w:pPr>
      <w:r>
        <w:t>adminAmount never exceeds 10% of grossAmount; adminWallet, paymentToken and fee are immutable.</w:t>
      </w:r>
    </w:p>
    <w:p>
      <w:pPr>
        <w:pStyle w:val="ListBullet"/>
      </w:pPr>
      <w:r>
        <w:t>Contract token balance is zero after each successful call; accidental-token recovery is intentionally absent unless an audited, time-locked design is approved before deployment.</w:t>
      </w:r>
    </w:p>
    <w:p>
      <w:pPr>
        <w:pStyle w:val="ListBullet"/>
      </w:pPr>
      <w:r>
        <w:t>No owner, pause, blacklist, mint, burn, permit-signature collection, arbitrary call, delegatecall, upgrade or fee-change function.</w:t>
      </w:r>
    </w:p>
    <w:p>
      <w:pPr>
        <w:pStyle w:val="ListBullet"/>
      </w:pPr>
      <w:r>
        <w:t>Checks-effects-interactions, SafeERC20, nonReentrant and explicit zero-address/zero-amount/same-recipient reverts.</w:t>
      </w:r>
    </w:p>
    <w:p>
      <w:pPr>
        <w:pStyle w:val="ListBullet"/>
      </w:pPr>
      <w:r>
        <w:t>Fee-on-transfer, rebasing and callback-bearing tokens are unsupported; exact balance-delta tests must reject incompatible behavior.</w:t>
      </w:r>
    </w:p>
    <w:p>
      <w:pPr>
        <w:pStyle w:val="Heading2"/>
      </w:pPr>
      <w:r>
        <w:t>9.3 Admin-wallet configuration</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top"/>
          </w:tcPr>
          <w:p>
            <w:pPr>
              <w:spacing w:after="0"/>
            </w:pPr>
            <w:r>
              <w:rPr>
                <w:b/>
                <w:color w:val="0B2545"/>
                <w:sz w:val="18"/>
              </w:rPr>
              <w:t>Step</w:t>
            </w:r>
          </w:p>
        </w:tc>
        <w:tc>
          <w:tcPr>
            <w:tcW w:type="dxa" w:w="7160"/>
            <w:shd w:fill="E8EEF5"/>
            <w:tcMar>
              <w:top w:w="80" w:type="dxa"/>
              <w:start w:w="120" w:type="dxa"/>
              <w:bottom w:w="80" w:type="dxa"/>
              <w:end w:w="120" w:type="dxa"/>
            </w:tcMar>
            <w:vAlign w:val="top"/>
          </w:tcPr>
          <w:p>
            <w:pPr>
              <w:spacing w:after="0"/>
            </w:pPr>
            <w:r>
              <w:rPr>
                <w:b/>
                <w:color w:val="0B2545"/>
                <w:sz w:val="18"/>
              </w:rPr>
              <w:t>Requirement</w:t>
            </w:r>
          </w:p>
        </w:tc>
      </w:tr>
      <w:tr>
        <w:trPr>
          <w:cantSplit/>
        </w:trPr>
        <w:tc>
          <w:tcPr>
            <w:tcW w:type="dxa" w:w="2200"/>
            <w:tcMar>
              <w:top w:w="80" w:type="dxa"/>
              <w:start w:w="120" w:type="dxa"/>
              <w:bottom w:w="80" w:type="dxa"/>
              <w:end w:w="120" w:type="dxa"/>
            </w:tcMar>
            <w:vAlign w:val="top"/>
          </w:tcPr>
          <w:p>
            <w:pPr>
              <w:spacing w:after="0"/>
            </w:pPr>
            <w:r>
              <w:rPr>
                <w:sz w:val="17"/>
              </w:rPr>
              <w:t>Address input</w:t>
            </w:r>
          </w:p>
        </w:tc>
        <w:tc>
          <w:tcPr>
            <w:tcW w:type="dxa" w:w="7160"/>
            <w:tcMar>
              <w:top w:w="80" w:type="dxa"/>
              <w:start w:w="120" w:type="dxa"/>
              <w:bottom w:w="80" w:type="dxa"/>
              <w:end w:w="120" w:type="dxa"/>
            </w:tcMar>
            <w:vAlign w:val="top"/>
          </w:tcPr>
          <w:p>
            <w:pPr>
              <w:spacing w:after="0"/>
            </w:pPr>
            <w:r>
              <w:rPr>
                <w:sz w:val="17"/>
              </w:rPr>
              <w:t>User supplies only the checksummed public 0x address. Codex must never request, log or store a seed phrase/private key.</w:t>
            </w:r>
          </w:p>
        </w:tc>
      </w:tr>
      <w:tr>
        <w:trPr>
          <w:cantSplit/>
        </w:trPr>
        <w:tc>
          <w:tcPr>
            <w:tcW w:type="dxa" w:w="2200"/>
            <w:tcMar>
              <w:top w:w="80" w:type="dxa"/>
              <w:start w:w="120" w:type="dxa"/>
              <w:bottom w:w="80" w:type="dxa"/>
              <w:end w:w="120" w:type="dxa"/>
            </w:tcMar>
            <w:vAlign w:val="top"/>
          </w:tcPr>
          <w:p>
            <w:pPr>
              <w:spacing w:after="0"/>
            </w:pPr>
            <w:r>
              <w:rPr>
                <w:sz w:val="17"/>
              </w:rPr>
              <w:t>Ownership proof</w:t>
            </w:r>
          </w:p>
        </w:tc>
        <w:tc>
          <w:tcPr>
            <w:tcW w:type="dxa" w:w="7160"/>
            <w:tcMar>
              <w:top w:w="80" w:type="dxa"/>
              <w:start w:w="120" w:type="dxa"/>
              <w:bottom w:w="80" w:type="dxa"/>
              <w:end w:w="120" w:type="dxa"/>
            </w:tcMar>
            <w:vAlign w:val="top"/>
          </w:tcPr>
          <w:p>
            <w:pPr>
              <w:spacing w:after="0"/>
            </w:pPr>
            <w:r>
              <w:rPr>
                <w:sz w:val="17"/>
              </w:rPr>
              <w:t>Before mainnet deployment, sign a human-readable message containing project name, chain ID and deployment nonce.</w:t>
            </w:r>
          </w:p>
        </w:tc>
      </w:tr>
      <w:tr>
        <w:trPr>
          <w:cantSplit/>
        </w:trPr>
        <w:tc>
          <w:tcPr>
            <w:tcW w:type="dxa" w:w="2200"/>
            <w:tcMar>
              <w:top w:w="80" w:type="dxa"/>
              <w:start w:w="120" w:type="dxa"/>
              <w:bottom w:w="80" w:type="dxa"/>
              <w:end w:w="120" w:type="dxa"/>
            </w:tcMar>
            <w:vAlign w:val="top"/>
          </w:tcPr>
          <w:p>
            <w:pPr>
              <w:spacing w:after="0"/>
            </w:pPr>
            <w:r>
              <w:rPr>
                <w:sz w:val="17"/>
              </w:rPr>
              <w:t>Recovery strategy</w:t>
            </w:r>
          </w:p>
        </w:tc>
        <w:tc>
          <w:tcPr>
            <w:tcW w:type="dxa" w:w="7160"/>
            <w:tcMar>
              <w:top w:w="80" w:type="dxa"/>
              <w:start w:w="120" w:type="dxa"/>
              <w:bottom w:w="80" w:type="dxa"/>
              <w:end w:w="120" w:type="dxa"/>
            </w:tcMar>
            <w:vAlign w:val="top"/>
          </w:tcPr>
          <w:p>
            <w:pPr>
              <w:spacing w:after="0"/>
            </w:pPr>
            <w:r>
              <w:rPr>
                <w:sz w:val="17"/>
              </w:rPr>
              <w:t>Recommended: use a smart account/multisig as the immutable recipient so signer keys can rotate while the recipient address stays constant.</w:t>
            </w:r>
          </w:p>
        </w:tc>
      </w:tr>
      <w:tr>
        <w:trPr>
          <w:cantSplit/>
        </w:trPr>
        <w:tc>
          <w:tcPr>
            <w:tcW w:type="dxa" w:w="2200"/>
            <w:tcMar>
              <w:top w:w="80" w:type="dxa"/>
              <w:start w:w="120" w:type="dxa"/>
              <w:bottom w:w="80" w:type="dxa"/>
              <w:end w:w="120" w:type="dxa"/>
            </w:tcMar>
            <w:vAlign w:val="top"/>
          </w:tcPr>
          <w:p>
            <w:pPr>
              <w:spacing w:after="0"/>
            </w:pPr>
            <w:r>
              <w:rPr>
                <w:sz w:val="17"/>
              </w:rPr>
              <w:t>Dry run</w:t>
            </w:r>
          </w:p>
        </w:tc>
        <w:tc>
          <w:tcPr>
            <w:tcW w:type="dxa" w:w="7160"/>
            <w:tcMar>
              <w:top w:w="80" w:type="dxa"/>
              <w:start w:w="120" w:type="dxa"/>
              <w:bottom w:w="80" w:type="dxa"/>
              <w:end w:w="120" w:type="dxa"/>
            </w:tcMar>
            <w:vAlign w:val="top"/>
          </w:tcPr>
          <w:p>
            <w:pPr>
              <w:spacing w:after="0"/>
            </w:pPr>
            <w:r>
              <w:rPr>
                <w:sz w:val="17"/>
              </w:rPr>
              <w:t>Testnet sponsor transaction verifies receipt, event fields, 90/10 split and wallet accounting export.</w:t>
            </w:r>
          </w:p>
        </w:tc>
      </w:tr>
      <w:tr>
        <w:trPr>
          <w:cantSplit/>
        </w:trPr>
        <w:tc>
          <w:tcPr>
            <w:tcW w:type="dxa" w:w="2200"/>
            <w:tcMar>
              <w:top w:w="80" w:type="dxa"/>
              <w:start w:w="120" w:type="dxa"/>
              <w:bottom w:w="80" w:type="dxa"/>
              <w:end w:w="120" w:type="dxa"/>
            </w:tcMar>
            <w:vAlign w:val="top"/>
          </w:tcPr>
          <w:p>
            <w:pPr>
              <w:spacing w:after="0"/>
            </w:pPr>
            <w:r>
              <w:rPr>
                <w:sz w:val="17"/>
              </w:rPr>
              <w:t>Deployment confirmation</w:t>
            </w:r>
          </w:p>
        </w:tc>
        <w:tc>
          <w:tcPr>
            <w:tcW w:type="dxa" w:w="7160"/>
            <w:tcMar>
              <w:top w:w="80" w:type="dxa"/>
              <w:start w:w="120" w:type="dxa"/>
              <w:bottom w:w="80" w:type="dxa"/>
              <w:end w:w="120" w:type="dxa"/>
            </w:tcMar>
            <w:vAlign w:val="top"/>
          </w:tcPr>
          <w:p>
            <w:pPr>
              <w:spacing w:after="0"/>
            </w:pPr>
            <w:r>
              <w:rPr>
                <w:sz w:val="17"/>
              </w:rPr>
              <w:t>Codex prints chain, token, adminWallet, fee, compiler, source hash and predicted address; user must type DEPLOY MAINNET.</w:t>
            </w:r>
          </w:p>
        </w:tc>
      </w:tr>
    </w:tbl>
    <w:p>
      <w:pPr>
        <w:pStyle w:val="TableSource"/>
      </w:pPr>
    </w:p>
    <w:p>
      <w:pPr>
        <w:pStyle w:val="Heading2"/>
      </w:pPr>
      <w:r>
        <w:t>9.4 Decentralised listing protocol</w:t>
      </w:r>
    </w:p>
    <w:p>
      <w:pPr>
        <w:pStyle w:val="ListBullet"/>
      </w:pPr>
      <w:r>
        <w:t>Each listing is canonical JSON with deterministic serialization and a content hash; documents are stored on IPFS and mirrored in Git.</w:t>
      </w:r>
    </w:p>
    <w:p>
      <w:pPr>
        <w:pStyle w:val="ListBullet"/>
      </w:pPr>
      <w:r>
        <w:t>Provider, verifier and translator sign typed attestations over contentHash, role, locale, issuedAt and expiresAt.</w:t>
      </w:r>
    </w:p>
    <w:p>
      <w:pPr>
        <w:pStyle w:val="ListBullet"/>
      </w:pPr>
      <w:r>
        <w:t>Official frontend default: provider signature plus two independent verifier signatures for emergency/health/accommodation; one provider plus one verifier for lower-risk listings.</w:t>
      </w:r>
    </w:p>
    <w:p>
      <w:pPr>
        <w:pStyle w:val="ListBullet"/>
      </w:pPr>
      <w:r>
        <w:t>Anyone may host or fork a frontend, change trust policies and verify signatures locally. The adminWallet has no special signing or moderation status.</w:t>
      </w:r>
    </w:p>
    <w:p>
      <w:pPr>
        <w:pStyle w:val="ListBullet"/>
      </w:pPr>
      <w:r>
        <w:t>No precise refugee locations, identities, immigration status, case information or unpublished operational details enter the public data graph.</w:t>
      </w:r>
    </w:p>
    <w:p>
      <w:pPr>
        <w:pStyle w:val="Heading2"/>
      </w:pPr>
      <w:r>
        <w:t>9.5 Deployment manifest</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tblHeader w:val="true"/>
          <w:cantSplit/>
        </w:trPr>
        <w:tc>
          <w:tcPr>
            <w:tcW w:type="dxa" w:w="2900"/>
            <w:shd w:fill="E8EEF5"/>
            <w:tcMar>
              <w:top w:w="80" w:type="dxa"/>
              <w:start w:w="120" w:type="dxa"/>
              <w:bottom w:w="80" w:type="dxa"/>
              <w:end w:w="120" w:type="dxa"/>
            </w:tcMar>
            <w:vAlign w:val="top"/>
          </w:tcPr>
          <w:p>
            <w:pPr>
              <w:spacing w:after="0"/>
            </w:pPr>
            <w:r>
              <w:rPr>
                <w:b/>
                <w:color w:val="0B2545"/>
                <w:sz w:val="18"/>
              </w:rPr>
              <w:t>Field</w:t>
            </w:r>
          </w:p>
        </w:tc>
        <w:tc>
          <w:tcPr>
            <w:tcW w:type="dxa" w:w="6460"/>
            <w:shd w:fill="E8EEF5"/>
            <w:tcMar>
              <w:top w:w="80" w:type="dxa"/>
              <w:start w:w="120" w:type="dxa"/>
              <w:bottom w:w="80" w:type="dxa"/>
              <w:end w:w="120" w:type="dxa"/>
            </w:tcMar>
            <w:vAlign w:val="top"/>
          </w:tcPr>
          <w:p>
            <w:pPr>
              <w:spacing w:after="0"/>
            </w:pPr>
            <w:r>
              <w:rPr>
                <w:b/>
                <w:color w:val="0B2545"/>
                <w:sz w:val="18"/>
              </w:rPr>
              <w:t>Required value</w:t>
            </w:r>
          </w:p>
        </w:tc>
      </w:tr>
      <w:tr>
        <w:trPr>
          <w:cantSplit/>
        </w:trPr>
        <w:tc>
          <w:tcPr>
            <w:tcW w:type="dxa" w:w="2900"/>
            <w:tcMar>
              <w:top w:w="80" w:type="dxa"/>
              <w:start w:w="120" w:type="dxa"/>
              <w:bottom w:w="80" w:type="dxa"/>
              <w:end w:w="120" w:type="dxa"/>
            </w:tcMar>
            <w:vAlign w:val="top"/>
          </w:tcPr>
          <w:p>
            <w:pPr>
              <w:spacing w:after="0"/>
            </w:pPr>
            <w:r>
              <w:rPr>
                <w:sz w:val="17"/>
              </w:rPr>
              <w:t>chainId</w:t>
            </w:r>
          </w:p>
        </w:tc>
        <w:tc>
          <w:tcPr>
            <w:tcW w:type="dxa" w:w="6460"/>
            <w:tcMar>
              <w:top w:w="80" w:type="dxa"/>
              <w:start w:w="120" w:type="dxa"/>
              <w:bottom w:w="80" w:type="dxa"/>
              <w:end w:w="120" w:type="dxa"/>
            </w:tcMar>
            <w:vAlign w:val="top"/>
          </w:tcPr>
          <w:p>
            <w:pPr>
              <w:spacing w:after="0"/>
            </w:pPr>
            <w:r>
              <w:rPr>
                <w:sz w:val="17"/>
              </w:rPr>
              <w:t>Base mainnet chain ID, verified at build time</w:t>
            </w:r>
          </w:p>
        </w:tc>
      </w:tr>
      <w:tr>
        <w:trPr>
          <w:cantSplit/>
        </w:trPr>
        <w:tc>
          <w:tcPr>
            <w:tcW w:type="dxa" w:w="2900"/>
            <w:tcMar>
              <w:top w:w="80" w:type="dxa"/>
              <w:start w:w="120" w:type="dxa"/>
              <w:bottom w:w="80" w:type="dxa"/>
              <w:end w:w="120" w:type="dxa"/>
            </w:tcMar>
            <w:vAlign w:val="top"/>
          </w:tcPr>
          <w:p>
            <w:pPr>
              <w:spacing w:after="0"/>
            </w:pPr>
            <w:r>
              <w:rPr>
                <w:sz w:val="17"/>
              </w:rPr>
              <w:t>paymentToken</w:t>
            </w:r>
          </w:p>
        </w:tc>
        <w:tc>
          <w:tcPr>
            <w:tcW w:type="dxa" w:w="6460"/>
            <w:tcMar>
              <w:top w:w="80" w:type="dxa"/>
              <w:start w:w="120" w:type="dxa"/>
              <w:bottom w:w="80" w:type="dxa"/>
              <w:end w:w="120" w:type="dxa"/>
            </w:tcMar>
            <w:vAlign w:val="top"/>
          </w:tcPr>
          <w:p>
            <w:pPr>
              <w:spacing w:after="0"/>
            </w:pPr>
            <w:r>
              <w:rPr>
                <w:sz w:val="17"/>
              </w:rPr>
              <w:t>Verified address plus symbol/decimals read from chain</w:t>
            </w:r>
          </w:p>
        </w:tc>
      </w:tr>
      <w:tr>
        <w:trPr>
          <w:cantSplit/>
        </w:trPr>
        <w:tc>
          <w:tcPr>
            <w:tcW w:type="dxa" w:w="2900"/>
            <w:tcMar>
              <w:top w:w="80" w:type="dxa"/>
              <w:start w:w="120" w:type="dxa"/>
              <w:bottom w:w="80" w:type="dxa"/>
              <w:end w:w="120" w:type="dxa"/>
            </w:tcMar>
            <w:vAlign w:val="top"/>
          </w:tcPr>
          <w:p>
            <w:pPr>
              <w:spacing w:after="0"/>
            </w:pPr>
            <w:r>
              <w:rPr>
                <w:sz w:val="17"/>
              </w:rPr>
              <w:t>adminWallet</w:t>
            </w:r>
          </w:p>
        </w:tc>
        <w:tc>
          <w:tcPr>
            <w:tcW w:type="dxa" w:w="6460"/>
            <w:tcMar>
              <w:top w:w="80" w:type="dxa"/>
              <w:start w:w="120" w:type="dxa"/>
              <w:bottom w:w="80" w:type="dxa"/>
              <w:end w:w="120" w:type="dxa"/>
            </w:tcMar>
            <w:vAlign w:val="top"/>
          </w:tcPr>
          <w:p>
            <w:pPr>
              <w:spacing w:after="0"/>
            </w:pPr>
            <w:r>
              <w:rPr>
                <w:sz w:val="17"/>
              </w:rPr>
              <w:t>Founder-supplied checksummed public address</w:t>
            </w:r>
          </w:p>
        </w:tc>
      </w:tr>
      <w:tr>
        <w:trPr>
          <w:cantSplit/>
        </w:trPr>
        <w:tc>
          <w:tcPr>
            <w:tcW w:type="dxa" w:w="2900"/>
            <w:tcMar>
              <w:top w:w="80" w:type="dxa"/>
              <w:start w:w="120" w:type="dxa"/>
              <w:bottom w:w="80" w:type="dxa"/>
              <w:end w:w="120" w:type="dxa"/>
            </w:tcMar>
            <w:vAlign w:val="top"/>
          </w:tcPr>
          <w:p>
            <w:pPr>
              <w:spacing w:after="0"/>
            </w:pPr>
            <w:r>
              <w:rPr>
                <w:sz w:val="17"/>
              </w:rPr>
              <w:t>adminFeeBps</w:t>
            </w:r>
          </w:p>
        </w:tc>
        <w:tc>
          <w:tcPr>
            <w:tcW w:type="dxa" w:w="6460"/>
            <w:tcMar>
              <w:top w:w="80" w:type="dxa"/>
              <w:start w:w="120" w:type="dxa"/>
              <w:bottom w:w="80" w:type="dxa"/>
              <w:end w:w="120" w:type="dxa"/>
            </w:tcMar>
            <w:vAlign w:val="top"/>
          </w:tcPr>
          <w:p>
            <w:pPr>
              <w:spacing w:after="0"/>
            </w:pPr>
            <w:r>
              <w:rPr>
                <w:sz w:val="17"/>
              </w:rPr>
              <w:t>1000</w:t>
            </w:r>
          </w:p>
        </w:tc>
      </w:tr>
      <w:tr>
        <w:trPr>
          <w:cantSplit/>
        </w:trPr>
        <w:tc>
          <w:tcPr>
            <w:tcW w:type="dxa" w:w="2900"/>
            <w:tcMar>
              <w:top w:w="80" w:type="dxa"/>
              <w:start w:w="120" w:type="dxa"/>
              <w:bottom w:w="80" w:type="dxa"/>
              <w:end w:w="120" w:type="dxa"/>
            </w:tcMar>
            <w:vAlign w:val="top"/>
          </w:tcPr>
          <w:p>
            <w:pPr>
              <w:spacing w:after="0"/>
            </w:pPr>
            <w:r>
              <w:rPr>
                <w:sz w:val="17"/>
              </w:rPr>
              <w:t>compiler</w:t>
            </w:r>
          </w:p>
        </w:tc>
        <w:tc>
          <w:tcPr>
            <w:tcW w:type="dxa" w:w="6460"/>
            <w:tcMar>
              <w:top w:w="80" w:type="dxa"/>
              <w:start w:w="120" w:type="dxa"/>
              <w:bottom w:w="80" w:type="dxa"/>
              <w:end w:w="120" w:type="dxa"/>
            </w:tcMar>
            <w:vAlign w:val="top"/>
          </w:tcPr>
          <w:p>
            <w:pPr>
              <w:spacing w:after="0"/>
            </w:pPr>
            <w:r>
              <w:rPr>
                <w:sz w:val="17"/>
              </w:rPr>
              <w:t>Pinned Solidity compiler and optimizer settings</w:t>
            </w:r>
          </w:p>
        </w:tc>
      </w:tr>
      <w:tr>
        <w:trPr>
          <w:cantSplit/>
        </w:trPr>
        <w:tc>
          <w:tcPr>
            <w:tcW w:type="dxa" w:w="2900"/>
            <w:tcMar>
              <w:top w:w="80" w:type="dxa"/>
              <w:start w:w="120" w:type="dxa"/>
              <w:bottom w:w="80" w:type="dxa"/>
              <w:end w:w="120" w:type="dxa"/>
            </w:tcMar>
            <w:vAlign w:val="top"/>
          </w:tcPr>
          <w:p>
            <w:pPr>
              <w:spacing w:after="0"/>
            </w:pPr>
            <w:r>
              <w:rPr>
                <w:sz w:val="17"/>
              </w:rPr>
              <w:t>sourceCommit</w:t>
            </w:r>
          </w:p>
        </w:tc>
        <w:tc>
          <w:tcPr>
            <w:tcW w:type="dxa" w:w="6460"/>
            <w:tcMar>
              <w:top w:w="80" w:type="dxa"/>
              <w:start w:w="120" w:type="dxa"/>
              <w:bottom w:w="80" w:type="dxa"/>
              <w:end w:w="120" w:type="dxa"/>
            </w:tcMar>
            <w:vAlign w:val="top"/>
          </w:tcPr>
          <w:p>
            <w:pPr>
              <w:spacing w:after="0"/>
            </w:pPr>
            <w:r>
              <w:rPr>
                <w:sz w:val="17"/>
              </w:rPr>
              <w:t>Git commit and reproducible build hash</w:t>
            </w:r>
          </w:p>
        </w:tc>
      </w:tr>
      <w:tr>
        <w:trPr>
          <w:cantSplit/>
        </w:trPr>
        <w:tc>
          <w:tcPr>
            <w:tcW w:type="dxa" w:w="2900"/>
            <w:tcMar>
              <w:top w:w="80" w:type="dxa"/>
              <w:start w:w="120" w:type="dxa"/>
              <w:bottom w:w="80" w:type="dxa"/>
              <w:end w:w="120" w:type="dxa"/>
            </w:tcMar>
            <w:vAlign w:val="top"/>
          </w:tcPr>
          <w:p>
            <w:pPr>
              <w:spacing w:after="0"/>
            </w:pPr>
            <w:r>
              <w:rPr>
                <w:sz w:val="17"/>
              </w:rPr>
              <w:t>deployedBytecodeHash</w:t>
            </w:r>
          </w:p>
        </w:tc>
        <w:tc>
          <w:tcPr>
            <w:tcW w:type="dxa" w:w="6460"/>
            <w:tcMar>
              <w:top w:w="80" w:type="dxa"/>
              <w:start w:w="120" w:type="dxa"/>
              <w:bottom w:w="80" w:type="dxa"/>
              <w:end w:w="120" w:type="dxa"/>
            </w:tcMar>
            <w:vAlign w:val="top"/>
          </w:tcPr>
          <w:p>
            <w:pPr>
              <w:spacing w:after="0"/>
            </w:pPr>
            <w:r>
              <w:rPr>
                <w:sz w:val="17"/>
              </w:rPr>
              <w:t>Must match locally reproduced artifact</w:t>
            </w:r>
          </w:p>
        </w:tc>
      </w:tr>
      <w:tr>
        <w:trPr>
          <w:cantSplit/>
        </w:trPr>
        <w:tc>
          <w:tcPr>
            <w:tcW w:type="dxa" w:w="2900"/>
            <w:tcMar>
              <w:top w:w="80" w:type="dxa"/>
              <w:start w:w="120" w:type="dxa"/>
              <w:bottom w:w="80" w:type="dxa"/>
              <w:end w:w="120" w:type="dxa"/>
            </w:tcMar>
            <w:vAlign w:val="top"/>
          </w:tcPr>
          <w:p>
            <w:pPr>
              <w:spacing w:after="0"/>
            </w:pPr>
            <w:r>
              <w:rPr>
                <w:sz w:val="17"/>
              </w:rPr>
              <w:t>explorerVerification</w:t>
            </w:r>
          </w:p>
        </w:tc>
        <w:tc>
          <w:tcPr>
            <w:tcW w:type="dxa" w:w="6460"/>
            <w:tcMar>
              <w:top w:w="80" w:type="dxa"/>
              <w:start w:w="120" w:type="dxa"/>
              <w:bottom w:w="80" w:type="dxa"/>
              <w:end w:w="120" w:type="dxa"/>
            </w:tcMar>
            <w:vAlign w:val="top"/>
          </w:tcPr>
          <w:p>
            <w:pPr>
              <w:spacing w:after="0"/>
            </w:pPr>
            <w:r>
              <w:rPr>
                <w:sz w:val="17"/>
              </w:rPr>
              <w:t>Required before sponsor link is published</w:t>
            </w:r>
          </w:p>
        </w:tc>
      </w:tr>
    </w:tbl>
    <w:p>
      <w:pPr>
        <w:pStyle w:val="TableSource"/>
      </w:pPr>
    </w:p>
    <w:p>
      <w:pPr>
        <w:pStyle w:val="Heading2"/>
      </w:pPr>
      <w:r>
        <w:t>9.6 Fiat payment adapters</w:t>
      </w:r>
    </w:p>
    <w:p>
      <w:r>
        <w:t>Fiat adapters are optional edge services, not authorities over the directory or Base router. They normalize successful payments into the public impact ledger without exposing payment credentials, full bank details or unnecessary payer information.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vAlign w:val="top"/>
          </w:tcPr>
          <w:p>
            <w:pPr>
              <w:spacing w:after="0"/>
            </w:pPr>
            <w:r>
              <w:rPr>
                <w:b/>
                <w:color w:val="0B2545"/>
                <w:sz w:val="17"/>
              </w:rPr>
              <w:t>Component</w:t>
            </w:r>
          </w:p>
        </w:tc>
        <w:tc>
          <w:tcPr>
            <w:tcW w:type="dxa" w:w="7060"/>
            <w:shd w:fill="E8EEF5"/>
            <w:tcMar>
              <w:top w:w="80" w:type="dxa"/>
              <w:start w:w="120" w:type="dxa"/>
              <w:bottom w:w="80" w:type="dxa"/>
              <w:end w:w="120" w:type="dxa"/>
            </w:tcMar>
            <w:vAlign w:val="top"/>
          </w:tcPr>
          <w:p>
            <w:pPr>
              <w:spacing w:after="0"/>
            </w:pPr>
            <w:r>
              <w:rPr>
                <w:b/>
                <w:color w:val="0B2545"/>
                <w:sz w:val="17"/>
              </w:rPr>
              <w:t>Normative requirement</w:t>
            </w:r>
          </w:p>
        </w:tc>
      </w:tr>
      <w:tr>
        <w:trPr>
          <w:cantSplit/>
        </w:trPr>
        <w:tc>
          <w:tcPr>
            <w:tcW w:type="dxa" w:w="2300"/>
            <w:tcMar>
              <w:top w:w="80" w:type="dxa"/>
              <w:start w:w="120" w:type="dxa"/>
              <w:bottom w:w="80" w:type="dxa"/>
              <w:end w:w="120" w:type="dxa"/>
            </w:tcMar>
            <w:vAlign w:val="top"/>
          </w:tcPr>
          <w:p>
            <w:pPr>
              <w:spacing w:after="0"/>
            </w:pPr>
            <w:r>
              <w:rPr>
                <w:sz w:val="16"/>
              </w:rPr>
              <w:t>Hosted card checkout</w:t>
            </w:r>
          </w:p>
        </w:tc>
        <w:tc>
          <w:tcPr>
            <w:tcW w:type="dxa" w:w="7060"/>
            <w:tcMar>
              <w:top w:w="80" w:type="dxa"/>
              <w:start w:w="120" w:type="dxa"/>
              <w:bottom w:w="80" w:type="dxa"/>
              <w:end w:w="120" w:type="dxa"/>
            </w:tcMar>
            <w:vAlign w:val="top"/>
          </w:tcPr>
          <w:p>
            <w:pPr>
              <w:spacing w:after="0"/>
            </w:pPr>
            <w:r>
              <w:rPr>
                <w:sz w:val="16"/>
              </w:rPr>
              <w:t>Redirect or provider-hosted embedded component only. Project servers must never receive PAN, CVC or magnetic-stripe data. EUR amount, campaign, invoice ID and return URL are allowlisted server-side.</w:t>
            </w:r>
          </w:p>
        </w:tc>
      </w:tr>
      <w:tr>
        <w:trPr>
          <w:cantSplit/>
        </w:trPr>
        <w:tc>
          <w:tcPr>
            <w:tcW w:type="dxa" w:w="2300"/>
            <w:tcMar>
              <w:top w:w="80" w:type="dxa"/>
              <w:start w:w="120" w:type="dxa"/>
              <w:bottom w:w="80" w:type="dxa"/>
              <w:end w:w="120" w:type="dxa"/>
            </w:tcMar>
            <w:vAlign w:val="top"/>
          </w:tcPr>
          <w:p>
            <w:pPr>
              <w:spacing w:after="0"/>
            </w:pPr>
            <w:r>
              <w:rPr>
                <w:sz w:val="16"/>
              </w:rPr>
              <w:t>Card authentication</w:t>
            </w:r>
          </w:p>
        </w:tc>
        <w:tc>
          <w:tcPr>
            <w:tcW w:type="dxa" w:w="7060"/>
            <w:tcMar>
              <w:top w:w="80" w:type="dxa"/>
              <w:start w:w="120" w:type="dxa"/>
              <w:bottom w:w="80" w:type="dxa"/>
              <w:end w:w="120" w:type="dxa"/>
            </w:tcMar>
            <w:vAlign w:val="top"/>
          </w:tcPr>
          <w:p>
            <w:pPr>
              <w:spacing w:after="0"/>
            </w:pPr>
            <w:r>
              <w:rPr>
                <w:sz w:val="16"/>
              </w:rPr>
              <w:t>Payment provider handles applicable SCA/3-D Secure. A browser success redirect is never sufficient evidence of payment.</w:t>
            </w:r>
          </w:p>
        </w:tc>
      </w:tr>
      <w:tr>
        <w:trPr>
          <w:cantSplit/>
        </w:trPr>
        <w:tc>
          <w:tcPr>
            <w:tcW w:type="dxa" w:w="2300"/>
            <w:tcMar>
              <w:top w:w="80" w:type="dxa"/>
              <w:start w:w="120" w:type="dxa"/>
              <w:bottom w:w="80" w:type="dxa"/>
              <w:end w:w="120" w:type="dxa"/>
            </w:tcMar>
            <w:vAlign w:val="top"/>
          </w:tcPr>
          <w:p>
            <w:pPr>
              <w:spacing w:after="0"/>
            </w:pPr>
            <w:r>
              <w:rPr>
                <w:sz w:val="16"/>
              </w:rPr>
              <w:t>Webhook receiver</w:t>
            </w:r>
          </w:p>
        </w:tc>
        <w:tc>
          <w:tcPr>
            <w:tcW w:type="dxa" w:w="7060"/>
            <w:tcMar>
              <w:top w:w="80" w:type="dxa"/>
              <w:start w:w="120" w:type="dxa"/>
              <w:bottom w:w="80" w:type="dxa"/>
              <w:end w:w="120" w:type="dxa"/>
            </w:tcMar>
            <w:vAlign w:val="top"/>
          </w:tcPr>
          <w:p>
            <w:pPr>
              <w:spacing w:after="0"/>
            </w:pPr>
            <w:r>
              <w:rPr>
                <w:sz w:val="16"/>
              </w:rPr>
              <w:t>Verify provider signature and timestamp; reject stale events; process idempotently by immutable provider event/payment ID; retain an audit record without card data.</w:t>
            </w:r>
          </w:p>
        </w:tc>
      </w:tr>
      <w:tr>
        <w:trPr>
          <w:cantSplit/>
        </w:trPr>
        <w:tc>
          <w:tcPr>
            <w:tcW w:type="dxa" w:w="2300"/>
            <w:tcMar>
              <w:top w:w="80" w:type="dxa"/>
              <w:start w:w="120" w:type="dxa"/>
              <w:bottom w:w="80" w:type="dxa"/>
              <w:end w:w="120" w:type="dxa"/>
            </w:tcMar>
            <w:vAlign w:val="top"/>
          </w:tcPr>
          <w:p>
            <w:pPr>
              <w:spacing w:after="0"/>
            </w:pPr>
            <w:r>
              <w:rPr>
                <w:sz w:val="16"/>
              </w:rPr>
              <w:t>Settlement state</w:t>
            </w:r>
          </w:p>
        </w:tc>
        <w:tc>
          <w:tcPr>
            <w:tcW w:type="dxa" w:w="7060"/>
            <w:tcMar>
              <w:top w:w="80" w:type="dxa"/>
              <w:start w:w="120" w:type="dxa"/>
              <w:bottom w:w="80" w:type="dxa"/>
              <w:end w:w="120" w:type="dxa"/>
            </w:tcMar>
            <w:vAlign w:val="top"/>
          </w:tcPr>
          <w:p>
            <w:pPr>
              <w:spacing w:after="0"/>
            </w:pPr>
            <w:r>
              <w:rPr>
                <w:sz w:val="16"/>
              </w:rPr>
              <w:t>Recognition activates only after provider-confirmed success. Charity payout waits for settlement and the documented refund/chargeback reserve window.</w:t>
            </w:r>
          </w:p>
        </w:tc>
      </w:tr>
      <w:tr>
        <w:trPr>
          <w:cantSplit/>
        </w:trPr>
        <w:tc>
          <w:tcPr>
            <w:tcW w:type="dxa" w:w="2300"/>
            <w:tcMar>
              <w:top w:w="80" w:type="dxa"/>
              <w:start w:w="120" w:type="dxa"/>
              <w:bottom w:w="80" w:type="dxa"/>
              <w:end w:w="120" w:type="dxa"/>
            </w:tcMar>
            <w:vAlign w:val="top"/>
          </w:tcPr>
          <w:p>
            <w:pPr>
              <w:spacing w:after="0"/>
            </w:pPr>
            <w:r>
              <w:rPr>
                <w:sz w:val="16"/>
              </w:rPr>
              <w:t>Refunds/chargebacks</w:t>
            </w:r>
          </w:p>
        </w:tc>
        <w:tc>
          <w:tcPr>
            <w:tcW w:type="dxa" w:w="7060"/>
            <w:tcMar>
              <w:top w:w="80" w:type="dxa"/>
              <w:start w:w="120" w:type="dxa"/>
              <w:bottom w:w="80" w:type="dxa"/>
              <w:end w:w="120" w:type="dxa"/>
            </w:tcMar>
            <w:vAlign w:val="top"/>
          </w:tcPr>
          <w:p>
            <w:pPr>
              <w:spacing w:after="0"/>
            </w:pPr>
            <w:r>
              <w:rPr>
                <w:sz w:val="16"/>
              </w:rPr>
              <w:t>Link every reversal to the original receipt. Freeze unpaid charity allocation, update the public aggregate ledger and prevent negative double-counting.</w:t>
            </w:r>
          </w:p>
        </w:tc>
      </w:tr>
      <w:tr>
        <w:trPr>
          <w:cantSplit/>
        </w:trPr>
        <w:tc>
          <w:tcPr>
            <w:tcW w:type="dxa" w:w="2300"/>
            <w:tcMar>
              <w:top w:w="80" w:type="dxa"/>
              <w:start w:w="120" w:type="dxa"/>
              <w:bottom w:w="80" w:type="dxa"/>
              <w:end w:w="120" w:type="dxa"/>
            </w:tcMar>
            <w:vAlign w:val="top"/>
          </w:tcPr>
          <w:p>
            <w:pPr>
              <w:spacing w:after="0"/>
            </w:pPr>
            <w:r>
              <w:rPr>
                <w:sz w:val="16"/>
              </w:rPr>
              <w:t>SEPA instructions</w:t>
            </w:r>
          </w:p>
        </w:tc>
        <w:tc>
          <w:tcPr>
            <w:tcW w:type="dxa" w:w="7060"/>
            <w:tcMar>
              <w:top w:w="80" w:type="dxa"/>
              <w:start w:w="120" w:type="dxa"/>
              <w:bottom w:w="80" w:type="dxa"/>
              <w:end w:w="120" w:type="dxa"/>
            </w:tcMar>
            <w:vAlign w:val="top"/>
          </w:tcPr>
          <w:p>
            <w:pPr>
              <w:spacing w:after="0"/>
            </w:pPr>
            <w:r>
              <w:rPr>
                <w:sz w:val="16"/>
              </w:rPr>
              <w:t>Generate invoice/reference before displaying IBAN. Show legal account holder, amount, currency, due date and unique reference. Do not infer payment from a screenshot.</w:t>
            </w:r>
          </w:p>
        </w:tc>
      </w:tr>
      <w:tr>
        <w:trPr>
          <w:cantSplit/>
        </w:trPr>
        <w:tc>
          <w:tcPr>
            <w:tcW w:type="dxa" w:w="2300"/>
            <w:tcMar>
              <w:top w:w="80" w:type="dxa"/>
              <w:start w:w="120" w:type="dxa"/>
              <w:bottom w:w="80" w:type="dxa"/>
              <w:end w:w="120" w:type="dxa"/>
            </w:tcMar>
            <w:vAlign w:val="top"/>
          </w:tcPr>
          <w:p>
            <w:pPr>
              <w:spacing w:after="0"/>
            </w:pPr>
            <w:r>
              <w:rPr>
                <w:sz w:val="16"/>
              </w:rPr>
              <w:t>Bank reconciliation</w:t>
            </w:r>
          </w:p>
        </w:tc>
        <w:tc>
          <w:tcPr>
            <w:tcW w:type="dxa" w:w="7060"/>
            <w:tcMar>
              <w:top w:w="80" w:type="dxa"/>
              <w:start w:w="120" w:type="dxa"/>
              <w:bottom w:w="80" w:type="dxa"/>
              <w:end w:w="120" w:type="dxa"/>
            </w:tcMar>
            <w:vAlign w:val="top"/>
          </w:tcPr>
          <w:p>
            <w:pPr>
              <w:spacing w:after="0"/>
            </w:pPr>
            <w:r>
              <w:rPr>
                <w:sz w:val="16"/>
              </w:rPr>
              <w:t>Import read-only bank statement data or manually confirm with two-person review; exact-match reference/amount first, then queue exceptions. Never store payer bank details in the public ledger.</w:t>
            </w:r>
          </w:p>
        </w:tc>
      </w:tr>
      <w:tr>
        <w:trPr>
          <w:cantSplit/>
        </w:trPr>
        <w:tc>
          <w:tcPr>
            <w:tcW w:type="dxa" w:w="2300"/>
            <w:tcMar>
              <w:top w:w="80" w:type="dxa"/>
              <w:start w:w="120" w:type="dxa"/>
              <w:bottom w:w="80" w:type="dxa"/>
              <w:end w:w="120" w:type="dxa"/>
            </w:tcMar>
            <w:vAlign w:val="top"/>
          </w:tcPr>
          <w:p>
            <w:pPr>
              <w:spacing w:after="0"/>
            </w:pPr>
            <w:r>
              <w:rPr>
                <w:sz w:val="16"/>
              </w:rPr>
              <w:t>Receipts/invoices</w:t>
            </w:r>
          </w:p>
        </w:tc>
        <w:tc>
          <w:tcPr>
            <w:tcW w:type="dxa" w:w="7060"/>
            <w:tcMar>
              <w:top w:w="80" w:type="dxa"/>
              <w:start w:w="120" w:type="dxa"/>
              <w:bottom w:w="80" w:type="dxa"/>
              <w:end w:w="120" w:type="dxa"/>
            </w:tcMar>
            <w:vAlign w:val="top"/>
          </w:tcPr>
          <w:p>
            <w:pPr>
              <w:spacing w:after="0"/>
            </w:pPr>
            <w:r>
              <w:rPr>
                <w:sz w:val="16"/>
              </w:rPr>
              <w:t>Create sequential invoice/receipt identifier, payment lane, gross EUR amount, VAT/tax treatment, beneficiary allocation and payment reference according to the accountable operator's rules.</w:t>
            </w:r>
          </w:p>
        </w:tc>
      </w:tr>
      <w:tr>
        <w:trPr>
          <w:cantSplit/>
        </w:trPr>
        <w:tc>
          <w:tcPr>
            <w:tcW w:type="dxa" w:w="2300"/>
            <w:tcMar>
              <w:top w:w="80" w:type="dxa"/>
              <w:start w:w="120" w:type="dxa"/>
              <w:bottom w:w="80" w:type="dxa"/>
              <w:end w:w="120" w:type="dxa"/>
            </w:tcMar>
            <w:vAlign w:val="top"/>
          </w:tcPr>
          <w:p>
            <w:pPr>
              <w:spacing w:after="0"/>
            </w:pPr>
            <w:r>
              <w:rPr>
                <w:sz w:val="16"/>
              </w:rPr>
              <w:t>Public ledger</w:t>
            </w:r>
          </w:p>
        </w:tc>
        <w:tc>
          <w:tcPr>
            <w:tcW w:type="dxa" w:w="7060"/>
            <w:tcMar>
              <w:top w:w="80" w:type="dxa"/>
              <w:start w:w="120" w:type="dxa"/>
              <w:bottom w:w="80" w:type="dxa"/>
              <w:end w:w="120" w:type="dxa"/>
            </w:tcMar>
            <w:vAlign w:val="top"/>
          </w:tcPr>
          <w:p>
            <w:pPr>
              <w:spacing w:after="0"/>
            </w:pPr>
            <w:r>
              <w:rPr>
                <w:sz w:val="16"/>
              </w:rPr>
              <w:t>Publish monthly aggregates and pseudonymous receipt IDs. Card, bank and Base lanes share one schema; only Base transaction hashes are public by default.</w:t>
            </w:r>
          </w:p>
        </w:tc>
      </w:tr>
      <w:tr>
        <w:trPr>
          <w:cantSplit/>
        </w:trPr>
        <w:tc>
          <w:tcPr>
            <w:tcW w:type="dxa" w:w="2300"/>
            <w:tcMar>
              <w:top w:w="80" w:type="dxa"/>
              <w:start w:w="120" w:type="dxa"/>
              <w:bottom w:w="80" w:type="dxa"/>
              <w:end w:w="120" w:type="dxa"/>
            </w:tcMar>
            <w:vAlign w:val="top"/>
          </w:tcPr>
          <w:p>
            <w:pPr>
              <w:spacing w:after="0"/>
            </w:pPr>
            <w:r>
              <w:rPr>
                <w:sz w:val="16"/>
              </w:rPr>
              <w:t>Provider portability</w:t>
            </w:r>
          </w:p>
        </w:tc>
        <w:tc>
          <w:tcPr>
            <w:tcW w:type="dxa" w:w="7060"/>
            <w:tcMar>
              <w:top w:w="80" w:type="dxa"/>
              <w:start w:w="120" w:type="dxa"/>
              <w:bottom w:w="80" w:type="dxa"/>
              <w:end w:w="120" w:type="dxa"/>
            </w:tcMar>
            <w:vAlign w:val="top"/>
          </w:tcPr>
          <w:p>
            <w:pPr>
              <w:spacing w:after="0"/>
            </w:pPr>
            <w:r>
              <w:rPr>
                <w:sz w:val="16"/>
              </w:rPr>
              <w:t>All PSP-specific logic sits behind PaymentAdapter. Export payments/refunds/fees as CSV/JSON so the provider can be changed without altering directory data.</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top"/>
          </w:tcPr>
          <w:p>
            <w:pPr>
              <w:spacing w:after="0"/>
            </w:pPr>
            <w:r>
              <w:rPr>
                <w:b/>
                <w:color w:val="0B2545"/>
                <w:sz w:val="17"/>
              </w:rPr>
              <w:t>Normalized field</w:t>
            </w:r>
          </w:p>
        </w:tc>
        <w:tc>
          <w:tcPr>
            <w:tcW w:type="dxa" w:w="6360"/>
            <w:shd w:fill="E8EEF5"/>
            <w:tcMar>
              <w:top w:w="80" w:type="dxa"/>
              <w:start w:w="120" w:type="dxa"/>
              <w:bottom w:w="80" w:type="dxa"/>
              <w:end w:w="120" w:type="dxa"/>
            </w:tcMar>
            <w:vAlign w:val="top"/>
          </w:tcPr>
          <w:p>
            <w:pPr>
              <w:spacing w:after="0"/>
            </w:pPr>
            <w:r>
              <w:rPr>
                <w:b/>
                <w:color w:val="0B2545"/>
                <w:sz w:val="17"/>
              </w:rPr>
              <w:t>Example / rule</w:t>
            </w:r>
          </w:p>
        </w:tc>
      </w:tr>
      <w:tr>
        <w:trPr>
          <w:cantSplit/>
        </w:trPr>
        <w:tc>
          <w:tcPr>
            <w:tcW w:type="dxa" w:w="3000"/>
            <w:tcMar>
              <w:top w:w="80" w:type="dxa"/>
              <w:start w:w="120" w:type="dxa"/>
              <w:bottom w:w="80" w:type="dxa"/>
              <w:end w:w="120" w:type="dxa"/>
            </w:tcMar>
            <w:vAlign w:val="top"/>
          </w:tcPr>
          <w:p>
            <w:pPr>
              <w:spacing w:after="0"/>
            </w:pPr>
            <w:r>
              <w:rPr>
                <w:sz w:val="16"/>
              </w:rPr>
              <w:t>payment_id</w:t>
            </w:r>
          </w:p>
        </w:tc>
        <w:tc>
          <w:tcPr>
            <w:tcW w:type="dxa" w:w="6360"/>
            <w:tcMar>
              <w:top w:w="80" w:type="dxa"/>
              <w:start w:w="120" w:type="dxa"/>
              <w:bottom w:w="80" w:type="dxa"/>
              <w:end w:w="120" w:type="dxa"/>
            </w:tcMar>
            <w:vAlign w:val="top"/>
          </w:tcPr>
          <w:p>
            <w:pPr>
              <w:spacing w:after="0"/>
            </w:pPr>
            <w:r>
              <w:rPr>
                <w:sz w:val="16"/>
              </w:rPr>
              <w:t>Internal UUID; never sequential publicly</w:t>
            </w:r>
          </w:p>
        </w:tc>
      </w:tr>
      <w:tr>
        <w:trPr>
          <w:cantSplit/>
        </w:trPr>
        <w:tc>
          <w:tcPr>
            <w:tcW w:type="dxa" w:w="3000"/>
            <w:tcMar>
              <w:top w:w="80" w:type="dxa"/>
              <w:start w:w="120" w:type="dxa"/>
              <w:bottom w:w="80" w:type="dxa"/>
              <w:end w:w="120" w:type="dxa"/>
            </w:tcMar>
            <w:vAlign w:val="top"/>
          </w:tcPr>
          <w:p>
            <w:pPr>
              <w:spacing w:after="0"/>
            </w:pPr>
            <w:r>
              <w:rPr>
                <w:sz w:val="16"/>
              </w:rPr>
              <w:t>channel</w:t>
            </w:r>
          </w:p>
        </w:tc>
        <w:tc>
          <w:tcPr>
            <w:tcW w:type="dxa" w:w="6360"/>
            <w:tcMar>
              <w:top w:w="80" w:type="dxa"/>
              <w:start w:w="120" w:type="dxa"/>
              <w:bottom w:w="80" w:type="dxa"/>
              <w:end w:w="120" w:type="dxa"/>
            </w:tcMar>
            <w:vAlign w:val="top"/>
          </w:tcPr>
          <w:p>
            <w:pPr>
              <w:spacing w:after="0"/>
            </w:pPr>
            <w:r>
              <w:rPr>
                <w:sz w:val="16"/>
              </w:rPr>
              <w:t>card | sepa | base</w:t>
            </w:r>
          </w:p>
        </w:tc>
      </w:tr>
      <w:tr>
        <w:trPr>
          <w:cantSplit/>
        </w:trPr>
        <w:tc>
          <w:tcPr>
            <w:tcW w:type="dxa" w:w="3000"/>
            <w:tcMar>
              <w:top w:w="80" w:type="dxa"/>
              <w:start w:w="120" w:type="dxa"/>
              <w:bottom w:w="80" w:type="dxa"/>
              <w:end w:w="120" w:type="dxa"/>
            </w:tcMar>
            <w:vAlign w:val="top"/>
          </w:tcPr>
          <w:p>
            <w:pPr>
              <w:spacing w:after="0"/>
            </w:pPr>
            <w:r>
              <w:rPr>
                <w:sz w:val="16"/>
              </w:rPr>
              <w:t>external_reference</w:t>
            </w:r>
          </w:p>
        </w:tc>
        <w:tc>
          <w:tcPr>
            <w:tcW w:type="dxa" w:w="6360"/>
            <w:tcMar>
              <w:top w:w="80" w:type="dxa"/>
              <w:start w:w="120" w:type="dxa"/>
              <w:bottom w:w="80" w:type="dxa"/>
              <w:end w:w="120" w:type="dxa"/>
            </w:tcMar>
            <w:vAlign w:val="top"/>
          </w:tcPr>
          <w:p>
            <w:pPr>
              <w:spacing w:after="0"/>
            </w:pPr>
            <w:r>
              <w:rPr>
                <w:sz w:val="16"/>
              </w:rPr>
              <w:t>Provider payment ID, bank reference or transaction hash; access-controlled where not public</w:t>
            </w:r>
          </w:p>
        </w:tc>
      </w:tr>
      <w:tr>
        <w:trPr>
          <w:cantSplit/>
        </w:trPr>
        <w:tc>
          <w:tcPr>
            <w:tcW w:type="dxa" w:w="3000"/>
            <w:tcMar>
              <w:top w:w="80" w:type="dxa"/>
              <w:start w:w="120" w:type="dxa"/>
              <w:bottom w:w="80" w:type="dxa"/>
              <w:end w:w="120" w:type="dxa"/>
            </w:tcMar>
            <w:vAlign w:val="top"/>
          </w:tcPr>
          <w:p>
            <w:pPr>
              <w:spacing w:after="0"/>
            </w:pPr>
            <w:r>
              <w:rPr>
                <w:sz w:val="16"/>
              </w:rPr>
              <w:t>status</w:t>
            </w:r>
          </w:p>
        </w:tc>
        <w:tc>
          <w:tcPr>
            <w:tcW w:type="dxa" w:w="6360"/>
            <w:tcMar>
              <w:top w:w="80" w:type="dxa"/>
              <w:start w:w="120" w:type="dxa"/>
              <w:bottom w:w="80" w:type="dxa"/>
              <w:end w:w="120" w:type="dxa"/>
            </w:tcMar>
            <w:vAlign w:val="top"/>
          </w:tcPr>
          <w:p>
            <w:pPr>
              <w:spacing w:after="0"/>
            </w:pPr>
            <w:r>
              <w:rPr>
                <w:sz w:val="16"/>
              </w:rPr>
              <w:t>pending | settled | failed | refunded | chargeback | unmatched</w:t>
            </w:r>
          </w:p>
        </w:tc>
      </w:tr>
      <w:tr>
        <w:trPr>
          <w:cantSplit/>
        </w:trPr>
        <w:tc>
          <w:tcPr>
            <w:tcW w:type="dxa" w:w="3000"/>
            <w:tcMar>
              <w:top w:w="80" w:type="dxa"/>
              <w:start w:w="120" w:type="dxa"/>
              <w:bottom w:w="80" w:type="dxa"/>
              <w:end w:w="120" w:type="dxa"/>
            </w:tcMar>
            <w:vAlign w:val="top"/>
          </w:tcPr>
          <w:p>
            <w:pPr>
              <w:spacing w:after="0"/>
            </w:pPr>
            <w:r>
              <w:rPr>
                <w:sz w:val="16"/>
              </w:rPr>
              <w:t>gross_eur</w:t>
            </w:r>
          </w:p>
        </w:tc>
        <w:tc>
          <w:tcPr>
            <w:tcW w:type="dxa" w:w="6360"/>
            <w:tcMar>
              <w:top w:w="80" w:type="dxa"/>
              <w:start w:w="120" w:type="dxa"/>
              <w:bottom w:w="80" w:type="dxa"/>
              <w:end w:w="120" w:type="dxa"/>
            </w:tcMar>
            <w:vAlign w:val="top"/>
          </w:tcPr>
          <w:p>
            <w:pPr>
              <w:spacing w:after="0"/>
            </w:pPr>
            <w:r>
              <w:rPr>
                <w:sz w:val="16"/>
              </w:rPr>
              <w:t>Decimal currency amount; immutable after settlement</w:t>
            </w:r>
          </w:p>
        </w:tc>
      </w:tr>
      <w:tr>
        <w:trPr>
          <w:cantSplit/>
        </w:trPr>
        <w:tc>
          <w:tcPr>
            <w:tcW w:type="dxa" w:w="3000"/>
            <w:tcMar>
              <w:top w:w="80" w:type="dxa"/>
              <w:start w:w="120" w:type="dxa"/>
              <w:bottom w:w="80" w:type="dxa"/>
              <w:end w:w="120" w:type="dxa"/>
            </w:tcMar>
            <w:vAlign w:val="top"/>
          </w:tcPr>
          <w:p>
            <w:pPr>
              <w:spacing w:after="0"/>
            </w:pPr>
            <w:r>
              <w:rPr>
                <w:sz w:val="16"/>
              </w:rPr>
              <w:t>fees_eur</w:t>
            </w:r>
          </w:p>
        </w:tc>
        <w:tc>
          <w:tcPr>
            <w:tcW w:type="dxa" w:w="6360"/>
            <w:tcMar>
              <w:top w:w="80" w:type="dxa"/>
              <w:start w:w="120" w:type="dxa"/>
              <w:bottom w:w="80" w:type="dxa"/>
              <w:end w:w="120" w:type="dxa"/>
            </w:tcMar>
            <w:vAlign w:val="top"/>
          </w:tcPr>
          <w:p>
            <w:pPr>
              <w:spacing w:after="0"/>
            </w:pPr>
            <w:r>
              <w:rPr>
                <w:sz w:val="16"/>
              </w:rPr>
              <w:t>Processor/bank/network fees</w:t>
            </w:r>
          </w:p>
        </w:tc>
      </w:tr>
      <w:tr>
        <w:trPr>
          <w:cantSplit/>
        </w:trPr>
        <w:tc>
          <w:tcPr>
            <w:tcW w:type="dxa" w:w="3000"/>
            <w:tcMar>
              <w:top w:w="80" w:type="dxa"/>
              <w:start w:w="120" w:type="dxa"/>
              <w:bottom w:w="80" w:type="dxa"/>
              <w:end w:w="120" w:type="dxa"/>
            </w:tcMar>
            <w:vAlign w:val="top"/>
          </w:tcPr>
          <w:p>
            <w:pPr>
              <w:spacing w:after="0"/>
            </w:pPr>
            <w:r>
              <w:rPr>
                <w:sz w:val="16"/>
              </w:rPr>
              <w:t>charity_allocation_eur</w:t>
            </w:r>
          </w:p>
        </w:tc>
        <w:tc>
          <w:tcPr>
            <w:tcW w:type="dxa" w:w="6360"/>
            <w:tcMar>
              <w:top w:w="80" w:type="dxa"/>
              <w:start w:w="120" w:type="dxa"/>
              <w:bottom w:w="80" w:type="dxa"/>
              <w:end w:w="120" w:type="dxa"/>
            </w:tcMar>
            <w:vAlign w:val="top"/>
          </w:tcPr>
          <w:p>
            <w:pPr>
              <w:spacing w:after="0"/>
            </w:pPr>
            <w:r>
              <w:rPr>
                <w:sz w:val="16"/>
              </w:rPr>
              <w:t>90% policy amount, adjusted only through documented reversal</w:t>
            </w:r>
          </w:p>
        </w:tc>
      </w:tr>
      <w:tr>
        <w:trPr>
          <w:cantSplit/>
        </w:trPr>
        <w:tc>
          <w:tcPr>
            <w:tcW w:type="dxa" w:w="3000"/>
            <w:tcMar>
              <w:top w:w="80" w:type="dxa"/>
              <w:start w:w="120" w:type="dxa"/>
              <w:bottom w:w="80" w:type="dxa"/>
              <w:end w:w="120" w:type="dxa"/>
            </w:tcMar>
            <w:vAlign w:val="top"/>
          </w:tcPr>
          <w:p>
            <w:pPr>
              <w:spacing w:after="0"/>
            </w:pPr>
            <w:r>
              <w:rPr>
                <w:sz w:val="16"/>
              </w:rPr>
              <w:t>admin_allocation_eur</w:t>
            </w:r>
          </w:p>
        </w:tc>
        <w:tc>
          <w:tcPr>
            <w:tcW w:type="dxa" w:w="6360"/>
            <w:tcMar>
              <w:top w:w="80" w:type="dxa"/>
              <w:start w:w="120" w:type="dxa"/>
              <w:bottom w:w="80" w:type="dxa"/>
              <w:end w:w="120" w:type="dxa"/>
            </w:tcMar>
            <w:vAlign w:val="top"/>
          </w:tcPr>
          <w:p>
            <w:pPr>
              <w:spacing w:after="0"/>
            </w:pPr>
            <w:r>
              <w:rPr>
                <w:sz w:val="16"/>
              </w:rPr>
              <w:t>10% policy amount before fees/tax</w:t>
            </w:r>
          </w:p>
        </w:tc>
      </w:tr>
      <w:tr>
        <w:trPr>
          <w:cantSplit/>
        </w:trPr>
        <w:tc>
          <w:tcPr>
            <w:tcW w:type="dxa" w:w="3000"/>
            <w:tcMar>
              <w:top w:w="80" w:type="dxa"/>
              <w:start w:w="120" w:type="dxa"/>
              <w:bottom w:w="80" w:type="dxa"/>
              <w:end w:w="120" w:type="dxa"/>
            </w:tcMar>
            <w:vAlign w:val="top"/>
          </w:tcPr>
          <w:p>
            <w:pPr>
              <w:spacing w:after="0"/>
            </w:pPr>
            <w:r>
              <w:rPr>
                <w:sz w:val="16"/>
              </w:rPr>
              <w:t>invoice_id</w:t>
            </w:r>
          </w:p>
        </w:tc>
        <w:tc>
          <w:tcPr>
            <w:tcW w:type="dxa" w:w="6360"/>
            <w:tcMar>
              <w:top w:w="80" w:type="dxa"/>
              <w:start w:w="120" w:type="dxa"/>
              <w:bottom w:w="80" w:type="dxa"/>
              <w:end w:w="120" w:type="dxa"/>
            </w:tcMar>
            <w:vAlign w:val="top"/>
          </w:tcPr>
          <w:p>
            <w:pPr>
              <w:spacing w:after="0"/>
            </w:pPr>
            <w:r>
              <w:rPr>
                <w:sz w:val="16"/>
              </w:rPr>
              <w:t>Sequential accounting document identifier</w:t>
            </w:r>
          </w:p>
        </w:tc>
      </w:tr>
      <w:tr>
        <w:trPr>
          <w:cantSplit/>
        </w:trPr>
        <w:tc>
          <w:tcPr>
            <w:tcW w:type="dxa" w:w="3000"/>
            <w:tcMar>
              <w:top w:w="80" w:type="dxa"/>
              <w:start w:w="120" w:type="dxa"/>
              <w:bottom w:w="80" w:type="dxa"/>
              <w:end w:w="120" w:type="dxa"/>
            </w:tcMar>
            <w:vAlign w:val="top"/>
          </w:tcPr>
          <w:p>
            <w:pPr>
              <w:spacing w:after="0"/>
            </w:pPr>
            <w:r>
              <w:rPr>
                <w:sz w:val="16"/>
              </w:rPr>
              <w:t>campaign_id</w:t>
            </w:r>
          </w:p>
        </w:tc>
        <w:tc>
          <w:tcPr>
            <w:tcW w:type="dxa" w:w="6360"/>
            <w:tcMar>
              <w:top w:w="80" w:type="dxa"/>
              <w:start w:w="120" w:type="dxa"/>
              <w:bottom w:w="80" w:type="dxa"/>
              <w:end w:w="120" w:type="dxa"/>
            </w:tcMar>
            <w:vAlign w:val="top"/>
          </w:tcPr>
          <w:p>
            <w:pPr>
              <w:spacing w:after="0"/>
            </w:pPr>
            <w:r>
              <w:rPr>
                <w:sz w:val="16"/>
              </w:rPr>
              <w:t>Non-personal sponsor campaign identifier</w:t>
            </w:r>
          </w:p>
        </w:tc>
      </w:tr>
      <w:tr>
        <w:trPr>
          <w:cantSplit/>
        </w:trPr>
        <w:tc>
          <w:tcPr>
            <w:tcW w:type="dxa" w:w="3000"/>
            <w:tcMar>
              <w:top w:w="80" w:type="dxa"/>
              <w:start w:w="120" w:type="dxa"/>
              <w:bottom w:w="80" w:type="dxa"/>
              <w:end w:w="120" w:type="dxa"/>
            </w:tcMar>
            <w:vAlign w:val="top"/>
          </w:tcPr>
          <w:p>
            <w:pPr>
              <w:spacing w:after="0"/>
            </w:pPr>
            <w:r>
              <w:rPr>
                <w:sz w:val="16"/>
              </w:rPr>
              <w:t>created_at / settled_at</w:t>
            </w:r>
          </w:p>
        </w:tc>
        <w:tc>
          <w:tcPr>
            <w:tcW w:type="dxa" w:w="6360"/>
            <w:tcMar>
              <w:top w:w="80" w:type="dxa"/>
              <w:start w:w="120" w:type="dxa"/>
              <w:bottom w:w="80" w:type="dxa"/>
              <w:end w:w="120" w:type="dxa"/>
            </w:tcMar>
            <w:vAlign w:val="top"/>
          </w:tcPr>
          <w:p>
            <w:pPr>
              <w:spacing w:after="0"/>
            </w:pPr>
            <w:r>
              <w:rPr>
                <w:sz w:val="16"/>
              </w:rPr>
              <w:t>Europe/Paris display; UTC storage</w:t>
            </w:r>
          </w:p>
        </w:tc>
      </w:tr>
    </w:tbl>
    <w:p>
      <w:pPr>
        <w:pStyle w:val="TableSource"/>
      </w:pPr>
    </w:p>
    <w:p>
      <w:pPr>
        <w:pStyle w:val="Heading1"/>
      </w:pPr>
      <w:r>
        <w:t>10. Codex product requirements</w:t>
      </w:r>
    </w:p>
    <w:p>
      <w:pPr>
        <w:pStyle w:val="Heading2"/>
      </w:pPr>
      <w:r>
        <w:t>10.1 In scope</w:t>
      </w:r>
    </w:p>
    <w:p>
      <w:pPr>
        <w:pStyle w:val="ListBullet"/>
      </w:pPr>
      <w:r>
        <w:t>Responsive static web application with French/English/Arabic content, fast on low-end Android and usable without login.</w:t>
      </w:r>
    </w:p>
    <w:p>
      <w:pPr>
        <w:pStyle w:val="ListBullet"/>
      </w:pPr>
      <w:r>
        <w:t>Non-upgradeable Base sponsorship router configured with an immutable existing payment token, adminWallet and 10% maximum fee.</w:t>
      </w:r>
    </w:p>
    <w:p>
      <w:pPr>
        <w:pStyle w:val="ListBullet"/>
      </w:pPr>
      <w:r>
        <w:t>Content-addressed listing releases with typed signatures, IPFS CIDs, Git mirrors and locally verifiable trust policies.</w:t>
      </w:r>
    </w:p>
    <w:p>
      <w:pPr>
        <w:pStyle w:val="ListBullet"/>
      </w:pPr>
      <w:r>
        <w:t>Directory cards grouped by emergency, food, water, showers, toilets, charging/Wi-Fi, non-food items, community, healthcare, accommodation, legal/asylum, minors, women/families, family contact, detainee support and rights monitoring.</w:t>
      </w:r>
    </w:p>
    <w:p>
      <w:pPr>
        <w:pStyle w:val="ListBullet"/>
      </w:pPr>
      <w:r>
        <w:t>Search/filter, call/WhatsApp/map links, audience restrictions, accessibility notes, source, last-checked date, verification owner and expiry state.</w:t>
      </w:r>
    </w:p>
    <w:p>
      <w:pPr>
        <w:pStyle w:val="ListBullet"/>
      </w:pPr>
      <w:r>
        <w:t>Separate sponsor page, profit pledge, public aggregate impact report, correction form and admin import/export.</w:t>
      </w:r>
    </w:p>
    <w:p>
      <w:pPr>
        <w:pStyle w:val="ListBullet"/>
      </w:pPr>
      <w:r>
        <w:t>Multilingual Activity Idea Lab with anonymous proposal intake, public status/rationale and operator-gated lawful pilot listings.</w:t>
      </w:r>
    </w:p>
    <w:p>
      <w:pPr>
        <w:pStyle w:val="ListBullet"/>
      </w:pPr>
      <w:r>
        <w:t>Non-transferable ACTIVITY BADGE recognition and a separately funded, non-cashable COMMUNITY VOUCHER specification behind disabled-by-default feature flags.</w:t>
      </w:r>
    </w:p>
    <w:p>
      <w:pPr>
        <w:pStyle w:val="ListBullet"/>
      </w:pPr>
      <w:r>
        <w:t>Print stylesheet that produces one-page QR handout; no embedded beneficiary analytics or third-party trackers.</w:t>
      </w:r>
    </w:p>
    <w:p>
      <w:pPr>
        <w:pStyle w:val="Heading2"/>
      </w:pPr>
      <w:r>
        <w:t>10.2 Out of scope</w:t>
      </w:r>
    </w:p>
    <w:p>
      <w:pPr>
        <w:pStyle w:val="ListBullet"/>
      </w:pPr>
      <w:r>
        <w:t>Open/on-demand job marketplace, automated matching, bidding, worker ranking, case management, chat, precise user location or immigration-status records.</w:t>
      </w:r>
    </w:p>
    <w:p>
      <w:pPr>
        <w:pStyle w:val="ListBullet"/>
      </w:pPr>
      <w:r>
        <w:t>Payments inside the public directory; targeted ads; sponsor ranking; affiliate links; commissions; user stories/photos without a separate safeguarding process.</w:t>
      </w:r>
    </w:p>
    <w:p>
      <w:pPr>
        <w:pStyle w:val="ListBullet"/>
      </w:pPr>
      <w:r>
        <w:t>Any newly issued project token, NFT, points with monetary/redemption value, investment language, secondary market or personal referral reward.</w:t>
      </w:r>
    </w:p>
    <w:p>
      <w:pPr>
        <w:pStyle w:val="ListBullet"/>
      </w:pPr>
      <w:r>
        <w:t>Transferable activity token, DEX pool, liquidity mining, token burn/buyback, scarcity marketing, price-support promise or conversion of traded tokens into essential-goods vouchers.</w:t>
      </w:r>
    </w:p>
    <w:p>
      <w:pPr>
        <w:pStyle w:val="ListBullet"/>
      </w:pPr>
      <w:r>
        <w:t>Informal paid work, cash/token/barter jobs, direct city-task dispatch, unlicensed SIM sales or public-space/waste activities without the accountable operator and activity-specific gates.</w:t>
      </w:r>
    </w:p>
    <w:p>
      <w:pPr>
        <w:pStyle w:val="ListBullet"/>
      </w:pPr>
      <w:r>
        <w:t>Upgradeable contracts, owner privileges, mutable fees, retained contract balances, beneficiary blacklists and admin control of listings.</w:t>
      </w:r>
    </w:p>
    <w:p>
      <w:pPr>
        <w:pStyle w:val="ListBullet"/>
      </w:pPr>
      <w:r>
        <w:t>Automated translation published without human review; automated legal/medical advice; routes or instructions for irregular border crossing.</w:t>
      </w:r>
    </w:p>
    <w:p>
      <w:pPr>
        <w:pStyle w:val="Heading2"/>
      </w:pPr>
      <w:r>
        <w:t>10.3 Functional requirements</w:t>
      </w:r>
    </w:p>
    <w:tbl>
      <w:tblPr>
        <w:tblStyle w:val="TableGrid"/>
        <w:tblW w:type="dxa" w:w="9360"/>
        <w:jc w:val="center"/>
        <w:tblLayout w:type="fixed"/>
        <w:tblLook w:firstColumn="1" w:firstRow="1" w:lastColumn="0" w:lastRow="0" w:noHBand="0" w:noVBand="1" w:val="04A0"/>
        <w:tblInd w:w="120" w:type="dxa"/>
      </w:tblPr>
      <w:tblGrid>
        <w:gridCol w:w="900"/>
        <w:gridCol w:w="8460"/>
      </w:tblGrid>
      <w:tr>
        <w:trPr>
          <w:tblHeader w:val="true"/>
          <w:cantSplit/>
        </w:trPr>
        <w:tc>
          <w:tcPr>
            <w:tcW w:type="dxa" w:w="900"/>
            <w:shd w:fill="E8EEF5"/>
            <w:tcMar>
              <w:top w:w="80" w:type="dxa"/>
              <w:start w:w="120" w:type="dxa"/>
              <w:bottom w:w="80" w:type="dxa"/>
              <w:end w:w="120" w:type="dxa"/>
            </w:tcMar>
            <w:vAlign w:val="top"/>
          </w:tcPr>
          <w:p>
            <w:pPr>
              <w:spacing w:after="0"/>
            </w:pPr>
            <w:r>
              <w:rPr>
                <w:b/>
                <w:color w:val="0B2545"/>
                <w:sz w:val="18"/>
              </w:rPr>
              <w:t>ID</w:t>
            </w:r>
          </w:p>
        </w:tc>
        <w:tc>
          <w:tcPr>
            <w:tcW w:type="dxa" w:w="8460"/>
            <w:shd w:fill="E8EEF5"/>
            <w:tcMar>
              <w:top w:w="80" w:type="dxa"/>
              <w:start w:w="120" w:type="dxa"/>
              <w:bottom w:w="80" w:type="dxa"/>
              <w:end w:w="120" w:type="dxa"/>
            </w:tcMar>
            <w:vAlign w:val="top"/>
          </w:tcPr>
          <w:p>
            <w:pPr>
              <w:spacing w:after="0"/>
            </w:pPr>
            <w:r>
              <w:rPr>
                <w:b/>
                <w:color w:val="0B2545"/>
                <w:sz w:val="18"/>
              </w:rPr>
              <w:t>Requirement</w:t>
            </w:r>
          </w:p>
        </w:tc>
      </w:tr>
      <w:tr>
        <w:trPr>
          <w:cantSplit/>
        </w:trPr>
        <w:tc>
          <w:tcPr>
            <w:tcW w:type="dxa" w:w="900"/>
            <w:tcMar>
              <w:top w:w="80" w:type="dxa"/>
              <w:start w:w="120" w:type="dxa"/>
              <w:bottom w:w="80" w:type="dxa"/>
              <w:end w:w="120" w:type="dxa"/>
            </w:tcMar>
            <w:vAlign w:val="top"/>
          </w:tcPr>
          <w:p>
            <w:pPr>
              <w:spacing w:after="0"/>
            </w:pPr>
            <w:r>
              <w:rPr>
                <w:sz w:val="17"/>
              </w:rPr>
              <w:t>FR-01</w:t>
            </w:r>
          </w:p>
        </w:tc>
        <w:tc>
          <w:tcPr>
            <w:tcW w:type="dxa" w:w="8460"/>
            <w:tcMar>
              <w:top w:w="80" w:type="dxa"/>
              <w:start w:w="120" w:type="dxa"/>
              <w:bottom w:w="80" w:type="dxa"/>
              <w:end w:w="120" w:type="dxa"/>
            </w:tcMar>
            <w:vAlign w:val="top"/>
          </w:tcPr>
          <w:p>
            <w:pPr>
              <w:spacing w:after="0"/>
            </w:pPr>
            <w:r>
              <w:rPr>
                <w:sz w:val="17"/>
              </w:rPr>
              <w:t>Visitor can switch language on every page; preference is local-only.</w:t>
            </w:r>
          </w:p>
        </w:tc>
      </w:tr>
      <w:tr>
        <w:trPr>
          <w:cantSplit/>
        </w:trPr>
        <w:tc>
          <w:tcPr>
            <w:tcW w:type="dxa" w:w="900"/>
            <w:tcMar>
              <w:top w:w="80" w:type="dxa"/>
              <w:start w:w="120" w:type="dxa"/>
              <w:bottom w:w="80" w:type="dxa"/>
              <w:end w:w="120" w:type="dxa"/>
            </w:tcMar>
            <w:vAlign w:val="top"/>
          </w:tcPr>
          <w:p>
            <w:pPr>
              <w:spacing w:after="0"/>
            </w:pPr>
            <w:r>
              <w:rPr>
                <w:sz w:val="17"/>
              </w:rPr>
              <w:t>FR-02</w:t>
            </w:r>
          </w:p>
        </w:tc>
        <w:tc>
          <w:tcPr>
            <w:tcW w:type="dxa" w:w="8460"/>
            <w:tcMar>
              <w:top w:w="80" w:type="dxa"/>
              <w:start w:w="120" w:type="dxa"/>
              <w:bottom w:w="80" w:type="dxa"/>
              <w:end w:w="120" w:type="dxa"/>
            </w:tcMar>
            <w:vAlign w:val="top"/>
          </w:tcPr>
          <w:p>
            <w:pPr>
              <w:spacing w:after="0"/>
            </w:pPr>
            <w:r>
              <w:rPr>
                <w:sz w:val="17"/>
              </w:rPr>
              <w:t>Visitor can filter by service category and intended audience without entering personal data.</w:t>
            </w:r>
          </w:p>
        </w:tc>
      </w:tr>
      <w:tr>
        <w:trPr>
          <w:cantSplit/>
        </w:trPr>
        <w:tc>
          <w:tcPr>
            <w:tcW w:type="dxa" w:w="900"/>
            <w:tcMar>
              <w:top w:w="80" w:type="dxa"/>
              <w:start w:w="120" w:type="dxa"/>
              <w:bottom w:w="80" w:type="dxa"/>
              <w:end w:w="120" w:type="dxa"/>
            </w:tcMar>
            <w:vAlign w:val="top"/>
          </w:tcPr>
          <w:p>
            <w:pPr>
              <w:spacing w:after="0"/>
            </w:pPr>
            <w:r>
              <w:rPr>
                <w:sz w:val="17"/>
              </w:rPr>
              <w:t>FR-03</w:t>
            </w:r>
          </w:p>
        </w:tc>
        <w:tc>
          <w:tcPr>
            <w:tcW w:type="dxa" w:w="8460"/>
            <w:tcMar>
              <w:top w:w="80" w:type="dxa"/>
              <w:start w:w="120" w:type="dxa"/>
              <w:bottom w:w="80" w:type="dxa"/>
              <w:end w:w="120" w:type="dxa"/>
            </w:tcMar>
            <w:vAlign w:val="top"/>
          </w:tcPr>
          <w:p>
            <w:pPr>
              <w:spacing w:after="0"/>
            </w:pPr>
            <w:r>
              <w:rPr>
                <w:sz w:val="17"/>
              </w:rPr>
              <w:t>Each listing shows name, service, location, hours, eligibility, contact, source, last verified, expiry and warning.</w:t>
            </w:r>
          </w:p>
        </w:tc>
      </w:tr>
      <w:tr>
        <w:trPr>
          <w:cantSplit/>
        </w:trPr>
        <w:tc>
          <w:tcPr>
            <w:tcW w:type="dxa" w:w="900"/>
            <w:tcMar>
              <w:top w:w="80" w:type="dxa"/>
              <w:start w:w="120" w:type="dxa"/>
              <w:bottom w:w="80" w:type="dxa"/>
              <w:end w:w="120" w:type="dxa"/>
            </w:tcMar>
            <w:vAlign w:val="top"/>
          </w:tcPr>
          <w:p>
            <w:pPr>
              <w:spacing w:after="0"/>
            </w:pPr>
            <w:r>
              <w:rPr>
                <w:sz w:val="17"/>
              </w:rPr>
              <w:t>FR-04</w:t>
            </w:r>
          </w:p>
        </w:tc>
        <w:tc>
          <w:tcPr>
            <w:tcW w:type="dxa" w:w="8460"/>
            <w:tcMar>
              <w:top w:w="80" w:type="dxa"/>
              <w:start w:w="120" w:type="dxa"/>
              <w:bottom w:w="80" w:type="dxa"/>
              <w:end w:w="120" w:type="dxa"/>
            </w:tcMar>
            <w:vAlign w:val="top"/>
          </w:tcPr>
          <w:p>
            <w:pPr>
              <w:spacing w:after="0"/>
            </w:pPr>
            <w:r>
              <w:rPr>
                <w:sz w:val="17"/>
              </w:rPr>
              <w:t>Expired/unverified listings are visibly labelled and cannot appear as ‘open now’.</w:t>
            </w:r>
          </w:p>
        </w:tc>
      </w:tr>
      <w:tr>
        <w:trPr>
          <w:cantSplit/>
        </w:trPr>
        <w:tc>
          <w:tcPr>
            <w:tcW w:type="dxa" w:w="900"/>
            <w:tcMar>
              <w:top w:w="80" w:type="dxa"/>
              <w:start w:w="120" w:type="dxa"/>
              <w:bottom w:w="80" w:type="dxa"/>
              <w:end w:w="120" w:type="dxa"/>
            </w:tcMar>
            <w:vAlign w:val="top"/>
          </w:tcPr>
          <w:p>
            <w:pPr>
              <w:spacing w:after="0"/>
            </w:pPr>
            <w:r>
              <w:rPr>
                <w:sz w:val="17"/>
              </w:rPr>
              <w:t>FR-05</w:t>
            </w:r>
          </w:p>
        </w:tc>
        <w:tc>
          <w:tcPr>
            <w:tcW w:type="dxa" w:w="8460"/>
            <w:tcMar>
              <w:top w:w="80" w:type="dxa"/>
              <w:start w:w="120" w:type="dxa"/>
              <w:bottom w:w="80" w:type="dxa"/>
              <w:end w:w="120" w:type="dxa"/>
            </w:tcMar>
            <w:vAlign w:val="top"/>
          </w:tcPr>
          <w:p>
            <w:pPr>
              <w:spacing w:after="0"/>
            </w:pPr>
            <w:r>
              <w:rPr>
                <w:sz w:val="17"/>
              </w:rPr>
              <w:t>Emergency panel stays above results and contains 112, 115 and 15 with language/context notes.</w:t>
            </w:r>
          </w:p>
        </w:tc>
      </w:tr>
      <w:tr>
        <w:trPr>
          <w:cantSplit/>
        </w:trPr>
        <w:tc>
          <w:tcPr>
            <w:tcW w:type="dxa" w:w="900"/>
            <w:tcMar>
              <w:top w:w="80" w:type="dxa"/>
              <w:start w:w="120" w:type="dxa"/>
              <w:bottom w:w="80" w:type="dxa"/>
              <w:end w:w="120" w:type="dxa"/>
            </w:tcMar>
            <w:vAlign w:val="top"/>
          </w:tcPr>
          <w:p>
            <w:pPr>
              <w:spacing w:after="0"/>
            </w:pPr>
            <w:r>
              <w:rPr>
                <w:sz w:val="17"/>
              </w:rPr>
              <w:t>FR-06</w:t>
            </w:r>
          </w:p>
        </w:tc>
        <w:tc>
          <w:tcPr>
            <w:tcW w:type="dxa" w:w="8460"/>
            <w:tcMar>
              <w:top w:w="80" w:type="dxa"/>
              <w:start w:w="120" w:type="dxa"/>
              <w:bottom w:w="80" w:type="dxa"/>
              <w:end w:w="120" w:type="dxa"/>
            </w:tcMar>
            <w:vAlign w:val="top"/>
          </w:tcPr>
          <w:p>
            <w:pPr>
              <w:spacing w:after="0"/>
            </w:pPr>
            <w:r>
              <w:rPr>
                <w:sz w:val="17"/>
              </w:rPr>
              <w:t>Visitor can report a correction anonymously; submissions enter a moderation queue.</w:t>
            </w:r>
          </w:p>
        </w:tc>
      </w:tr>
      <w:tr>
        <w:trPr>
          <w:cantSplit/>
        </w:trPr>
        <w:tc>
          <w:tcPr>
            <w:tcW w:type="dxa" w:w="900"/>
            <w:tcMar>
              <w:top w:w="80" w:type="dxa"/>
              <w:start w:w="120" w:type="dxa"/>
              <w:bottom w:w="80" w:type="dxa"/>
              <w:end w:w="120" w:type="dxa"/>
            </w:tcMar>
            <w:vAlign w:val="top"/>
          </w:tcPr>
          <w:p>
            <w:pPr>
              <w:spacing w:after="0"/>
            </w:pPr>
            <w:r>
              <w:rPr>
                <w:sz w:val="17"/>
              </w:rPr>
              <w:t>FR-07</w:t>
            </w:r>
          </w:p>
        </w:tc>
        <w:tc>
          <w:tcPr>
            <w:tcW w:type="dxa" w:w="8460"/>
            <w:tcMar>
              <w:top w:w="80" w:type="dxa"/>
              <w:start w:w="120" w:type="dxa"/>
              <w:bottom w:w="80" w:type="dxa"/>
              <w:end w:w="120" w:type="dxa"/>
            </w:tcMar>
            <w:vAlign w:val="top"/>
          </w:tcPr>
          <w:p>
            <w:pPr>
              <w:spacing w:after="0"/>
            </w:pPr>
            <w:r>
              <w:rPr>
                <w:sz w:val="17"/>
              </w:rPr>
              <w:t>Admin can import/export UTF-8 CSV/JSON, validate schema and view a change log.</w:t>
            </w:r>
          </w:p>
        </w:tc>
      </w:tr>
      <w:tr>
        <w:trPr>
          <w:cantSplit/>
        </w:trPr>
        <w:tc>
          <w:tcPr>
            <w:tcW w:type="dxa" w:w="900"/>
            <w:tcMar>
              <w:top w:w="80" w:type="dxa"/>
              <w:start w:w="120" w:type="dxa"/>
              <w:bottom w:w="80" w:type="dxa"/>
              <w:end w:w="120" w:type="dxa"/>
            </w:tcMar>
            <w:vAlign w:val="top"/>
          </w:tcPr>
          <w:p>
            <w:pPr>
              <w:spacing w:after="0"/>
            </w:pPr>
            <w:r>
              <w:rPr>
                <w:sz w:val="17"/>
              </w:rPr>
              <w:t>FR-08</w:t>
            </w:r>
          </w:p>
        </w:tc>
        <w:tc>
          <w:tcPr>
            <w:tcW w:type="dxa" w:w="8460"/>
            <w:tcMar>
              <w:top w:w="80" w:type="dxa"/>
              <w:start w:w="120" w:type="dxa"/>
              <w:bottom w:w="80" w:type="dxa"/>
              <w:end w:w="120" w:type="dxa"/>
            </w:tcMar>
            <w:vAlign w:val="top"/>
          </w:tcPr>
          <w:p>
            <w:pPr>
              <w:spacing w:after="0"/>
            </w:pPr>
            <w:r>
              <w:rPr>
                <w:sz w:val="17"/>
              </w:rPr>
              <w:t>Verification owner can confirm, amend or suspend a listing through a documented manual workflow.</w:t>
            </w:r>
          </w:p>
        </w:tc>
      </w:tr>
      <w:tr>
        <w:trPr>
          <w:cantSplit/>
        </w:trPr>
        <w:tc>
          <w:tcPr>
            <w:tcW w:type="dxa" w:w="900"/>
            <w:tcMar>
              <w:top w:w="80" w:type="dxa"/>
              <w:start w:w="120" w:type="dxa"/>
              <w:bottom w:w="80" w:type="dxa"/>
              <w:end w:w="120" w:type="dxa"/>
            </w:tcMar>
            <w:vAlign w:val="top"/>
          </w:tcPr>
          <w:p>
            <w:pPr>
              <w:spacing w:after="0"/>
            </w:pPr>
            <w:r>
              <w:rPr>
                <w:sz w:val="17"/>
              </w:rPr>
              <w:t>FR-09</w:t>
            </w:r>
          </w:p>
        </w:tc>
        <w:tc>
          <w:tcPr>
            <w:tcW w:type="dxa" w:w="8460"/>
            <w:tcMar>
              <w:top w:w="80" w:type="dxa"/>
              <w:start w:w="120" w:type="dxa"/>
              <w:bottom w:w="80" w:type="dxa"/>
              <w:end w:w="120" w:type="dxa"/>
            </w:tcMar>
            <w:vAlign w:val="top"/>
          </w:tcPr>
          <w:p>
            <w:pPr>
              <w:spacing w:after="0"/>
            </w:pPr>
            <w:r>
              <w:rPr>
                <w:sz w:val="17"/>
              </w:rPr>
              <w:t>Sponsor page is separated from service cards and contains no behavioural tracking.</w:t>
            </w:r>
          </w:p>
        </w:tc>
      </w:tr>
      <w:tr>
        <w:trPr>
          <w:cantSplit/>
        </w:trPr>
        <w:tc>
          <w:tcPr>
            <w:tcW w:type="dxa" w:w="900"/>
            <w:tcMar>
              <w:top w:w="80" w:type="dxa"/>
              <w:start w:w="120" w:type="dxa"/>
              <w:bottom w:w="80" w:type="dxa"/>
              <w:end w:w="120" w:type="dxa"/>
            </w:tcMar>
            <w:vAlign w:val="top"/>
          </w:tcPr>
          <w:p>
            <w:pPr>
              <w:spacing w:after="0"/>
            </w:pPr>
            <w:r>
              <w:rPr>
                <w:sz w:val="17"/>
              </w:rPr>
              <w:t>FR-10</w:t>
            </w:r>
          </w:p>
        </w:tc>
        <w:tc>
          <w:tcPr>
            <w:tcW w:type="dxa" w:w="8460"/>
            <w:tcMar>
              <w:top w:w="80" w:type="dxa"/>
              <w:start w:w="120" w:type="dxa"/>
              <w:bottom w:w="80" w:type="dxa"/>
              <w:end w:w="120" w:type="dxa"/>
            </w:tcMar>
            <w:vAlign w:val="top"/>
          </w:tcPr>
          <w:p>
            <w:pPr>
              <w:spacing w:after="0"/>
            </w:pPr>
            <w:r>
              <w:rPr>
                <w:sz w:val="17"/>
              </w:rPr>
              <w:t>Civic-introduction codes attribute consenting business prospects only; no beneficiary event can carry a code.</w:t>
            </w:r>
          </w:p>
        </w:tc>
      </w:tr>
      <w:tr>
        <w:trPr>
          <w:cantSplit/>
        </w:trPr>
        <w:tc>
          <w:tcPr>
            <w:tcW w:type="dxa" w:w="900"/>
            <w:tcMar>
              <w:top w:w="80" w:type="dxa"/>
              <w:start w:w="120" w:type="dxa"/>
              <w:bottom w:w="80" w:type="dxa"/>
              <w:end w:w="120" w:type="dxa"/>
            </w:tcMar>
            <w:vAlign w:val="top"/>
          </w:tcPr>
          <w:p>
            <w:pPr>
              <w:spacing w:after="0"/>
            </w:pPr>
            <w:r>
              <w:rPr>
                <w:sz w:val="17"/>
              </w:rPr>
              <w:t>FR-11</w:t>
            </w:r>
          </w:p>
        </w:tc>
        <w:tc>
          <w:tcPr>
            <w:tcW w:type="dxa" w:w="8460"/>
            <w:tcMar>
              <w:top w:w="80" w:type="dxa"/>
              <w:start w:w="120" w:type="dxa"/>
              <w:bottom w:w="80" w:type="dxa"/>
              <w:end w:w="120" w:type="dxa"/>
            </w:tcMar>
            <w:vAlign w:val="top"/>
          </w:tcPr>
          <w:p>
            <w:pPr>
              <w:spacing w:after="0"/>
            </w:pPr>
            <w:r>
              <w:rPr>
                <w:sz w:val="17"/>
              </w:rPr>
              <w:t>Site displays privacy, safeguarding, complaints, corrections, sponsorship and profit-donation policies.</w:t>
            </w:r>
          </w:p>
        </w:tc>
      </w:tr>
      <w:tr>
        <w:trPr>
          <w:cantSplit/>
        </w:trPr>
        <w:tc>
          <w:tcPr>
            <w:tcW w:type="dxa" w:w="900"/>
            <w:tcMar>
              <w:top w:w="80" w:type="dxa"/>
              <w:start w:w="120" w:type="dxa"/>
              <w:bottom w:w="80" w:type="dxa"/>
              <w:end w:w="120" w:type="dxa"/>
            </w:tcMar>
            <w:vAlign w:val="top"/>
          </w:tcPr>
          <w:p>
            <w:pPr>
              <w:spacing w:after="0"/>
            </w:pPr>
            <w:r>
              <w:rPr>
                <w:sz w:val="17"/>
              </w:rPr>
              <w:t>FR-12</w:t>
            </w:r>
          </w:p>
        </w:tc>
        <w:tc>
          <w:tcPr>
            <w:tcW w:type="dxa" w:w="8460"/>
            <w:tcMar>
              <w:top w:w="80" w:type="dxa"/>
              <w:start w:w="120" w:type="dxa"/>
              <w:bottom w:w="80" w:type="dxa"/>
              <w:end w:w="120" w:type="dxa"/>
            </w:tcMar>
            <w:vAlign w:val="top"/>
          </w:tcPr>
          <w:p>
            <w:pPr>
              <w:spacing w:after="0"/>
            </w:pPr>
            <w:r>
              <w:rPr>
                <w:sz w:val="17"/>
              </w:rPr>
              <w:t>A build fails if required translations, emergency fields or verification metadata are missing.</w:t>
            </w:r>
          </w:p>
        </w:tc>
      </w:tr>
      <w:tr>
        <w:trPr>
          <w:cantSplit/>
        </w:trPr>
        <w:tc>
          <w:tcPr>
            <w:tcW w:type="dxa" w:w="900"/>
            <w:tcMar>
              <w:top w:w="80" w:type="dxa"/>
              <w:start w:w="120" w:type="dxa"/>
              <w:bottom w:w="80" w:type="dxa"/>
              <w:end w:w="120" w:type="dxa"/>
            </w:tcMar>
            <w:vAlign w:val="top"/>
          </w:tcPr>
          <w:p>
            <w:pPr>
              <w:spacing w:after="0"/>
            </w:pPr>
            <w:r>
              <w:rPr>
                <w:sz w:val="17"/>
              </w:rPr>
              <w:t>FR-13</w:t>
            </w:r>
          </w:p>
        </w:tc>
        <w:tc>
          <w:tcPr>
            <w:tcW w:type="dxa" w:w="8460"/>
            <w:tcMar>
              <w:top w:w="80" w:type="dxa"/>
              <w:start w:w="120" w:type="dxa"/>
              <w:bottom w:w="80" w:type="dxa"/>
              <w:end w:w="120" w:type="dxa"/>
            </w:tcMar>
            <w:vAlign w:val="top"/>
          </w:tcPr>
          <w:p>
            <w:pPr>
              <w:spacing w:after="0"/>
            </w:pPr>
            <w:r>
              <w:rPr>
                <w:sz w:val="17"/>
              </w:rPr>
              <w:t>Sponsor can approve and execute one existing-token transfer; receipt displays transaction, gross, beneficiary and admin amounts.</w:t>
            </w:r>
          </w:p>
        </w:tc>
      </w:tr>
      <w:tr>
        <w:trPr>
          <w:cantSplit/>
        </w:trPr>
        <w:tc>
          <w:tcPr>
            <w:tcW w:type="dxa" w:w="900"/>
            <w:tcMar>
              <w:top w:w="80" w:type="dxa"/>
              <w:start w:w="120" w:type="dxa"/>
              <w:bottom w:w="80" w:type="dxa"/>
              <w:end w:w="120" w:type="dxa"/>
            </w:tcMar>
            <w:vAlign w:val="top"/>
          </w:tcPr>
          <w:p>
            <w:pPr>
              <w:spacing w:after="0"/>
            </w:pPr>
            <w:r>
              <w:rPr>
                <w:sz w:val="17"/>
              </w:rPr>
              <w:t>FR-14</w:t>
            </w:r>
          </w:p>
        </w:tc>
        <w:tc>
          <w:tcPr>
            <w:tcW w:type="dxa" w:w="8460"/>
            <w:tcMar>
              <w:top w:w="80" w:type="dxa"/>
              <w:start w:w="120" w:type="dxa"/>
              <w:bottom w:w="80" w:type="dxa"/>
              <w:end w:w="120" w:type="dxa"/>
            </w:tcMar>
            <w:vAlign w:val="top"/>
          </w:tcPr>
          <w:p>
            <w:pPr>
              <w:spacing w:after="0"/>
            </w:pPr>
            <w:r>
              <w:rPr>
                <w:sz w:val="17"/>
              </w:rPr>
              <w:t>Application validates chain ID, payment-token address, adminWallet and bytecode hash against the signed deployment manifest.</w:t>
            </w:r>
          </w:p>
        </w:tc>
      </w:tr>
      <w:tr>
        <w:trPr>
          <w:cantSplit/>
        </w:trPr>
        <w:tc>
          <w:tcPr>
            <w:tcW w:type="dxa" w:w="900"/>
            <w:tcMar>
              <w:top w:w="80" w:type="dxa"/>
              <w:start w:w="120" w:type="dxa"/>
              <w:bottom w:w="80" w:type="dxa"/>
              <w:end w:w="120" w:type="dxa"/>
            </w:tcMar>
            <w:vAlign w:val="top"/>
          </w:tcPr>
          <w:p>
            <w:pPr>
              <w:spacing w:after="0"/>
            </w:pPr>
            <w:r>
              <w:rPr>
                <w:sz w:val="17"/>
              </w:rPr>
              <w:t>FR-15</w:t>
            </w:r>
          </w:p>
        </w:tc>
        <w:tc>
          <w:tcPr>
            <w:tcW w:type="dxa" w:w="8460"/>
            <w:tcMar>
              <w:top w:w="80" w:type="dxa"/>
              <w:start w:w="120" w:type="dxa"/>
              <w:bottom w:w="80" w:type="dxa"/>
              <w:end w:w="120" w:type="dxa"/>
            </w:tcMar>
            <w:vAlign w:val="top"/>
          </w:tcPr>
          <w:p>
            <w:pPr>
              <w:spacing w:after="0"/>
            </w:pPr>
            <w:r>
              <w:rPr>
                <w:sz w:val="17"/>
              </w:rPr>
              <w:t>Application verifies listing and translation signatures locally and explains which trust threshold passed.</w:t>
            </w:r>
          </w:p>
        </w:tc>
      </w:tr>
      <w:tr>
        <w:trPr>
          <w:cantSplit/>
        </w:trPr>
        <w:tc>
          <w:tcPr>
            <w:tcW w:type="dxa" w:w="900"/>
            <w:tcMar>
              <w:top w:w="80" w:type="dxa"/>
              <w:start w:w="120" w:type="dxa"/>
              <w:bottom w:w="80" w:type="dxa"/>
              <w:end w:w="120" w:type="dxa"/>
            </w:tcMar>
            <w:vAlign w:val="top"/>
          </w:tcPr>
          <w:p>
            <w:pPr>
              <w:spacing w:after="0"/>
            </w:pPr>
            <w:r>
              <w:rPr>
                <w:sz w:val="17"/>
              </w:rPr>
              <w:t>FR-16</w:t>
            </w:r>
          </w:p>
        </w:tc>
        <w:tc>
          <w:tcPr>
            <w:tcW w:type="dxa" w:w="8460"/>
            <w:tcMar>
              <w:top w:w="80" w:type="dxa"/>
              <w:start w:w="120" w:type="dxa"/>
              <w:bottom w:w="80" w:type="dxa"/>
              <w:end w:w="120" w:type="dxa"/>
            </w:tcMar>
            <w:vAlign w:val="top"/>
          </w:tcPr>
          <w:p>
            <w:pPr>
              <w:spacing w:after="0"/>
            </w:pPr>
            <w:r>
              <w:rPr>
                <w:sz w:val="17"/>
              </w:rPr>
              <w:t>Any third party can export all public data, run the static frontend and select a different IPFS gateway.</w:t>
            </w:r>
          </w:p>
        </w:tc>
      </w:tr>
      <w:tr>
        <w:trPr>
          <w:cantSplit/>
        </w:trPr>
        <w:tc>
          <w:tcPr>
            <w:tcW w:type="dxa" w:w="900"/>
            <w:tcMar>
              <w:top w:w="80" w:type="dxa"/>
              <w:start w:w="120" w:type="dxa"/>
              <w:bottom w:w="80" w:type="dxa"/>
              <w:end w:w="120" w:type="dxa"/>
            </w:tcMar>
            <w:vAlign w:val="top"/>
          </w:tcPr>
          <w:p>
            <w:pPr>
              <w:spacing w:after="0"/>
            </w:pPr>
            <w:r>
              <w:rPr>
                <w:sz w:val="17"/>
              </w:rPr>
              <w:t>FR-17</w:t>
            </w:r>
          </w:p>
        </w:tc>
        <w:tc>
          <w:tcPr>
            <w:tcW w:type="dxa" w:w="8460"/>
            <w:tcMar>
              <w:top w:w="80" w:type="dxa"/>
              <w:start w:w="120" w:type="dxa"/>
              <w:bottom w:w="80" w:type="dxa"/>
              <w:end w:w="120" w:type="dxa"/>
            </w:tcMar>
            <w:vAlign w:val="top"/>
          </w:tcPr>
          <w:p>
            <w:pPr>
              <w:spacing w:after="0"/>
            </w:pPr>
            <w:r>
              <w:rPr>
                <w:sz w:val="17"/>
              </w:rPr>
              <w:t>No public beneficiary-facing route initializes a wallet SDK, requests a signature or carries referral attribution.</w:t>
            </w:r>
          </w:p>
        </w:tc>
      </w:tr>
      <w:tr>
        <w:trPr>
          <w:cantSplit/>
        </w:trPr>
        <w:tc>
          <w:tcPr>
            <w:tcW w:type="dxa" w:w="900"/>
            <w:tcMar>
              <w:top w:w="80" w:type="dxa"/>
              <w:start w:w="120" w:type="dxa"/>
              <w:bottom w:w="80" w:type="dxa"/>
              <w:end w:w="120" w:type="dxa"/>
            </w:tcMar>
            <w:vAlign w:val="top"/>
          </w:tcPr>
          <w:p>
            <w:pPr>
              <w:spacing w:after="0"/>
            </w:pPr>
            <w:r>
              <w:rPr>
                <w:sz w:val="17"/>
              </w:rPr>
              <w:t>FR-18</w:t>
            </w:r>
          </w:p>
        </w:tc>
        <w:tc>
          <w:tcPr>
            <w:tcW w:type="dxa" w:w="8460"/>
            <w:tcMar>
              <w:top w:w="80" w:type="dxa"/>
              <w:start w:w="120" w:type="dxa"/>
              <w:bottom w:w="80" w:type="dxa"/>
              <w:end w:w="120" w:type="dxa"/>
            </w:tcMar>
            <w:vAlign w:val="top"/>
          </w:tcPr>
          <w:p>
            <w:pPr>
              <w:spacing w:after="0"/>
            </w:pPr>
            <w:r>
              <w:rPr>
                <w:sz w:val="17"/>
              </w:rPr>
              <w:t>Sponsor can choose card, SEPA bank transfer or Base without receiving different recognition or pricing.</w:t>
            </w:r>
          </w:p>
        </w:tc>
      </w:tr>
      <w:tr>
        <w:trPr>
          <w:cantSplit/>
        </w:trPr>
        <w:tc>
          <w:tcPr>
            <w:tcW w:type="dxa" w:w="900"/>
            <w:tcMar>
              <w:top w:w="80" w:type="dxa"/>
              <w:start w:w="120" w:type="dxa"/>
              <w:bottom w:w="80" w:type="dxa"/>
              <w:end w:w="120" w:type="dxa"/>
            </w:tcMar>
            <w:vAlign w:val="top"/>
          </w:tcPr>
          <w:p>
            <w:pPr>
              <w:spacing w:after="0"/>
            </w:pPr>
            <w:r>
              <w:rPr>
                <w:sz w:val="17"/>
              </w:rPr>
              <w:t>FR-19</w:t>
            </w:r>
          </w:p>
        </w:tc>
        <w:tc>
          <w:tcPr>
            <w:tcW w:type="dxa" w:w="8460"/>
            <w:tcMar>
              <w:top w:w="80" w:type="dxa"/>
              <w:start w:w="120" w:type="dxa"/>
              <w:bottom w:w="80" w:type="dxa"/>
              <w:end w:w="120" w:type="dxa"/>
            </w:tcMar>
            <w:vAlign w:val="top"/>
          </w:tcPr>
          <w:p>
            <w:pPr>
              <w:spacing w:after="0"/>
            </w:pPr>
            <w:r>
              <w:rPr>
                <w:sz w:val="17"/>
              </w:rPr>
              <w:t>Card checkout is provider-hosted; signed webhooks, not browser redirects, control payment state.</w:t>
            </w:r>
          </w:p>
        </w:tc>
      </w:tr>
      <w:tr>
        <w:trPr>
          <w:cantSplit/>
        </w:trPr>
        <w:tc>
          <w:tcPr>
            <w:tcW w:type="dxa" w:w="900"/>
            <w:tcMar>
              <w:top w:w="80" w:type="dxa"/>
              <w:start w:w="120" w:type="dxa"/>
              <w:bottom w:w="80" w:type="dxa"/>
              <w:end w:w="120" w:type="dxa"/>
            </w:tcMar>
            <w:vAlign w:val="top"/>
          </w:tcPr>
          <w:p>
            <w:pPr>
              <w:spacing w:after="0"/>
            </w:pPr>
            <w:r>
              <w:rPr>
                <w:sz w:val="17"/>
              </w:rPr>
              <w:t>FR-20</w:t>
            </w:r>
          </w:p>
        </w:tc>
        <w:tc>
          <w:tcPr>
            <w:tcW w:type="dxa" w:w="8460"/>
            <w:tcMar>
              <w:top w:w="80" w:type="dxa"/>
              <w:start w:w="120" w:type="dxa"/>
              <w:bottom w:w="80" w:type="dxa"/>
              <w:end w:w="120" w:type="dxa"/>
            </w:tcMar>
            <w:vAlign w:val="top"/>
          </w:tcPr>
          <w:p>
            <w:pPr>
              <w:spacing w:after="0"/>
            </w:pPr>
            <w:r>
              <w:rPr>
                <w:sz w:val="17"/>
              </w:rPr>
              <w:t>SEPA instructions include the legal account holder and unique reference; unmatched transfers enter review.</w:t>
            </w:r>
          </w:p>
        </w:tc>
      </w:tr>
      <w:tr>
        <w:trPr>
          <w:cantSplit/>
        </w:trPr>
        <w:tc>
          <w:tcPr>
            <w:tcW w:type="dxa" w:w="900"/>
            <w:tcMar>
              <w:top w:w="80" w:type="dxa"/>
              <w:start w:w="120" w:type="dxa"/>
              <w:bottom w:w="80" w:type="dxa"/>
              <w:end w:w="120" w:type="dxa"/>
            </w:tcMar>
            <w:vAlign w:val="top"/>
          </w:tcPr>
          <w:p>
            <w:pPr>
              <w:spacing w:after="0"/>
            </w:pPr>
            <w:r>
              <w:rPr>
                <w:sz w:val="17"/>
              </w:rPr>
              <w:t>FR-21</w:t>
            </w:r>
          </w:p>
        </w:tc>
        <w:tc>
          <w:tcPr>
            <w:tcW w:type="dxa" w:w="8460"/>
            <w:tcMar>
              <w:top w:w="80" w:type="dxa"/>
              <w:start w:w="120" w:type="dxa"/>
              <w:bottom w:w="80" w:type="dxa"/>
              <w:end w:w="120" w:type="dxa"/>
            </w:tcMar>
            <w:vAlign w:val="top"/>
          </w:tcPr>
          <w:p>
            <w:pPr>
              <w:spacing w:after="0"/>
            </w:pPr>
            <w:r>
              <w:rPr>
                <w:sz w:val="17"/>
              </w:rPr>
              <w:t>Refund, chargeback and failed-payment events reverse allocations exactly once and preserve the audit trail.</w:t>
            </w:r>
          </w:p>
        </w:tc>
      </w:tr>
      <w:tr>
        <w:trPr>
          <w:cantSplit/>
        </w:trPr>
        <w:tc>
          <w:tcPr>
            <w:tcW w:type="dxa" w:w="900"/>
            <w:tcMar>
              <w:top w:w="80" w:type="dxa"/>
              <w:start w:w="120" w:type="dxa"/>
              <w:bottom w:w="80" w:type="dxa"/>
              <w:end w:w="120" w:type="dxa"/>
            </w:tcMar>
            <w:vAlign w:val="top"/>
          </w:tcPr>
          <w:p>
            <w:pPr>
              <w:spacing w:after="0"/>
            </w:pPr>
            <w:r>
              <w:rPr>
                <w:sz w:val="17"/>
              </w:rPr>
              <w:t>FR-22</w:t>
            </w:r>
          </w:p>
        </w:tc>
        <w:tc>
          <w:tcPr>
            <w:tcW w:type="dxa" w:w="8460"/>
            <w:tcMar>
              <w:top w:w="80" w:type="dxa"/>
              <w:start w:w="120" w:type="dxa"/>
              <w:bottom w:w="80" w:type="dxa"/>
              <w:end w:w="120" w:type="dxa"/>
            </w:tcMar>
            <w:vAlign w:val="top"/>
          </w:tcPr>
          <w:p>
            <w:pPr>
              <w:spacing w:after="0"/>
            </w:pPr>
            <w:r>
              <w:rPr>
                <w:sz w:val="17"/>
              </w:rPr>
              <w:t>One normalized ledger reconciles gross, fees, tax, charity and admin allocations across all lanes.</w:t>
            </w:r>
          </w:p>
        </w:tc>
      </w:tr>
      <w:tr>
        <w:trPr>
          <w:cantSplit/>
        </w:trPr>
        <w:tc>
          <w:tcPr>
            <w:tcW w:type="dxa" w:w="900"/>
            <w:tcMar>
              <w:top w:w="80" w:type="dxa"/>
              <w:start w:w="120" w:type="dxa"/>
              <w:bottom w:w="80" w:type="dxa"/>
              <w:end w:w="120" w:type="dxa"/>
            </w:tcMar>
            <w:vAlign w:val="top"/>
          </w:tcPr>
          <w:p>
            <w:pPr>
              <w:spacing w:after="0"/>
            </w:pPr>
            <w:r>
              <w:rPr>
                <w:sz w:val="17"/>
              </w:rPr>
              <w:t>FR-23</w:t>
            </w:r>
          </w:p>
        </w:tc>
        <w:tc>
          <w:tcPr>
            <w:tcW w:type="dxa" w:w="8460"/>
            <w:tcMar>
              <w:top w:w="80" w:type="dxa"/>
              <w:start w:w="120" w:type="dxa"/>
              <w:bottom w:w="80" w:type="dxa"/>
              <w:end w:w="120" w:type="dxa"/>
            </w:tcMar>
            <w:vAlign w:val="top"/>
          </w:tcPr>
          <w:p>
            <w:pPr>
              <w:spacing w:after="0"/>
            </w:pPr>
            <w:r>
              <w:rPr>
                <w:sz w:val="17"/>
              </w:rPr>
              <w:t>Admin can export accountant-ready CSV/JSON while the public view excludes card and personal bank data.</w:t>
            </w:r>
          </w:p>
        </w:tc>
      </w:tr>
      <w:tr>
        <w:trPr>
          <w:cantSplit/>
        </w:trPr>
        <w:tc>
          <w:tcPr>
            <w:tcW w:type="dxa" w:w="900"/>
            <w:tcMar>
              <w:top w:w="80" w:type="dxa"/>
              <w:start w:w="120" w:type="dxa"/>
              <w:bottom w:w="80" w:type="dxa"/>
              <w:end w:w="120" w:type="dxa"/>
            </w:tcMar>
            <w:vAlign w:val="top"/>
          </w:tcPr>
          <w:p>
            <w:pPr>
              <w:spacing w:after="0"/>
            </w:pPr>
            <w:r>
              <w:rPr>
                <w:sz w:val="17"/>
              </w:rPr>
              <w:t>FR-24</w:t>
            </w:r>
          </w:p>
        </w:tc>
        <w:tc>
          <w:tcPr>
            <w:tcW w:type="dxa" w:w="8460"/>
            <w:tcMar>
              <w:top w:w="80" w:type="dxa"/>
              <w:start w:w="120" w:type="dxa"/>
              <w:bottom w:w="80" w:type="dxa"/>
              <w:end w:w="120" w:type="dxa"/>
            </w:tcMar>
            <w:vAlign w:val="top"/>
          </w:tcPr>
          <w:p>
            <w:pPr>
              <w:spacing w:after="0"/>
            </w:pPr>
            <w:r>
              <w:rPr>
                <w:sz w:val="17"/>
              </w:rPr>
              <w:t>Sponsor can preview an approval-ready order summary showing price, funded result, allocation, recognition term, payment choices and refund terms.</w:t>
            </w:r>
          </w:p>
        </w:tc>
      </w:tr>
      <w:tr>
        <w:trPr>
          <w:cantSplit/>
        </w:trPr>
        <w:tc>
          <w:tcPr>
            <w:tcW w:type="dxa" w:w="900"/>
            <w:tcMar>
              <w:top w:w="80" w:type="dxa"/>
              <w:start w:w="120" w:type="dxa"/>
              <w:bottom w:w="80" w:type="dxa"/>
              <w:end w:w="120" w:type="dxa"/>
            </w:tcMar>
            <w:vAlign w:val="top"/>
          </w:tcPr>
          <w:p>
            <w:pPr>
              <w:spacing w:after="0"/>
            </w:pPr>
            <w:r>
              <w:rPr>
                <w:sz w:val="17"/>
              </w:rPr>
              <w:t>FR-25</w:t>
            </w:r>
          </w:p>
        </w:tc>
        <w:tc>
          <w:tcPr>
            <w:tcW w:type="dxa" w:w="8460"/>
            <w:tcMar>
              <w:top w:w="80" w:type="dxa"/>
              <w:start w:w="120" w:type="dxa"/>
              <w:bottom w:w="80" w:type="dxa"/>
              <w:end w:w="120" w:type="dxa"/>
            </w:tcMar>
            <w:vAlign w:val="top"/>
          </w:tcPr>
          <w:p>
            <w:pPr>
              <w:spacing w:after="0"/>
            </w:pPr>
            <w:r>
              <w:rPr>
                <w:sz w:val="17"/>
              </w:rPr>
              <w:t>After settlement, sponsor receives a proof URL and downloadable evidence pack containing receipt/invoice, allocation and aggregate outcome evidence.</w:t>
            </w:r>
          </w:p>
        </w:tc>
      </w:tr>
      <w:tr>
        <w:trPr>
          <w:cantSplit/>
        </w:trPr>
        <w:tc>
          <w:tcPr>
            <w:tcW w:type="dxa" w:w="900"/>
            <w:tcMar>
              <w:top w:w="80" w:type="dxa"/>
              <w:start w:w="120" w:type="dxa"/>
              <w:bottom w:w="80" w:type="dxa"/>
              <w:end w:w="120" w:type="dxa"/>
            </w:tcMar>
            <w:vAlign w:val="top"/>
          </w:tcPr>
          <w:p>
            <w:pPr>
              <w:spacing w:after="0"/>
            </w:pPr>
            <w:r>
              <w:rPr>
                <w:sz w:val="17"/>
              </w:rPr>
              <w:t>FR-26</w:t>
            </w:r>
          </w:p>
        </w:tc>
        <w:tc>
          <w:tcPr>
            <w:tcW w:type="dxa" w:w="8460"/>
            <w:tcMar>
              <w:top w:w="80" w:type="dxa"/>
              <w:start w:w="120" w:type="dxa"/>
              <w:bottom w:w="80" w:type="dxa"/>
              <w:end w:w="120" w:type="dxa"/>
            </w:tcMar>
            <w:vAlign w:val="top"/>
          </w:tcPr>
          <w:p>
            <w:pPr>
              <w:spacing w:after="0"/>
            </w:pPr>
            <w:r>
              <w:rPr>
                <w:sz w:val="17"/>
              </w:rPr>
              <w:t>Sponsor wall displays a name/logo only with recorded consent, an expiry date and a working withdrawal route.</w:t>
            </w:r>
          </w:p>
        </w:tc>
      </w:tr>
      <w:tr>
        <w:trPr>
          <w:cantSplit/>
        </w:trPr>
        <w:tc>
          <w:tcPr>
            <w:tcW w:type="dxa" w:w="900"/>
            <w:tcMar>
              <w:top w:w="80" w:type="dxa"/>
              <w:start w:w="120" w:type="dxa"/>
              <w:bottom w:w="80" w:type="dxa"/>
              <w:end w:w="120" w:type="dxa"/>
            </w:tcMar>
            <w:vAlign w:val="top"/>
          </w:tcPr>
          <w:p>
            <w:pPr>
              <w:spacing w:after="0"/>
            </w:pPr>
            <w:r>
              <w:rPr>
                <w:sz w:val="17"/>
              </w:rPr>
              <w:t>FR-27</w:t>
            </w:r>
          </w:p>
        </w:tc>
        <w:tc>
          <w:tcPr>
            <w:tcW w:type="dxa" w:w="8460"/>
            <w:tcMar>
              <w:top w:w="80" w:type="dxa"/>
              <w:start w:w="120" w:type="dxa"/>
              <w:bottom w:w="80" w:type="dxa"/>
              <w:end w:w="120" w:type="dxa"/>
            </w:tcMar>
            <w:vAlign w:val="top"/>
          </w:tcPr>
          <w:p>
            <w:pPr>
              <w:spacing w:after="0"/>
            </w:pPr>
            <w:r>
              <w:rPr>
                <w:sz w:val="17"/>
              </w:rPr>
              <w:t>System generates an accessible supporter badge that links to proof and can be revoked without changing historical accounting records.</w:t>
            </w:r>
          </w:p>
        </w:tc>
      </w:tr>
      <w:tr>
        <w:trPr>
          <w:cantSplit/>
        </w:trPr>
        <w:tc>
          <w:tcPr>
            <w:tcW w:type="dxa" w:w="900"/>
            <w:tcMar>
              <w:top w:w="80" w:type="dxa"/>
              <w:start w:w="120" w:type="dxa"/>
              <w:bottom w:w="80" w:type="dxa"/>
              <w:end w:w="120" w:type="dxa"/>
            </w:tcMar>
            <w:vAlign w:val="top"/>
          </w:tcPr>
          <w:p>
            <w:pPr>
              <w:spacing w:after="0"/>
            </w:pPr>
            <w:r>
              <w:rPr>
                <w:sz w:val="17"/>
              </w:rPr>
              <w:t>FR-28</w:t>
            </w:r>
          </w:p>
        </w:tc>
        <w:tc>
          <w:tcPr>
            <w:tcW w:type="dxa" w:w="8460"/>
            <w:tcMar>
              <w:top w:w="80" w:type="dxa"/>
              <w:start w:w="120" w:type="dxa"/>
              <w:bottom w:w="80" w:type="dxa"/>
              <w:end w:w="120" w:type="dxa"/>
            </w:tcMar>
            <w:vAlign w:val="top"/>
          </w:tcPr>
          <w:p>
            <w:pPr>
              <w:spacing w:after="0"/>
            </w:pPr>
            <w:r>
              <w:rPr>
                <w:sz w:val="17"/>
              </w:rPr>
              <w:t>Matching campaigns enforce currency, eligibility, start/end time and hard EUR cap server-side; counters expose aggregates only.</w:t>
            </w:r>
          </w:p>
        </w:tc>
      </w:tr>
      <w:tr>
        <w:trPr>
          <w:cantSplit/>
        </w:trPr>
        <w:tc>
          <w:tcPr>
            <w:tcW w:type="dxa" w:w="900"/>
            <w:tcMar>
              <w:top w:w="80" w:type="dxa"/>
              <w:start w:w="120" w:type="dxa"/>
              <w:bottom w:w="80" w:type="dxa"/>
              <w:end w:w="120" w:type="dxa"/>
            </w:tcMar>
            <w:vAlign w:val="top"/>
          </w:tcPr>
          <w:p>
            <w:pPr>
              <w:spacing w:after="0"/>
            </w:pPr>
            <w:r>
              <w:rPr>
                <w:sz w:val="17"/>
              </w:rPr>
              <w:t>FR-29</w:t>
            </w:r>
          </w:p>
        </w:tc>
        <w:tc>
          <w:tcPr>
            <w:tcW w:type="dxa" w:w="8460"/>
            <w:tcMar>
              <w:top w:w="80" w:type="dxa"/>
              <w:start w:w="120" w:type="dxa"/>
              <w:bottom w:w="80" w:type="dxa"/>
              <w:end w:w="120" w:type="dxa"/>
            </w:tcMar>
            <w:vAlign w:val="top"/>
          </w:tcPr>
          <w:p>
            <w:pPr>
              <w:spacing w:after="0"/>
            </w:pPr>
            <w:r>
              <w:rPr>
                <w:sz w:val="17"/>
              </w:rPr>
              <w:t>Renewal reminders use aggregate impact data, respect opt-out/suppression and never use beneficiary activity for targeting.</w:t>
            </w:r>
          </w:p>
        </w:tc>
      </w:tr>
      <w:tr>
        <w:trPr>
          <w:cantSplit/>
        </w:trPr>
        <w:tc>
          <w:tcPr>
            <w:tcW w:type="dxa" w:w="900"/>
            <w:tcMar>
              <w:top w:w="80" w:type="dxa"/>
              <w:start w:w="120" w:type="dxa"/>
              <w:bottom w:w="80" w:type="dxa"/>
              <w:end w:w="120" w:type="dxa"/>
            </w:tcMar>
            <w:vAlign w:val="top"/>
          </w:tcPr>
          <w:p>
            <w:pPr>
              <w:spacing w:after="0"/>
            </w:pPr>
            <w:r>
              <w:rPr>
                <w:sz w:val="17"/>
              </w:rPr>
              <w:t>FR-30</w:t>
            </w:r>
          </w:p>
        </w:tc>
        <w:tc>
          <w:tcPr>
            <w:tcW w:type="dxa" w:w="8460"/>
            <w:tcMar>
              <w:top w:w="80" w:type="dxa"/>
              <w:start w:w="120" w:type="dxa"/>
              <w:bottom w:w="80" w:type="dxa"/>
              <w:end w:w="120" w:type="dxa"/>
            </w:tcMar>
            <w:vAlign w:val="top"/>
          </w:tcPr>
          <w:p>
            <w:pPr>
              <w:spacing w:after="0"/>
            </w:pPr>
            <w:r>
              <w:rPr>
                <w:sz w:val="17"/>
              </w:rPr>
              <w:t>Automated tests prove sponsorship amount, tier, badge or renewal cannot alter listing rank, verification status or beneficiary-facing UI.</w:t>
            </w:r>
          </w:p>
        </w:tc>
      </w:tr>
      <w:tr>
        <w:trPr>
          <w:cantSplit/>
        </w:trPr>
        <w:tc>
          <w:tcPr>
            <w:tcW w:type="dxa" w:w="900"/>
            <w:tcMar>
              <w:top w:w="80" w:type="dxa"/>
              <w:start w:w="120" w:type="dxa"/>
              <w:bottom w:w="80" w:type="dxa"/>
              <w:end w:w="120" w:type="dxa"/>
            </w:tcMar>
            <w:vAlign w:val="top"/>
          </w:tcPr>
          <w:p>
            <w:pPr>
              <w:spacing w:after="0"/>
            </w:pPr>
            <w:r>
              <w:rPr>
                <w:sz w:val="17"/>
              </w:rPr>
              <w:t>FR-31</w:t>
            </w:r>
          </w:p>
        </w:tc>
        <w:tc>
          <w:tcPr>
            <w:tcW w:type="dxa" w:w="8460"/>
            <w:tcMar>
              <w:top w:w="80" w:type="dxa"/>
              <w:start w:w="120" w:type="dxa"/>
              <w:bottom w:w="80" w:type="dxa"/>
              <w:end w:w="120" w:type="dxa"/>
            </w:tcMar>
            <w:vAlign w:val="top"/>
          </w:tcPr>
          <w:p>
            <w:pPr>
              <w:spacing w:after="0"/>
            </w:pPr>
            <w:r>
              <w:rPr>
                <w:sz w:val="17"/>
              </w:rPr>
              <w:t>Any visitor can submit an activity idea in French, English or Arabic without an account; anonymous ideas contain no personal case data.</w:t>
            </w:r>
          </w:p>
        </w:tc>
      </w:tr>
      <w:tr>
        <w:trPr>
          <w:cantSplit/>
        </w:trPr>
        <w:tc>
          <w:tcPr>
            <w:tcW w:type="dxa" w:w="900"/>
            <w:tcMar>
              <w:top w:w="80" w:type="dxa"/>
              <w:start w:w="120" w:type="dxa"/>
              <w:bottom w:w="80" w:type="dxa"/>
              <w:end w:w="120" w:type="dxa"/>
            </w:tcMar>
            <w:vAlign w:val="top"/>
          </w:tcPr>
          <w:p>
            <w:pPr>
              <w:spacing w:after="0"/>
            </w:pPr>
            <w:r>
              <w:rPr>
                <w:sz w:val="17"/>
              </w:rPr>
              <w:t>FR-32</w:t>
            </w:r>
          </w:p>
        </w:tc>
        <w:tc>
          <w:tcPr>
            <w:tcW w:type="dxa" w:w="8460"/>
            <w:tcMar>
              <w:top w:w="80" w:type="dxa"/>
              <w:start w:w="120" w:type="dxa"/>
              <w:bottom w:w="80" w:type="dxa"/>
              <w:end w:w="120" w:type="dxa"/>
            </w:tcMar>
            <w:vAlign w:val="top"/>
          </w:tcPr>
          <w:p>
            <w:pPr>
              <w:spacing w:after="0"/>
            </w:pPr>
            <w:r>
              <w:rPr>
                <w:sz w:val="17"/>
              </w:rPr>
              <w:t>Idea workflow records category, paid/voluntary/retail classification, risks, permissions, review owner, public rationale and status history.</w:t>
            </w:r>
          </w:p>
        </w:tc>
      </w:tr>
      <w:tr>
        <w:trPr>
          <w:cantSplit/>
        </w:trPr>
        <w:tc>
          <w:tcPr>
            <w:tcW w:type="dxa" w:w="900"/>
            <w:tcMar>
              <w:top w:w="80" w:type="dxa"/>
              <w:start w:w="120" w:type="dxa"/>
              <w:bottom w:w="80" w:type="dxa"/>
              <w:end w:w="120" w:type="dxa"/>
            </w:tcMar>
            <w:vAlign w:val="top"/>
          </w:tcPr>
          <w:p>
            <w:pPr>
              <w:spacing w:after="0"/>
            </w:pPr>
            <w:r>
              <w:rPr>
                <w:sz w:val="17"/>
              </w:rPr>
              <w:t>FR-33</w:t>
            </w:r>
          </w:p>
        </w:tc>
        <w:tc>
          <w:tcPr>
            <w:tcW w:type="dxa" w:w="8460"/>
            <w:tcMar>
              <w:top w:w="80" w:type="dxa"/>
              <w:start w:w="120" w:type="dxa"/>
              <w:bottom w:w="80" w:type="dxa"/>
              <w:end w:w="120" w:type="dxa"/>
            </w:tcMar>
            <w:vAlign w:val="top"/>
          </w:tcPr>
          <w:p>
            <w:pPr>
              <w:spacing w:after="0"/>
            </w:pPr>
            <w:r>
              <w:rPr>
                <w:sz w:val="17"/>
              </w:rPr>
              <w:t>No provider profile or paid offer is published until an accountable operator supplies a time-limited eligible_to_offer=true attestation; documents remain with that operator.</w:t>
            </w:r>
          </w:p>
        </w:tc>
      </w:tr>
      <w:tr>
        <w:trPr>
          <w:cantSplit/>
        </w:trPr>
        <w:tc>
          <w:tcPr>
            <w:tcW w:type="dxa" w:w="900"/>
            <w:tcMar>
              <w:top w:w="80" w:type="dxa"/>
              <w:start w:w="120" w:type="dxa"/>
              <w:bottom w:w="80" w:type="dxa"/>
              <w:end w:w="120" w:type="dxa"/>
            </w:tcMar>
            <w:vAlign w:val="top"/>
          </w:tcPr>
          <w:p>
            <w:pPr>
              <w:spacing w:after="0"/>
            </w:pPr>
            <w:r>
              <w:rPr>
                <w:sz w:val="17"/>
              </w:rPr>
              <w:t>FR-34</w:t>
            </w:r>
          </w:p>
        </w:tc>
        <w:tc>
          <w:tcPr>
            <w:tcW w:type="dxa" w:w="8460"/>
            <w:tcMar>
              <w:top w:w="80" w:type="dxa"/>
              <w:start w:w="120" w:type="dxa"/>
              <w:bottom w:w="80" w:type="dxa"/>
              <w:end w:w="120" w:type="dxa"/>
            </w:tcMar>
            <w:vAlign w:val="top"/>
          </w:tcPr>
          <w:p>
            <w:pPr>
              <w:spacing w:after="0"/>
            </w:pPr>
            <w:r>
              <w:rPr>
                <w:sz w:val="17"/>
              </w:rPr>
              <w:t>All lawful paid activities display EUR price, responsible seller/employer, contract or invoice route, cancellation, complaint and insurance information.</w:t>
            </w:r>
          </w:p>
        </w:tc>
      </w:tr>
      <w:tr>
        <w:trPr>
          <w:cantSplit/>
        </w:trPr>
        <w:tc>
          <w:tcPr>
            <w:tcW w:type="dxa" w:w="900"/>
            <w:tcMar>
              <w:top w:w="80" w:type="dxa"/>
              <w:start w:w="120" w:type="dxa"/>
              <w:bottom w:w="80" w:type="dxa"/>
              <w:end w:w="120" w:type="dxa"/>
            </w:tcMar>
            <w:vAlign w:val="top"/>
          </w:tcPr>
          <w:p>
            <w:pPr>
              <w:spacing w:after="0"/>
            </w:pPr>
            <w:r>
              <w:rPr>
                <w:sz w:val="17"/>
              </w:rPr>
              <w:t>FR-35</w:t>
            </w:r>
          </w:p>
        </w:tc>
        <w:tc>
          <w:tcPr>
            <w:tcW w:type="dxa" w:w="8460"/>
            <w:tcMar>
              <w:top w:w="80" w:type="dxa"/>
              <w:start w:w="120" w:type="dxa"/>
              <w:bottom w:w="80" w:type="dxa"/>
              <w:end w:w="120" w:type="dxa"/>
            </w:tcMar>
            <w:vAlign w:val="top"/>
          </w:tcPr>
          <w:p>
            <w:pPr>
              <w:spacing w:after="0"/>
            </w:pPr>
            <w:r>
              <w:rPr>
                <w:sz w:val="17"/>
              </w:rPr>
              <w:t>Municipal-benefit tasks cannot open until written mandate, work basis, PPE, supervision, insurance and incident route are attached and approved.</w:t>
            </w:r>
          </w:p>
        </w:tc>
      </w:tr>
      <w:tr>
        <w:trPr>
          <w:cantSplit/>
        </w:trPr>
        <w:tc>
          <w:tcPr>
            <w:tcW w:type="dxa" w:w="900"/>
            <w:tcMar>
              <w:top w:w="80" w:type="dxa"/>
              <w:start w:w="120" w:type="dxa"/>
              <w:bottom w:w="80" w:type="dxa"/>
              <w:end w:w="120" w:type="dxa"/>
            </w:tcMar>
            <w:vAlign w:val="top"/>
          </w:tcPr>
          <w:p>
            <w:pPr>
              <w:spacing w:after="0"/>
            </w:pPr>
            <w:r>
              <w:rPr>
                <w:sz w:val="17"/>
              </w:rPr>
              <w:t>FR-36</w:t>
            </w:r>
          </w:p>
        </w:tc>
        <w:tc>
          <w:tcPr>
            <w:tcW w:type="dxa" w:w="8460"/>
            <w:tcMar>
              <w:top w:w="80" w:type="dxa"/>
              <w:start w:w="120" w:type="dxa"/>
              <w:bottom w:w="80" w:type="dxa"/>
              <w:end w:w="120" w:type="dxa"/>
            </w:tcMar>
            <w:vAlign w:val="top"/>
          </w:tcPr>
          <w:p>
            <w:pPr>
              <w:spacing w:after="0"/>
            </w:pPr>
            <w:r>
              <w:rPr>
                <w:sz w:val="17"/>
              </w:rPr>
              <w:t>ACTIVITY BADGE is technically non-transferable, non-redeemable, non-purchasable and carries an explicit zero-monetary-value notice.</w:t>
            </w:r>
          </w:p>
        </w:tc>
      </w:tr>
      <w:tr>
        <w:trPr>
          <w:cantSplit/>
        </w:trPr>
        <w:tc>
          <w:tcPr>
            <w:tcW w:type="dxa" w:w="900"/>
            <w:tcMar>
              <w:top w:w="80" w:type="dxa"/>
              <w:start w:w="120" w:type="dxa"/>
              <w:bottom w:w="80" w:type="dxa"/>
              <w:end w:w="120" w:type="dxa"/>
            </w:tcMar>
            <w:vAlign w:val="top"/>
          </w:tcPr>
          <w:p>
            <w:pPr>
              <w:spacing w:after="0"/>
            </w:pPr>
            <w:r>
              <w:rPr>
                <w:sz w:val="17"/>
              </w:rPr>
              <w:t>FR-37</w:t>
            </w:r>
          </w:p>
        </w:tc>
        <w:tc>
          <w:tcPr>
            <w:tcW w:type="dxa" w:w="8460"/>
            <w:tcMar>
              <w:top w:w="80" w:type="dxa"/>
              <w:start w:w="120" w:type="dxa"/>
              <w:bottom w:w="80" w:type="dxa"/>
              <w:end w:w="120" w:type="dxa"/>
            </w:tcMar>
            <w:vAlign w:val="top"/>
          </w:tcPr>
          <w:p>
            <w:pPr>
              <w:spacing w:after="0"/>
            </w:pPr>
            <w:r>
              <w:rPr>
                <w:sz w:val="17"/>
              </w:rPr>
              <w:t>COMMUNITY VOUCHER is sponsor-funded, fixed-value, merchant-limited, non-transferable and non-cashable; issuance cannot depend on unauthorized work.</w:t>
            </w:r>
          </w:p>
        </w:tc>
      </w:tr>
      <w:tr>
        <w:trPr>
          <w:cantSplit/>
        </w:trPr>
        <w:tc>
          <w:tcPr>
            <w:tcW w:type="dxa" w:w="900"/>
            <w:tcMar>
              <w:top w:w="80" w:type="dxa"/>
              <w:start w:w="120" w:type="dxa"/>
              <w:bottom w:w="80" w:type="dxa"/>
              <w:end w:w="120" w:type="dxa"/>
            </w:tcMar>
            <w:vAlign w:val="top"/>
          </w:tcPr>
          <w:p>
            <w:pPr>
              <w:spacing w:after="0"/>
            </w:pPr>
            <w:r>
              <w:rPr>
                <w:sz w:val="17"/>
              </w:rPr>
              <w:t>FR-38</w:t>
            </w:r>
          </w:p>
        </w:tc>
        <w:tc>
          <w:tcPr>
            <w:tcW w:type="dxa" w:w="8460"/>
            <w:tcMar>
              <w:top w:w="80" w:type="dxa"/>
              <w:start w:w="120" w:type="dxa"/>
              <w:bottom w:w="80" w:type="dxa"/>
              <w:end w:w="120" w:type="dxa"/>
            </w:tcMar>
            <w:vAlign w:val="top"/>
          </w:tcPr>
          <w:p>
            <w:pPr>
              <w:spacing w:after="0"/>
            </w:pPr>
            <w:r>
              <w:rPr>
                <w:sz w:val="17"/>
              </w:rPr>
              <w:t>Repository contains no ERC-20 activity-token contract, DEX router, pool creation, liquidity, burn, buyback, price-oracle or traded-token voucher conversion code.</w:t>
            </w:r>
          </w:p>
        </w:tc>
      </w:tr>
      <w:tr>
        <w:trPr>
          <w:cantSplit/>
        </w:trPr>
        <w:tc>
          <w:tcPr>
            <w:tcW w:type="dxa" w:w="900"/>
            <w:tcMar>
              <w:top w:w="80" w:type="dxa"/>
              <w:start w:w="120" w:type="dxa"/>
              <w:bottom w:w="80" w:type="dxa"/>
              <w:end w:w="120" w:type="dxa"/>
            </w:tcMar>
            <w:vAlign w:val="top"/>
          </w:tcPr>
          <w:p>
            <w:pPr>
              <w:spacing w:after="0"/>
            </w:pPr>
            <w:r>
              <w:rPr>
                <w:sz w:val="17"/>
              </w:rPr>
              <w:t>FR-39</w:t>
            </w:r>
          </w:p>
        </w:tc>
        <w:tc>
          <w:tcPr>
            <w:tcW w:type="dxa" w:w="8460"/>
            <w:tcMar>
              <w:top w:w="80" w:type="dxa"/>
              <w:start w:w="120" w:type="dxa"/>
              <w:bottom w:w="80" w:type="dxa"/>
              <w:end w:w="120" w:type="dxa"/>
            </w:tcMar>
            <w:vAlign w:val="top"/>
          </w:tcPr>
          <w:p>
            <w:pPr>
              <w:spacing w:after="0"/>
            </w:pPr>
            <w:r>
              <w:rPr>
                <w:sz w:val="17"/>
              </w:rPr>
              <w:t>Hairdressing, food, childcare, health, transport, waste, telecom and other flagged activities require a configurable sector checklist before activation.</w:t>
            </w:r>
          </w:p>
        </w:tc>
      </w:tr>
      <w:tr>
        <w:trPr>
          <w:cantSplit/>
        </w:trPr>
        <w:tc>
          <w:tcPr>
            <w:tcW w:type="dxa" w:w="900"/>
            <w:tcMar>
              <w:top w:w="80" w:type="dxa"/>
              <w:start w:w="120" w:type="dxa"/>
              <w:bottom w:w="80" w:type="dxa"/>
              <w:end w:w="120" w:type="dxa"/>
            </w:tcMar>
            <w:vAlign w:val="top"/>
          </w:tcPr>
          <w:p>
            <w:pPr>
              <w:spacing w:after="0"/>
            </w:pPr>
            <w:r>
              <w:rPr>
                <w:sz w:val="17"/>
              </w:rPr>
              <w:t>FR-40</w:t>
            </w:r>
          </w:p>
        </w:tc>
        <w:tc>
          <w:tcPr>
            <w:tcW w:type="dxa" w:w="8460"/>
            <w:tcMar>
              <w:top w:w="80" w:type="dxa"/>
              <w:start w:w="120" w:type="dxa"/>
              <w:bottom w:w="80" w:type="dxa"/>
              <w:end w:w="120" w:type="dxa"/>
            </w:tcMar>
            <w:vAlign w:val="top"/>
          </w:tcPr>
          <w:p>
            <w:pPr>
              <w:spacing w:after="0"/>
            </w:pPr>
            <w:r>
              <w:rPr>
                <w:sz w:val="17"/>
              </w:rPr>
              <w:t>Proposers and participants can report safety, non-payment, discrimination or exploitation; urgent reports pause the activity pending human review.</w:t>
            </w:r>
          </w:p>
        </w:tc>
      </w:tr>
      <w:tr>
        <w:trPr>
          <w:cantSplit/>
        </w:trPr>
        <w:tc>
          <w:tcPr>
            <w:tcW w:type="dxa" w:w="900"/>
            <w:tcMar>
              <w:top w:w="80" w:type="dxa"/>
              <w:start w:w="120" w:type="dxa"/>
              <w:bottom w:w="80" w:type="dxa"/>
              <w:end w:w="120" w:type="dxa"/>
            </w:tcMar>
            <w:vAlign w:val="top"/>
          </w:tcPr>
          <w:p>
            <w:pPr>
              <w:spacing w:after="0"/>
            </w:pPr>
            <w:r>
              <w:rPr>
                <w:sz w:val="17"/>
              </w:rPr>
              <w:t>FR-41</w:t>
            </w:r>
          </w:p>
        </w:tc>
        <w:tc>
          <w:tcPr>
            <w:tcW w:type="dxa" w:w="8460"/>
            <w:tcMar>
              <w:top w:w="80" w:type="dxa"/>
              <w:start w:w="120" w:type="dxa"/>
              <w:bottom w:w="80" w:type="dxa"/>
              <w:end w:w="120" w:type="dxa"/>
            </w:tcMar>
            <w:vAlign w:val="top"/>
          </w:tcPr>
          <w:p>
            <w:pPr>
              <w:spacing w:after="0"/>
            </w:pPr>
            <w:r>
              <w:rPr>
                <w:sz w:val="17"/>
              </w:rPr>
              <w:t>Public metrics count ideas, approvals, lawful paid engagements and completed civic outputs only in aggregate; refugee status and earnings are never exposed.</w:t>
            </w:r>
          </w:p>
        </w:tc>
      </w:tr>
    </w:tbl>
    <w:p>
      <w:pPr>
        <w:pStyle w:val="TableSource"/>
      </w:pPr>
    </w:p>
    <w:p>
      <w:pPr>
        <w:pStyle w:val="Heading2"/>
      </w:pPr>
      <w:r>
        <w:t>10.4 Data model</w:t>
      </w:r>
    </w:p>
    <w:tbl>
      <w:tblPr>
        <w:tblStyle w:val="TableGrid"/>
        <w:tblW w:type="dxa" w:w="9360"/>
        <w:jc w:val="center"/>
        <w:tblLayout w:type="fixed"/>
        <w:tblLook w:firstColumn="1" w:firstRow="1" w:lastColumn="0" w:lastRow="0" w:noHBand="0" w:noVBand="1" w:val="04A0"/>
        <w:tblInd w:w="120" w:type="dxa"/>
      </w:tblPr>
      <w:tblGrid>
        <w:gridCol w:w="1650"/>
        <w:gridCol w:w="2900"/>
        <w:gridCol w:w="4810"/>
      </w:tblGrid>
      <w:tr>
        <w:trPr>
          <w:tblHeader w:val="true"/>
          <w:cantSplit/>
        </w:trPr>
        <w:tc>
          <w:tcPr>
            <w:tcW w:type="dxa" w:w="1650"/>
            <w:shd w:fill="E8EEF5"/>
            <w:tcMar>
              <w:top w:w="80" w:type="dxa"/>
              <w:start w:w="120" w:type="dxa"/>
              <w:bottom w:w="80" w:type="dxa"/>
              <w:end w:w="120" w:type="dxa"/>
            </w:tcMar>
            <w:vAlign w:val="top"/>
          </w:tcPr>
          <w:p>
            <w:pPr>
              <w:spacing w:after="0"/>
            </w:pPr>
            <w:r>
              <w:rPr>
                <w:b/>
                <w:color w:val="0B2545"/>
                <w:sz w:val="17"/>
              </w:rPr>
              <w:t>Field</w:t>
            </w:r>
          </w:p>
        </w:tc>
        <w:tc>
          <w:tcPr>
            <w:tcW w:type="dxa" w:w="2900"/>
            <w:shd w:fill="E8EEF5"/>
            <w:tcMar>
              <w:top w:w="80" w:type="dxa"/>
              <w:start w:w="120" w:type="dxa"/>
              <w:bottom w:w="80" w:type="dxa"/>
              <w:end w:w="120" w:type="dxa"/>
            </w:tcMar>
            <w:vAlign w:val="top"/>
          </w:tcPr>
          <w:p>
            <w:pPr>
              <w:spacing w:after="0"/>
            </w:pPr>
            <w:r>
              <w:rPr>
                <w:b/>
                <w:color w:val="0B2545"/>
                <w:sz w:val="17"/>
              </w:rPr>
              <w:t>Type / example</w:t>
            </w:r>
          </w:p>
        </w:tc>
        <w:tc>
          <w:tcPr>
            <w:tcW w:type="dxa" w:w="4810"/>
            <w:shd w:fill="E8EEF5"/>
            <w:tcMar>
              <w:top w:w="80" w:type="dxa"/>
              <w:start w:w="120" w:type="dxa"/>
              <w:bottom w:w="80" w:type="dxa"/>
              <w:end w:w="120" w:type="dxa"/>
            </w:tcMar>
            <w:vAlign w:val="top"/>
          </w:tcPr>
          <w:p>
            <w:pPr>
              <w:spacing w:after="0"/>
            </w:pPr>
            <w:r>
              <w:rPr>
                <w:b/>
                <w:color w:val="0B2545"/>
                <w:sz w:val="17"/>
              </w:rPr>
              <w:t>Rule</w:t>
            </w:r>
          </w:p>
        </w:tc>
      </w:tr>
      <w:tr>
        <w:trPr>
          <w:cantSplit/>
        </w:trPr>
        <w:tc>
          <w:tcPr>
            <w:tcW w:type="dxa" w:w="1650"/>
            <w:tcMar>
              <w:top w:w="80" w:type="dxa"/>
              <w:start w:w="120" w:type="dxa"/>
              <w:bottom w:w="80" w:type="dxa"/>
              <w:end w:w="120" w:type="dxa"/>
            </w:tcMar>
            <w:vAlign w:val="top"/>
          </w:tcPr>
          <w:p>
            <w:pPr>
              <w:spacing w:after="0"/>
            </w:pPr>
            <w:r>
              <w:rPr>
                <w:sz w:val="16"/>
              </w:rPr>
              <w:t>id</w:t>
            </w:r>
          </w:p>
        </w:tc>
        <w:tc>
          <w:tcPr>
            <w:tcW w:type="dxa" w:w="2900"/>
            <w:tcMar>
              <w:top w:w="80" w:type="dxa"/>
              <w:start w:w="120" w:type="dxa"/>
              <w:bottom w:w="80" w:type="dxa"/>
              <w:end w:w="120" w:type="dxa"/>
            </w:tcMar>
            <w:vAlign w:val="top"/>
          </w:tcPr>
          <w:p>
            <w:pPr>
              <w:spacing w:after="0"/>
            </w:pPr>
            <w:r>
              <w:rPr>
                <w:sz w:val="16"/>
              </w:rPr>
              <w:t>stable slug</w:t>
            </w:r>
          </w:p>
        </w:tc>
        <w:tc>
          <w:tcPr>
            <w:tcW w:type="dxa" w:w="4810"/>
            <w:tcMar>
              <w:top w:w="80" w:type="dxa"/>
              <w:start w:w="120" w:type="dxa"/>
              <w:bottom w:w="80" w:type="dxa"/>
              <w:end w:w="120" w:type="dxa"/>
            </w:tcMar>
            <w:vAlign w:val="top"/>
          </w:tcPr>
          <w:p>
            <w:pPr>
              <w:spacing w:after="0"/>
            </w:pPr>
            <w:r>
              <w:rPr>
                <w:sz w:val="16"/>
              </w:rPr>
              <w:t>No person names; immutable</w:t>
            </w:r>
          </w:p>
        </w:tc>
      </w:tr>
      <w:tr>
        <w:trPr>
          <w:cantSplit/>
        </w:trPr>
        <w:tc>
          <w:tcPr>
            <w:tcW w:type="dxa" w:w="1650"/>
            <w:tcMar>
              <w:top w:w="80" w:type="dxa"/>
              <w:start w:w="120" w:type="dxa"/>
              <w:bottom w:w="80" w:type="dxa"/>
              <w:end w:w="120" w:type="dxa"/>
            </w:tcMar>
            <w:vAlign w:val="top"/>
          </w:tcPr>
          <w:p>
            <w:pPr>
              <w:spacing w:after="0"/>
            </w:pPr>
            <w:r>
              <w:rPr>
                <w:sz w:val="16"/>
              </w:rPr>
              <w:t>name</w:t>
            </w:r>
          </w:p>
        </w:tc>
        <w:tc>
          <w:tcPr>
            <w:tcW w:type="dxa" w:w="2900"/>
            <w:tcMar>
              <w:top w:w="80" w:type="dxa"/>
              <w:start w:w="120" w:type="dxa"/>
              <w:bottom w:w="80" w:type="dxa"/>
              <w:end w:w="120" w:type="dxa"/>
            </w:tcMar>
            <w:vAlign w:val="top"/>
          </w:tcPr>
          <w:p>
            <w:pPr>
              <w:spacing w:after="0"/>
            </w:pPr>
            <w:r>
              <w:rPr>
                <w:sz w:val="16"/>
              </w:rPr>
              <w:t>localized string</w:t>
            </w:r>
          </w:p>
        </w:tc>
        <w:tc>
          <w:tcPr>
            <w:tcW w:type="dxa" w:w="4810"/>
            <w:tcMar>
              <w:top w:w="80" w:type="dxa"/>
              <w:start w:w="120" w:type="dxa"/>
              <w:bottom w:w="80" w:type="dxa"/>
              <w:end w:w="120" w:type="dxa"/>
            </w:tcMar>
            <w:vAlign w:val="top"/>
          </w:tcPr>
          <w:p>
            <w:pPr>
              <w:spacing w:after="0"/>
            </w:pPr>
            <w:r>
              <w:rPr>
                <w:sz w:val="16"/>
              </w:rPr>
              <w:t>Provider-approved</w:t>
            </w:r>
          </w:p>
        </w:tc>
      </w:tr>
      <w:tr>
        <w:trPr>
          <w:cantSplit/>
        </w:trPr>
        <w:tc>
          <w:tcPr>
            <w:tcW w:type="dxa" w:w="1650"/>
            <w:tcMar>
              <w:top w:w="80" w:type="dxa"/>
              <w:start w:w="120" w:type="dxa"/>
              <w:bottom w:w="80" w:type="dxa"/>
              <w:end w:w="120" w:type="dxa"/>
            </w:tcMar>
            <w:vAlign w:val="top"/>
          </w:tcPr>
          <w:p>
            <w:pPr>
              <w:spacing w:after="0"/>
            </w:pPr>
            <w:r>
              <w:rPr>
                <w:sz w:val="16"/>
              </w:rPr>
              <w:t>category</w:t>
            </w:r>
          </w:p>
        </w:tc>
        <w:tc>
          <w:tcPr>
            <w:tcW w:type="dxa" w:w="2900"/>
            <w:tcMar>
              <w:top w:w="80" w:type="dxa"/>
              <w:start w:w="120" w:type="dxa"/>
              <w:bottom w:w="80" w:type="dxa"/>
              <w:end w:w="120" w:type="dxa"/>
            </w:tcMar>
            <w:vAlign w:val="top"/>
          </w:tcPr>
          <w:p>
            <w:pPr>
              <w:spacing w:after="0"/>
            </w:pPr>
            <w:r>
              <w:rPr>
                <w:sz w:val="16"/>
              </w:rPr>
              <w:t>controlled enum</w:t>
            </w:r>
          </w:p>
        </w:tc>
        <w:tc>
          <w:tcPr>
            <w:tcW w:type="dxa" w:w="4810"/>
            <w:tcMar>
              <w:top w:w="80" w:type="dxa"/>
              <w:start w:w="120" w:type="dxa"/>
              <w:bottom w:w="80" w:type="dxa"/>
              <w:end w:w="120" w:type="dxa"/>
            </w:tcMar>
            <w:vAlign w:val="top"/>
          </w:tcPr>
          <w:p>
            <w:pPr>
              <w:spacing w:after="0"/>
            </w:pPr>
            <w:r>
              <w:rPr>
                <w:sz w:val="16"/>
              </w:rPr>
              <w:t>One primary; optional secondary</w:t>
            </w:r>
          </w:p>
        </w:tc>
      </w:tr>
      <w:tr>
        <w:trPr>
          <w:cantSplit/>
        </w:trPr>
        <w:tc>
          <w:tcPr>
            <w:tcW w:type="dxa" w:w="1650"/>
            <w:tcMar>
              <w:top w:w="80" w:type="dxa"/>
              <w:start w:w="120" w:type="dxa"/>
              <w:bottom w:w="80" w:type="dxa"/>
              <w:end w:w="120" w:type="dxa"/>
            </w:tcMar>
            <w:vAlign w:val="top"/>
          </w:tcPr>
          <w:p>
            <w:pPr>
              <w:spacing w:after="0"/>
            </w:pPr>
            <w:r>
              <w:rPr>
                <w:sz w:val="16"/>
              </w:rPr>
              <w:t>audience</w:t>
            </w:r>
          </w:p>
        </w:tc>
        <w:tc>
          <w:tcPr>
            <w:tcW w:type="dxa" w:w="2900"/>
            <w:tcMar>
              <w:top w:w="80" w:type="dxa"/>
              <w:start w:w="120" w:type="dxa"/>
              <w:bottom w:w="80" w:type="dxa"/>
              <w:end w:w="120" w:type="dxa"/>
            </w:tcMar>
            <w:vAlign w:val="top"/>
          </w:tcPr>
          <w:p>
            <w:pPr>
              <w:spacing w:after="0"/>
            </w:pPr>
            <w:r>
              <w:rPr>
                <w:sz w:val="16"/>
              </w:rPr>
              <w:t>all / men / women_children / minors / detained</w:t>
            </w:r>
          </w:p>
        </w:tc>
        <w:tc>
          <w:tcPr>
            <w:tcW w:type="dxa" w:w="4810"/>
            <w:tcMar>
              <w:top w:w="80" w:type="dxa"/>
              <w:start w:w="120" w:type="dxa"/>
              <w:bottom w:w="80" w:type="dxa"/>
              <w:end w:w="120" w:type="dxa"/>
            </w:tcMar>
            <w:vAlign w:val="top"/>
          </w:tcPr>
          <w:p>
            <w:pPr>
              <w:spacing w:after="0"/>
            </w:pPr>
            <w:r>
              <w:rPr>
                <w:sz w:val="16"/>
              </w:rPr>
              <w:t>Must be explicit when restricted</w:t>
            </w:r>
          </w:p>
        </w:tc>
      </w:tr>
      <w:tr>
        <w:trPr>
          <w:cantSplit/>
        </w:trPr>
        <w:tc>
          <w:tcPr>
            <w:tcW w:type="dxa" w:w="1650"/>
            <w:tcMar>
              <w:top w:w="80" w:type="dxa"/>
              <w:start w:w="120" w:type="dxa"/>
              <w:bottom w:w="80" w:type="dxa"/>
              <w:end w:w="120" w:type="dxa"/>
            </w:tcMar>
            <w:vAlign w:val="top"/>
          </w:tcPr>
          <w:p>
            <w:pPr>
              <w:spacing w:after="0"/>
            </w:pPr>
            <w:r>
              <w:rPr>
                <w:sz w:val="16"/>
              </w:rPr>
              <w:t>location</w:t>
            </w:r>
          </w:p>
        </w:tc>
        <w:tc>
          <w:tcPr>
            <w:tcW w:type="dxa" w:w="2900"/>
            <w:tcMar>
              <w:top w:w="80" w:type="dxa"/>
              <w:start w:w="120" w:type="dxa"/>
              <w:bottom w:w="80" w:type="dxa"/>
              <w:end w:w="120" w:type="dxa"/>
            </w:tcMar>
            <w:vAlign w:val="top"/>
          </w:tcPr>
          <w:p>
            <w:pPr>
              <w:spacing w:after="0"/>
            </w:pPr>
            <w:r>
              <w:rPr>
                <w:sz w:val="16"/>
              </w:rPr>
              <w:t>address or public coordinates</w:t>
            </w:r>
          </w:p>
        </w:tc>
        <w:tc>
          <w:tcPr>
            <w:tcW w:type="dxa" w:w="4810"/>
            <w:tcMar>
              <w:top w:w="80" w:type="dxa"/>
              <w:start w:w="120" w:type="dxa"/>
              <w:bottom w:w="80" w:type="dxa"/>
              <w:end w:w="120" w:type="dxa"/>
            </w:tcMar>
            <w:vAlign w:val="top"/>
          </w:tcPr>
          <w:p>
            <w:pPr>
              <w:spacing w:after="0"/>
            </w:pPr>
            <w:r>
              <w:rPr>
                <w:sz w:val="16"/>
              </w:rPr>
              <w:t>No sensitive camps or user coordinates</w:t>
            </w:r>
          </w:p>
        </w:tc>
      </w:tr>
      <w:tr>
        <w:trPr>
          <w:cantSplit/>
        </w:trPr>
        <w:tc>
          <w:tcPr>
            <w:tcW w:type="dxa" w:w="1650"/>
            <w:tcMar>
              <w:top w:w="80" w:type="dxa"/>
              <w:start w:w="120" w:type="dxa"/>
              <w:bottom w:w="80" w:type="dxa"/>
              <w:end w:w="120" w:type="dxa"/>
            </w:tcMar>
            <w:vAlign w:val="top"/>
          </w:tcPr>
          <w:p>
            <w:pPr>
              <w:spacing w:after="0"/>
            </w:pPr>
            <w:r>
              <w:rPr>
                <w:sz w:val="16"/>
              </w:rPr>
              <w:t>schedule</w:t>
            </w:r>
          </w:p>
        </w:tc>
        <w:tc>
          <w:tcPr>
            <w:tcW w:type="dxa" w:w="2900"/>
            <w:tcMar>
              <w:top w:w="80" w:type="dxa"/>
              <w:start w:w="120" w:type="dxa"/>
              <w:bottom w:w="80" w:type="dxa"/>
              <w:end w:w="120" w:type="dxa"/>
            </w:tcMar>
            <w:vAlign w:val="top"/>
          </w:tcPr>
          <w:p>
            <w:pPr>
              <w:spacing w:after="0"/>
            </w:pPr>
            <w:r>
              <w:rPr>
                <w:sz w:val="16"/>
              </w:rPr>
              <w:t>structured + note</w:t>
            </w:r>
          </w:p>
        </w:tc>
        <w:tc>
          <w:tcPr>
            <w:tcW w:type="dxa" w:w="4810"/>
            <w:tcMar>
              <w:top w:w="80" w:type="dxa"/>
              <w:start w:w="120" w:type="dxa"/>
              <w:bottom w:w="80" w:type="dxa"/>
              <w:end w:w="120" w:type="dxa"/>
            </w:tcMar>
            <w:vAlign w:val="top"/>
          </w:tcPr>
          <w:p>
            <w:pPr>
              <w:spacing w:after="0"/>
            </w:pPr>
            <w:r>
              <w:rPr>
                <w:sz w:val="16"/>
              </w:rPr>
              <w:t>Timezone Europe/Paris; exceptions allowed</w:t>
            </w:r>
          </w:p>
        </w:tc>
      </w:tr>
      <w:tr>
        <w:trPr>
          <w:cantSplit/>
        </w:trPr>
        <w:tc>
          <w:tcPr>
            <w:tcW w:type="dxa" w:w="1650"/>
            <w:tcMar>
              <w:top w:w="80" w:type="dxa"/>
              <w:start w:w="120" w:type="dxa"/>
              <w:bottom w:w="80" w:type="dxa"/>
              <w:end w:w="120" w:type="dxa"/>
            </w:tcMar>
            <w:vAlign w:val="top"/>
          </w:tcPr>
          <w:p>
            <w:pPr>
              <w:spacing w:after="0"/>
            </w:pPr>
            <w:r>
              <w:rPr>
                <w:sz w:val="16"/>
              </w:rPr>
              <w:t>contact</w:t>
            </w:r>
          </w:p>
        </w:tc>
        <w:tc>
          <w:tcPr>
            <w:tcW w:type="dxa" w:w="2900"/>
            <w:tcMar>
              <w:top w:w="80" w:type="dxa"/>
              <w:start w:w="120" w:type="dxa"/>
              <w:bottom w:w="80" w:type="dxa"/>
              <w:end w:w="120" w:type="dxa"/>
            </w:tcMar>
            <w:vAlign w:val="top"/>
          </w:tcPr>
          <w:p>
            <w:pPr>
              <w:spacing w:after="0"/>
            </w:pPr>
            <w:r>
              <w:rPr>
                <w:sz w:val="16"/>
              </w:rPr>
              <w:t>phone/email/URL</w:t>
            </w:r>
          </w:p>
        </w:tc>
        <w:tc>
          <w:tcPr>
            <w:tcW w:type="dxa" w:w="4810"/>
            <w:tcMar>
              <w:top w:w="80" w:type="dxa"/>
              <w:start w:w="120" w:type="dxa"/>
              <w:bottom w:w="80" w:type="dxa"/>
              <w:end w:w="120" w:type="dxa"/>
            </w:tcMar>
            <w:vAlign w:val="top"/>
          </w:tcPr>
          <w:p>
            <w:pPr>
              <w:spacing w:after="0"/>
            </w:pPr>
            <w:r>
              <w:rPr>
                <w:sz w:val="16"/>
              </w:rPr>
              <w:t>Provider/public source only</w:t>
            </w:r>
          </w:p>
        </w:tc>
      </w:tr>
      <w:tr>
        <w:trPr>
          <w:cantSplit/>
        </w:trPr>
        <w:tc>
          <w:tcPr>
            <w:tcW w:type="dxa" w:w="1650"/>
            <w:tcMar>
              <w:top w:w="80" w:type="dxa"/>
              <w:start w:w="120" w:type="dxa"/>
              <w:bottom w:w="80" w:type="dxa"/>
              <w:end w:w="120" w:type="dxa"/>
            </w:tcMar>
            <w:vAlign w:val="top"/>
          </w:tcPr>
          <w:p>
            <w:pPr>
              <w:spacing w:after="0"/>
            </w:pPr>
            <w:r>
              <w:rPr>
                <w:sz w:val="16"/>
              </w:rPr>
              <w:t>source</w:t>
            </w:r>
          </w:p>
        </w:tc>
        <w:tc>
          <w:tcPr>
            <w:tcW w:type="dxa" w:w="2900"/>
            <w:tcMar>
              <w:top w:w="80" w:type="dxa"/>
              <w:start w:w="120" w:type="dxa"/>
              <w:bottom w:w="80" w:type="dxa"/>
              <w:end w:w="120" w:type="dxa"/>
            </w:tcMar>
            <w:vAlign w:val="top"/>
          </w:tcPr>
          <w:p>
            <w:pPr>
              <w:spacing w:after="0"/>
            </w:pPr>
            <w:r>
              <w:rPr>
                <w:sz w:val="16"/>
              </w:rPr>
              <w:t>title, URL/file, page</w:t>
            </w:r>
          </w:p>
        </w:tc>
        <w:tc>
          <w:tcPr>
            <w:tcW w:type="dxa" w:w="4810"/>
            <w:tcMar>
              <w:top w:w="80" w:type="dxa"/>
              <w:start w:w="120" w:type="dxa"/>
              <w:bottom w:w="80" w:type="dxa"/>
              <w:end w:w="120" w:type="dxa"/>
            </w:tcMar>
            <w:vAlign w:val="top"/>
          </w:tcPr>
          <w:p>
            <w:pPr>
              <w:spacing w:after="0"/>
            </w:pPr>
            <w:r>
              <w:rPr>
                <w:sz w:val="16"/>
              </w:rPr>
              <w:t>Mandatory</w:t>
            </w:r>
          </w:p>
        </w:tc>
      </w:tr>
      <w:tr>
        <w:trPr>
          <w:cantSplit/>
        </w:trPr>
        <w:tc>
          <w:tcPr>
            <w:tcW w:type="dxa" w:w="1650"/>
            <w:tcMar>
              <w:top w:w="80" w:type="dxa"/>
              <w:start w:w="120" w:type="dxa"/>
              <w:bottom w:w="80" w:type="dxa"/>
              <w:end w:w="120" w:type="dxa"/>
            </w:tcMar>
            <w:vAlign w:val="top"/>
          </w:tcPr>
          <w:p>
            <w:pPr>
              <w:spacing w:after="0"/>
            </w:pPr>
            <w:r>
              <w:rPr>
                <w:sz w:val="16"/>
              </w:rPr>
              <w:t>verification</w:t>
            </w:r>
          </w:p>
        </w:tc>
        <w:tc>
          <w:tcPr>
            <w:tcW w:type="dxa" w:w="2900"/>
            <w:tcMar>
              <w:top w:w="80" w:type="dxa"/>
              <w:start w:w="120" w:type="dxa"/>
              <w:bottom w:w="80" w:type="dxa"/>
              <w:end w:w="120" w:type="dxa"/>
            </w:tcMar>
            <w:vAlign w:val="top"/>
          </w:tcPr>
          <w:p>
            <w:pPr>
              <w:spacing w:after="0"/>
            </w:pPr>
            <w:r>
              <w:rPr>
                <w:sz w:val="16"/>
              </w:rPr>
              <w:t>owner, checked_at, expires_at, status</w:t>
            </w:r>
          </w:p>
        </w:tc>
        <w:tc>
          <w:tcPr>
            <w:tcW w:type="dxa" w:w="4810"/>
            <w:tcMar>
              <w:top w:w="80" w:type="dxa"/>
              <w:start w:w="120" w:type="dxa"/>
              <w:bottom w:w="80" w:type="dxa"/>
              <w:end w:w="120" w:type="dxa"/>
            </w:tcMar>
            <w:vAlign w:val="top"/>
          </w:tcPr>
          <w:p>
            <w:pPr>
              <w:spacing w:after="0"/>
            </w:pPr>
            <w:r>
              <w:rPr>
                <w:sz w:val="16"/>
              </w:rPr>
              <w:t>Mandatory; default expiry 14 days for schedules</w:t>
            </w:r>
          </w:p>
        </w:tc>
      </w:tr>
      <w:tr>
        <w:trPr>
          <w:cantSplit/>
        </w:trPr>
        <w:tc>
          <w:tcPr>
            <w:tcW w:type="dxa" w:w="1650"/>
            <w:tcMar>
              <w:top w:w="80" w:type="dxa"/>
              <w:start w:w="120" w:type="dxa"/>
              <w:bottom w:w="80" w:type="dxa"/>
              <w:end w:w="120" w:type="dxa"/>
            </w:tcMar>
            <w:vAlign w:val="top"/>
          </w:tcPr>
          <w:p>
            <w:pPr>
              <w:spacing w:after="0"/>
            </w:pPr>
            <w:r>
              <w:rPr>
                <w:sz w:val="16"/>
              </w:rPr>
              <w:t>safety_note</w:t>
            </w:r>
          </w:p>
        </w:tc>
        <w:tc>
          <w:tcPr>
            <w:tcW w:type="dxa" w:w="2900"/>
            <w:tcMar>
              <w:top w:w="80" w:type="dxa"/>
              <w:start w:w="120" w:type="dxa"/>
              <w:bottom w:w="80" w:type="dxa"/>
              <w:end w:w="120" w:type="dxa"/>
            </w:tcMar>
            <w:vAlign w:val="top"/>
          </w:tcPr>
          <w:p>
            <w:pPr>
              <w:spacing w:after="0"/>
            </w:pPr>
            <w:r>
              <w:rPr>
                <w:sz w:val="16"/>
              </w:rPr>
              <w:t>localized string</w:t>
            </w:r>
          </w:p>
        </w:tc>
        <w:tc>
          <w:tcPr>
            <w:tcW w:type="dxa" w:w="4810"/>
            <w:tcMar>
              <w:top w:w="80" w:type="dxa"/>
              <w:start w:w="120" w:type="dxa"/>
              <w:bottom w:w="80" w:type="dxa"/>
              <w:end w:w="120" w:type="dxa"/>
            </w:tcMar>
            <w:vAlign w:val="top"/>
          </w:tcPr>
          <w:p>
            <w:pPr>
              <w:spacing w:after="0"/>
            </w:pPr>
            <w:r>
              <w:rPr>
                <w:sz w:val="16"/>
              </w:rPr>
              <w:t>Emergency/eligibility caveats</w:t>
            </w:r>
          </w:p>
        </w:tc>
      </w:tr>
    </w:tbl>
    <w:p>
      <w:pPr>
        <w:pStyle w:val="TableSource"/>
      </w:pPr>
    </w:p>
    <w:p>
      <w:pPr>
        <w:pStyle w:val="Heading2"/>
      </w:pPr>
      <w:r>
        <w:t>10.5 Non-functional requirements</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cantSplit/>
        </w:trPr>
        <w:tc>
          <w:tcPr>
            <w:tcW w:type="dxa" w:w="2000"/>
            <w:shd w:fill="E8EEF5"/>
            <w:tcMar>
              <w:top w:w="80" w:type="dxa"/>
              <w:start w:w="120" w:type="dxa"/>
              <w:bottom w:w="80" w:type="dxa"/>
              <w:end w:w="120" w:type="dxa"/>
            </w:tcMar>
            <w:vAlign w:val="top"/>
          </w:tcPr>
          <w:p>
            <w:pPr>
              <w:spacing w:after="0"/>
            </w:pPr>
            <w:r>
              <w:rPr>
                <w:b/>
                <w:color w:val="0B2545"/>
                <w:sz w:val="18"/>
              </w:rPr>
              <w:t>Area</w:t>
            </w:r>
          </w:p>
        </w:tc>
        <w:tc>
          <w:tcPr>
            <w:tcW w:type="dxa" w:w="7360"/>
            <w:shd w:fill="E8EEF5"/>
            <w:tcMar>
              <w:top w:w="80" w:type="dxa"/>
              <w:start w:w="120" w:type="dxa"/>
              <w:bottom w:w="80" w:type="dxa"/>
              <w:end w:w="120" w:type="dxa"/>
            </w:tcMar>
            <w:vAlign w:val="top"/>
          </w:tcPr>
          <w:p>
            <w:pPr>
              <w:spacing w:after="0"/>
            </w:pPr>
            <w:r>
              <w:rPr>
                <w:b/>
                <w:color w:val="0B2545"/>
                <w:sz w:val="18"/>
              </w:rPr>
              <w:t>Acceptance threshold</w:t>
            </w:r>
          </w:p>
        </w:tc>
      </w:tr>
      <w:tr>
        <w:trPr>
          <w:cantSplit/>
        </w:trPr>
        <w:tc>
          <w:tcPr>
            <w:tcW w:type="dxa" w:w="2000"/>
            <w:tcMar>
              <w:top w:w="80" w:type="dxa"/>
              <w:start w:w="120" w:type="dxa"/>
              <w:bottom w:w="80" w:type="dxa"/>
              <w:end w:w="120" w:type="dxa"/>
            </w:tcMar>
            <w:vAlign w:val="top"/>
          </w:tcPr>
          <w:p>
            <w:pPr>
              <w:spacing w:after="0"/>
            </w:pPr>
            <w:r>
              <w:rPr>
                <w:sz w:val="17"/>
              </w:rPr>
              <w:t>Performance</w:t>
            </w:r>
          </w:p>
        </w:tc>
        <w:tc>
          <w:tcPr>
            <w:tcW w:type="dxa" w:w="7360"/>
            <w:tcMar>
              <w:top w:w="80" w:type="dxa"/>
              <w:start w:w="120" w:type="dxa"/>
              <w:bottom w:w="80" w:type="dxa"/>
              <w:end w:w="120" w:type="dxa"/>
            </w:tcMar>
            <w:vAlign w:val="top"/>
          </w:tcPr>
          <w:p>
            <w:pPr>
              <w:spacing w:after="0"/>
            </w:pPr>
            <w:r>
              <w:rPr>
                <w:sz w:val="17"/>
              </w:rPr>
              <w:t>Initial compressed transfer under 250 KB excluding optional map; usable on slow 3G; no blocking external scripts</w:t>
            </w:r>
          </w:p>
        </w:tc>
      </w:tr>
      <w:tr>
        <w:trPr>
          <w:cantSplit/>
        </w:trPr>
        <w:tc>
          <w:tcPr>
            <w:tcW w:type="dxa" w:w="2000"/>
            <w:tcMar>
              <w:top w:w="80" w:type="dxa"/>
              <w:start w:w="120" w:type="dxa"/>
              <w:bottom w:w="80" w:type="dxa"/>
              <w:end w:w="120" w:type="dxa"/>
            </w:tcMar>
            <w:vAlign w:val="top"/>
          </w:tcPr>
          <w:p>
            <w:pPr>
              <w:spacing w:after="0"/>
            </w:pPr>
            <w:r>
              <w:rPr>
                <w:sz w:val="17"/>
              </w:rPr>
              <w:t>Accessibility</w:t>
            </w:r>
          </w:p>
        </w:tc>
        <w:tc>
          <w:tcPr>
            <w:tcW w:type="dxa" w:w="7360"/>
            <w:tcMar>
              <w:top w:w="80" w:type="dxa"/>
              <w:start w:w="120" w:type="dxa"/>
              <w:bottom w:w="80" w:type="dxa"/>
              <w:end w:w="120" w:type="dxa"/>
            </w:tcMar>
            <w:vAlign w:val="top"/>
          </w:tcPr>
          <w:p>
            <w:pPr>
              <w:spacing w:after="0"/>
            </w:pPr>
            <w:r>
              <w:rPr>
                <w:sz w:val="17"/>
              </w:rPr>
              <w:t>WCAG 2.2 AA target; keyboard navigation, visible focus, 44px controls, semantic headings, no colour-only states</w:t>
            </w:r>
          </w:p>
        </w:tc>
      </w:tr>
      <w:tr>
        <w:trPr>
          <w:cantSplit/>
        </w:trPr>
        <w:tc>
          <w:tcPr>
            <w:tcW w:type="dxa" w:w="2000"/>
            <w:tcMar>
              <w:top w:w="80" w:type="dxa"/>
              <w:start w:w="120" w:type="dxa"/>
              <w:bottom w:w="80" w:type="dxa"/>
              <w:end w:w="120" w:type="dxa"/>
            </w:tcMar>
            <w:vAlign w:val="top"/>
          </w:tcPr>
          <w:p>
            <w:pPr>
              <w:spacing w:after="0"/>
            </w:pPr>
            <w:r>
              <w:rPr>
                <w:sz w:val="17"/>
              </w:rPr>
              <w:t>Privacy</w:t>
            </w:r>
          </w:p>
        </w:tc>
        <w:tc>
          <w:tcPr>
            <w:tcW w:type="dxa" w:w="7360"/>
            <w:tcMar>
              <w:top w:w="80" w:type="dxa"/>
              <w:start w:w="120" w:type="dxa"/>
              <w:bottom w:w="80" w:type="dxa"/>
              <w:end w:w="120" w:type="dxa"/>
            </w:tcMar>
            <w:vAlign w:val="top"/>
          </w:tcPr>
          <w:p>
            <w:pPr>
              <w:spacing w:after="0"/>
            </w:pPr>
            <w:r>
              <w:rPr>
                <w:sz w:val="17"/>
              </w:rPr>
              <w:t>No ad-tech; IP logs minimized/short-lived at host; no cross-site analytics; form retention ≤30 days after resolution</w:t>
            </w:r>
          </w:p>
        </w:tc>
      </w:tr>
      <w:tr>
        <w:trPr>
          <w:cantSplit/>
        </w:trPr>
        <w:tc>
          <w:tcPr>
            <w:tcW w:type="dxa" w:w="2000"/>
            <w:tcMar>
              <w:top w:w="80" w:type="dxa"/>
              <w:start w:w="120" w:type="dxa"/>
              <w:bottom w:w="80" w:type="dxa"/>
              <w:end w:w="120" w:type="dxa"/>
            </w:tcMar>
            <w:vAlign w:val="top"/>
          </w:tcPr>
          <w:p>
            <w:pPr>
              <w:spacing w:after="0"/>
            </w:pPr>
            <w:r>
              <w:rPr>
                <w:sz w:val="17"/>
              </w:rPr>
              <w:t>Security</w:t>
            </w:r>
          </w:p>
        </w:tc>
        <w:tc>
          <w:tcPr>
            <w:tcW w:type="dxa" w:w="7360"/>
            <w:tcMar>
              <w:top w:w="80" w:type="dxa"/>
              <w:start w:w="120" w:type="dxa"/>
              <w:bottom w:w="80" w:type="dxa"/>
              <w:end w:w="120" w:type="dxa"/>
            </w:tcMar>
            <w:vAlign w:val="top"/>
          </w:tcPr>
          <w:p>
            <w:pPr>
              <w:spacing w:after="0"/>
            </w:pPr>
            <w:r>
              <w:rPr>
                <w:sz w:val="17"/>
              </w:rPr>
              <w:t>Static by default; CSP, HTTPS, dependency pinning, secret scan, form rate limit, sanitization and admin MFA if admin exists</w:t>
            </w:r>
          </w:p>
        </w:tc>
      </w:tr>
      <w:tr>
        <w:trPr>
          <w:cantSplit/>
        </w:trPr>
        <w:tc>
          <w:tcPr>
            <w:tcW w:type="dxa" w:w="2000"/>
            <w:tcMar>
              <w:top w:w="80" w:type="dxa"/>
              <w:start w:w="120" w:type="dxa"/>
              <w:bottom w:w="80" w:type="dxa"/>
              <w:end w:w="120" w:type="dxa"/>
            </w:tcMar>
            <w:vAlign w:val="top"/>
          </w:tcPr>
          <w:p>
            <w:pPr>
              <w:spacing w:after="0"/>
            </w:pPr>
            <w:r>
              <w:rPr>
                <w:sz w:val="17"/>
              </w:rPr>
              <w:t>Contract assurance</w:t>
            </w:r>
          </w:p>
        </w:tc>
        <w:tc>
          <w:tcPr>
            <w:tcW w:type="dxa" w:w="7360"/>
            <w:tcMar>
              <w:top w:w="80" w:type="dxa"/>
              <w:start w:w="120" w:type="dxa"/>
              <w:bottom w:w="80" w:type="dxa"/>
              <w:end w:w="120" w:type="dxa"/>
            </w:tcMar>
            <w:vAlign w:val="top"/>
          </w:tcPr>
          <w:p>
            <w:pPr>
              <w:spacing w:after="0"/>
            </w:pPr>
            <w:r>
              <w:rPr>
                <w:sz w:val="17"/>
              </w:rPr>
              <w:t>100% branch coverage target; unit, fuzz and invariant suites; Slither/static analysis; reproducible bytecode; independent reviewer</w:t>
            </w:r>
          </w:p>
        </w:tc>
      </w:tr>
      <w:tr>
        <w:trPr>
          <w:cantSplit/>
        </w:trPr>
        <w:tc>
          <w:tcPr>
            <w:tcW w:type="dxa" w:w="2000"/>
            <w:tcMar>
              <w:top w:w="80" w:type="dxa"/>
              <w:start w:w="120" w:type="dxa"/>
              <w:bottom w:w="80" w:type="dxa"/>
              <w:end w:w="120" w:type="dxa"/>
            </w:tcMar>
            <w:vAlign w:val="top"/>
          </w:tcPr>
          <w:p>
            <w:pPr>
              <w:spacing w:after="0"/>
            </w:pPr>
            <w:r>
              <w:rPr>
                <w:sz w:val="17"/>
              </w:rPr>
              <w:t>Fiat payments</w:t>
            </w:r>
          </w:p>
        </w:tc>
        <w:tc>
          <w:tcPr>
            <w:tcW w:type="dxa" w:w="7360"/>
            <w:tcMar>
              <w:top w:w="80" w:type="dxa"/>
              <w:start w:w="120" w:type="dxa"/>
              <w:bottom w:w="80" w:type="dxa"/>
              <w:end w:w="120" w:type="dxa"/>
            </w:tcMar>
            <w:vAlign w:val="top"/>
          </w:tcPr>
          <w:p>
            <w:pPr>
              <w:spacing w:after="0"/>
            </w:pPr>
            <w:r>
              <w:rPr>
                <w:sz w:val="17"/>
              </w:rPr>
              <w:t>Hosted PCI-scoped checkout; SCA-capable provider; signed/idempotent webhooks; least-privilege keys; documented refunds and reconciliation</w:t>
            </w:r>
          </w:p>
        </w:tc>
      </w:tr>
      <w:tr>
        <w:trPr>
          <w:cantSplit/>
        </w:trPr>
        <w:tc>
          <w:tcPr>
            <w:tcW w:type="dxa" w:w="2000"/>
            <w:tcMar>
              <w:top w:w="80" w:type="dxa"/>
              <w:start w:w="120" w:type="dxa"/>
              <w:bottom w:w="80" w:type="dxa"/>
              <w:end w:w="120" w:type="dxa"/>
            </w:tcMar>
            <w:vAlign w:val="top"/>
          </w:tcPr>
          <w:p>
            <w:pPr>
              <w:spacing w:after="0"/>
            </w:pPr>
            <w:r>
              <w:rPr>
                <w:sz w:val="17"/>
              </w:rPr>
              <w:t>Activity safety</w:t>
            </w:r>
          </w:p>
        </w:tc>
        <w:tc>
          <w:tcPr>
            <w:tcW w:type="dxa" w:w="7360"/>
            <w:tcMar>
              <w:top w:w="80" w:type="dxa"/>
              <w:start w:w="120" w:type="dxa"/>
              <w:bottom w:w="80" w:type="dxa"/>
              <w:end w:w="120" w:type="dxa"/>
            </w:tcMar>
            <w:vAlign w:val="top"/>
          </w:tcPr>
          <w:p>
            <w:pPr>
              <w:spacing w:after="0"/>
            </w:pPr>
            <w:r>
              <w:rPr>
                <w:sz w:val="17"/>
              </w:rPr>
              <w:t>Every activity is deny-by-default; expiring operator attestations, sector checklists, complaints/pause, audit log and no eligibility documents in the app</w:t>
            </w:r>
          </w:p>
        </w:tc>
      </w:tr>
      <w:tr>
        <w:trPr>
          <w:cantSplit/>
        </w:trPr>
        <w:tc>
          <w:tcPr>
            <w:tcW w:type="dxa" w:w="2000"/>
            <w:tcMar>
              <w:top w:w="80" w:type="dxa"/>
              <w:start w:w="120" w:type="dxa"/>
              <w:bottom w:w="80" w:type="dxa"/>
              <w:end w:w="120" w:type="dxa"/>
            </w:tcMar>
            <w:vAlign w:val="top"/>
          </w:tcPr>
          <w:p>
            <w:pPr>
              <w:spacing w:after="0"/>
            </w:pPr>
            <w:r>
              <w:rPr>
                <w:sz w:val="17"/>
              </w:rPr>
              <w:t>Token exclusion</w:t>
            </w:r>
          </w:p>
        </w:tc>
        <w:tc>
          <w:tcPr>
            <w:tcW w:type="dxa" w:w="7360"/>
            <w:tcMar>
              <w:top w:w="80" w:type="dxa"/>
              <w:start w:w="120" w:type="dxa"/>
              <w:bottom w:w="80" w:type="dxa"/>
              <w:end w:w="120" w:type="dxa"/>
            </w:tcMar>
            <w:vAlign w:val="top"/>
          </w:tcPr>
          <w:p>
            <w:pPr>
              <w:spacing w:after="0"/>
            </w:pPr>
            <w:r>
              <w:rPr>
                <w:sz w:val="17"/>
              </w:rPr>
              <w:t>CI fails on ERC-20 activity-token, DEX/pool, liquidity, burn, buyback, price-oracle or traded-token redemption dependencies and interfaces</w:t>
            </w:r>
          </w:p>
        </w:tc>
      </w:tr>
      <w:tr>
        <w:trPr>
          <w:cantSplit/>
        </w:trPr>
        <w:tc>
          <w:tcPr>
            <w:tcW w:type="dxa" w:w="2000"/>
            <w:tcMar>
              <w:top w:w="80" w:type="dxa"/>
              <w:start w:w="120" w:type="dxa"/>
              <w:bottom w:w="80" w:type="dxa"/>
              <w:end w:w="120" w:type="dxa"/>
            </w:tcMar>
            <w:vAlign w:val="top"/>
          </w:tcPr>
          <w:p>
            <w:pPr>
              <w:spacing w:after="0"/>
            </w:pPr>
            <w:r>
              <w:rPr>
                <w:sz w:val="17"/>
              </w:rPr>
              <w:t>Decentralisation</w:t>
            </w:r>
          </w:p>
        </w:tc>
        <w:tc>
          <w:tcPr>
            <w:tcW w:type="dxa" w:w="7360"/>
            <w:tcMar>
              <w:top w:w="80" w:type="dxa"/>
              <w:start w:w="120" w:type="dxa"/>
              <w:bottom w:w="80" w:type="dxa"/>
              <w:end w:w="120" w:type="dxa"/>
            </w:tcMar>
            <w:vAlign w:val="top"/>
          </w:tcPr>
          <w:p>
            <w:pPr>
              <w:spacing w:after="0"/>
            </w:pPr>
            <w:r>
              <w:rPr>
                <w:sz w:val="17"/>
              </w:rPr>
              <w:t>At least two independent web mirrors, two IPFS gateways and complete public export; loss of official host does not destroy data</w:t>
            </w:r>
          </w:p>
        </w:tc>
      </w:tr>
      <w:tr>
        <w:trPr>
          <w:cantSplit/>
        </w:trPr>
        <w:tc>
          <w:tcPr>
            <w:tcW w:type="dxa" w:w="2000"/>
            <w:tcMar>
              <w:top w:w="80" w:type="dxa"/>
              <w:start w:w="120" w:type="dxa"/>
              <w:bottom w:w="80" w:type="dxa"/>
              <w:end w:w="120" w:type="dxa"/>
            </w:tcMar>
            <w:vAlign w:val="top"/>
          </w:tcPr>
          <w:p>
            <w:pPr>
              <w:spacing w:after="0"/>
            </w:pPr>
            <w:r>
              <w:rPr>
                <w:sz w:val="17"/>
              </w:rPr>
              <w:t>Reliability</w:t>
            </w:r>
          </w:p>
        </w:tc>
        <w:tc>
          <w:tcPr>
            <w:tcW w:type="dxa" w:w="7360"/>
            <w:tcMar>
              <w:top w:w="80" w:type="dxa"/>
              <w:start w:w="120" w:type="dxa"/>
              <w:bottom w:w="80" w:type="dxa"/>
              <w:end w:w="120" w:type="dxa"/>
            </w:tcMar>
            <w:vAlign w:val="top"/>
          </w:tcPr>
          <w:p>
            <w:pPr>
              <w:spacing w:after="0"/>
            </w:pPr>
            <w:r>
              <w:rPr>
                <w:sz w:val="17"/>
              </w:rPr>
              <w:t>Automated link/schema checks; daily backup/export; stale banner when build data exceeds threshold</w:t>
            </w:r>
          </w:p>
        </w:tc>
      </w:tr>
      <w:tr>
        <w:trPr>
          <w:cantSplit/>
        </w:trPr>
        <w:tc>
          <w:tcPr>
            <w:tcW w:type="dxa" w:w="2000"/>
            <w:tcMar>
              <w:top w:w="80" w:type="dxa"/>
              <w:start w:w="120" w:type="dxa"/>
              <w:bottom w:w="80" w:type="dxa"/>
              <w:end w:w="120" w:type="dxa"/>
            </w:tcMar>
            <w:vAlign w:val="top"/>
          </w:tcPr>
          <w:p>
            <w:pPr>
              <w:spacing w:after="0"/>
            </w:pPr>
            <w:r>
              <w:rPr>
                <w:sz w:val="17"/>
              </w:rPr>
              <w:t>Maintainability</w:t>
            </w:r>
          </w:p>
        </w:tc>
        <w:tc>
          <w:tcPr>
            <w:tcW w:type="dxa" w:w="7360"/>
            <w:tcMar>
              <w:top w:w="80" w:type="dxa"/>
              <w:start w:w="120" w:type="dxa"/>
              <w:bottom w:w="80" w:type="dxa"/>
              <w:end w:w="120" w:type="dxa"/>
            </w:tcMar>
            <w:vAlign w:val="top"/>
          </w:tcPr>
          <w:p>
            <w:pPr>
              <w:spacing w:after="0"/>
            </w:pPr>
            <w:r>
              <w:rPr>
                <w:sz w:val="17"/>
              </w:rPr>
              <w:t>README, data dictionary, verification runbook and one-command build/test/deploy</w:t>
            </w:r>
          </w:p>
        </w:tc>
      </w:tr>
    </w:tbl>
    <w:p>
      <w:pPr>
        <w:pStyle w:val="TableSource"/>
      </w:pPr>
    </w:p>
    <w:p>
      <w:pPr>
        <w:pStyle w:val="Heading2"/>
      </w:pPr>
      <w:r>
        <w:t>10.6 Suggested implementation</w:t>
      </w:r>
    </w:p>
    <w:p>
      <w:r>
        <w:t>Use the smallest auditable stack: Solidity plus Foundry for the router; viem for optional sponsor-wallet interaction; static HTML/CSS/TypeScript or a static site generator; canonical JSON and EIP-712-style typed attestations; IPFS plus Git mirrors; a free static host; privacy-safe form endpoint or monitored email. Avoid databases and authentication until verification volume proves the need. A map must be an explicit outbound link, not an embedded tracker. The refugee-facing bundle must not load wallet code.</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top"/>
          </w:tcPr>
          <w:p>
            <w:pPr>
              <w:spacing w:after="0"/>
            </w:pPr>
            <w:r>
              <w:rPr>
                <w:b/>
                <w:color w:val="0B2545"/>
                <w:sz w:val="18"/>
              </w:rPr>
              <w:t>Repository path</w:t>
            </w:r>
          </w:p>
        </w:tc>
        <w:tc>
          <w:tcPr>
            <w:tcW w:type="dxa" w:w="6360"/>
            <w:shd w:fill="E8EEF5"/>
            <w:tcMar>
              <w:top w:w="80" w:type="dxa"/>
              <w:start w:w="120" w:type="dxa"/>
              <w:bottom w:w="80" w:type="dxa"/>
              <w:end w:w="120" w:type="dxa"/>
            </w:tcMar>
            <w:vAlign w:val="top"/>
          </w:tcPr>
          <w:p>
            <w:pPr>
              <w:spacing w:after="0"/>
            </w:pPr>
            <w:r>
              <w:rPr>
                <w:b/>
                <w:color w:val="0B2545"/>
                <w:sz w:val="18"/>
              </w:rPr>
              <w:t>Purpose</w:t>
            </w:r>
          </w:p>
        </w:tc>
      </w:tr>
      <w:tr>
        <w:trPr>
          <w:cantSplit/>
        </w:trPr>
        <w:tc>
          <w:tcPr>
            <w:tcW w:type="dxa" w:w="3000"/>
            <w:tcMar>
              <w:top w:w="80" w:type="dxa"/>
              <w:start w:w="120" w:type="dxa"/>
              <w:bottom w:w="80" w:type="dxa"/>
              <w:end w:w="120" w:type="dxa"/>
            </w:tcMar>
            <w:vAlign w:val="top"/>
          </w:tcPr>
          <w:p>
            <w:pPr>
              <w:spacing w:after="0"/>
            </w:pPr>
            <w:r>
              <w:rPr>
                <w:sz w:val="17"/>
              </w:rPr>
              <w:t>/data/listings.json</w:t>
            </w:r>
          </w:p>
        </w:tc>
        <w:tc>
          <w:tcPr>
            <w:tcW w:type="dxa" w:w="6360"/>
            <w:tcMar>
              <w:top w:w="80" w:type="dxa"/>
              <w:start w:w="120" w:type="dxa"/>
              <w:bottom w:w="80" w:type="dxa"/>
              <w:end w:w="120" w:type="dxa"/>
            </w:tcMar>
            <w:vAlign w:val="top"/>
          </w:tcPr>
          <w:p>
            <w:pPr>
              <w:spacing w:after="0"/>
            </w:pPr>
            <w:r>
              <w:rPr>
                <w:sz w:val="17"/>
              </w:rPr>
              <w:t>Canonical public listings and verification metadata</w:t>
            </w:r>
          </w:p>
        </w:tc>
      </w:tr>
      <w:tr>
        <w:trPr>
          <w:cantSplit/>
        </w:trPr>
        <w:tc>
          <w:tcPr>
            <w:tcW w:type="dxa" w:w="3000"/>
            <w:tcMar>
              <w:top w:w="80" w:type="dxa"/>
              <w:start w:w="120" w:type="dxa"/>
              <w:bottom w:w="80" w:type="dxa"/>
              <w:end w:w="120" w:type="dxa"/>
            </w:tcMar>
            <w:vAlign w:val="top"/>
          </w:tcPr>
          <w:p>
            <w:pPr>
              <w:spacing w:after="0"/>
            </w:pPr>
            <w:r>
              <w:rPr>
                <w:sz w:val="17"/>
              </w:rPr>
              <w:t>/locales/fr.json, en.json, ar.json</w:t>
            </w:r>
          </w:p>
        </w:tc>
        <w:tc>
          <w:tcPr>
            <w:tcW w:type="dxa" w:w="6360"/>
            <w:tcMar>
              <w:top w:w="80" w:type="dxa"/>
              <w:start w:w="120" w:type="dxa"/>
              <w:bottom w:w="80" w:type="dxa"/>
              <w:end w:w="120" w:type="dxa"/>
            </w:tcMar>
            <w:vAlign w:val="top"/>
          </w:tcPr>
          <w:p>
            <w:pPr>
              <w:spacing w:after="0"/>
            </w:pPr>
            <w:r>
              <w:rPr>
                <w:sz w:val="17"/>
              </w:rPr>
              <w:t>Reviewed interface translations; RTL tested for Arabic</w:t>
            </w:r>
          </w:p>
        </w:tc>
      </w:tr>
      <w:tr>
        <w:trPr>
          <w:cantSplit/>
        </w:trPr>
        <w:tc>
          <w:tcPr>
            <w:tcW w:type="dxa" w:w="3000"/>
            <w:tcMar>
              <w:top w:w="80" w:type="dxa"/>
              <w:start w:w="120" w:type="dxa"/>
              <w:bottom w:w="80" w:type="dxa"/>
              <w:end w:w="120" w:type="dxa"/>
            </w:tcMar>
            <w:vAlign w:val="top"/>
          </w:tcPr>
          <w:p>
            <w:pPr>
              <w:spacing w:after="0"/>
            </w:pPr>
            <w:r>
              <w:rPr>
                <w:sz w:val="17"/>
              </w:rPr>
              <w:t>/schemas/listing.schema.json</w:t>
            </w:r>
          </w:p>
        </w:tc>
        <w:tc>
          <w:tcPr>
            <w:tcW w:type="dxa" w:w="6360"/>
            <w:tcMar>
              <w:top w:w="80" w:type="dxa"/>
              <w:start w:w="120" w:type="dxa"/>
              <w:bottom w:w="80" w:type="dxa"/>
              <w:end w:w="120" w:type="dxa"/>
            </w:tcMar>
            <w:vAlign w:val="top"/>
          </w:tcPr>
          <w:p>
            <w:pPr>
              <w:spacing w:after="0"/>
            </w:pPr>
            <w:r>
              <w:rPr>
                <w:sz w:val="17"/>
              </w:rPr>
              <w:t>Machine validation and required fields</w:t>
            </w:r>
          </w:p>
        </w:tc>
      </w:tr>
      <w:tr>
        <w:trPr>
          <w:cantSplit/>
        </w:trPr>
        <w:tc>
          <w:tcPr>
            <w:tcW w:type="dxa" w:w="3000"/>
            <w:tcMar>
              <w:top w:w="80" w:type="dxa"/>
              <w:start w:w="120" w:type="dxa"/>
              <w:bottom w:w="80" w:type="dxa"/>
              <w:end w:w="120" w:type="dxa"/>
            </w:tcMar>
            <w:vAlign w:val="top"/>
          </w:tcPr>
          <w:p>
            <w:pPr>
              <w:spacing w:after="0"/>
            </w:pPr>
            <w:r>
              <w:rPr>
                <w:sz w:val="17"/>
              </w:rPr>
              <w:t>/scripts/import_nag.py</w:t>
            </w:r>
          </w:p>
        </w:tc>
        <w:tc>
          <w:tcPr>
            <w:tcW w:type="dxa" w:w="6360"/>
            <w:tcMar>
              <w:top w:w="80" w:type="dxa"/>
              <w:start w:w="120" w:type="dxa"/>
              <w:bottom w:w="80" w:type="dxa"/>
              <w:end w:w="120" w:type="dxa"/>
            </w:tcMar>
            <w:vAlign w:val="top"/>
          </w:tcPr>
          <w:p>
            <w:pPr>
              <w:spacing w:after="0"/>
            </w:pPr>
            <w:r>
              <w:rPr>
                <w:sz w:val="17"/>
              </w:rPr>
              <w:t>Repeatable import from reviewed transcription; never publish raw extraction automatically</w:t>
            </w:r>
          </w:p>
        </w:tc>
      </w:tr>
      <w:tr>
        <w:trPr>
          <w:cantSplit/>
        </w:trPr>
        <w:tc>
          <w:tcPr>
            <w:tcW w:type="dxa" w:w="3000"/>
            <w:tcMar>
              <w:top w:w="80" w:type="dxa"/>
              <w:start w:w="120" w:type="dxa"/>
              <w:bottom w:w="80" w:type="dxa"/>
              <w:end w:w="120" w:type="dxa"/>
            </w:tcMar>
            <w:vAlign w:val="top"/>
          </w:tcPr>
          <w:p>
            <w:pPr>
              <w:spacing w:after="0"/>
            </w:pPr>
            <w:r>
              <w:rPr>
                <w:sz w:val="17"/>
              </w:rPr>
              <w:t>/contracts/src/SponsorshipRouter.sol</w:t>
            </w:r>
          </w:p>
        </w:tc>
        <w:tc>
          <w:tcPr>
            <w:tcW w:type="dxa" w:w="6360"/>
            <w:tcMar>
              <w:top w:w="80" w:type="dxa"/>
              <w:start w:w="120" w:type="dxa"/>
              <w:bottom w:w="80" w:type="dxa"/>
              <w:end w:w="120" w:type="dxa"/>
            </w:tcMar>
            <w:vAlign w:val="top"/>
          </w:tcPr>
          <w:p>
            <w:pPr>
              <w:spacing w:after="0"/>
            </w:pPr>
            <w:r>
              <w:rPr>
                <w:sz w:val="17"/>
              </w:rPr>
              <w:t>Minimal immutable 90/10 existing-token payment router</w:t>
            </w:r>
          </w:p>
        </w:tc>
      </w:tr>
      <w:tr>
        <w:trPr>
          <w:cantSplit/>
        </w:trPr>
        <w:tc>
          <w:tcPr>
            <w:tcW w:type="dxa" w:w="3000"/>
            <w:tcMar>
              <w:top w:w="80" w:type="dxa"/>
              <w:start w:w="120" w:type="dxa"/>
              <w:bottom w:w="80" w:type="dxa"/>
              <w:end w:w="120" w:type="dxa"/>
            </w:tcMar>
            <w:vAlign w:val="top"/>
          </w:tcPr>
          <w:p>
            <w:pPr>
              <w:spacing w:after="0"/>
            </w:pPr>
            <w:r>
              <w:rPr>
                <w:sz w:val="17"/>
              </w:rPr>
              <w:t>/contracts/test</w:t>
            </w:r>
          </w:p>
        </w:tc>
        <w:tc>
          <w:tcPr>
            <w:tcW w:type="dxa" w:w="6360"/>
            <w:tcMar>
              <w:top w:w="80" w:type="dxa"/>
              <w:start w:w="120" w:type="dxa"/>
              <w:bottom w:w="80" w:type="dxa"/>
              <w:end w:w="120" w:type="dxa"/>
            </w:tcMar>
            <w:vAlign w:val="top"/>
          </w:tcPr>
          <w:p>
            <w:pPr>
              <w:spacing w:after="0"/>
            </w:pPr>
            <w:r>
              <w:rPr>
                <w:sz w:val="17"/>
              </w:rPr>
              <w:t>Unit, fuzz, invariant, malicious-token and mainnet-fork tests</w:t>
            </w:r>
          </w:p>
        </w:tc>
      </w:tr>
      <w:tr>
        <w:trPr>
          <w:cantSplit/>
        </w:trPr>
        <w:tc>
          <w:tcPr>
            <w:tcW w:type="dxa" w:w="3000"/>
            <w:tcMar>
              <w:top w:w="80" w:type="dxa"/>
              <w:start w:w="120" w:type="dxa"/>
              <w:bottom w:w="80" w:type="dxa"/>
              <w:end w:w="120" w:type="dxa"/>
            </w:tcMar>
            <w:vAlign w:val="top"/>
          </w:tcPr>
          <w:p>
            <w:pPr>
              <w:spacing w:after="0"/>
            </w:pPr>
            <w:r>
              <w:rPr>
                <w:sz w:val="17"/>
              </w:rPr>
              <w:t>/deployments/base-mainnet.json</w:t>
            </w:r>
          </w:p>
        </w:tc>
        <w:tc>
          <w:tcPr>
            <w:tcW w:type="dxa" w:w="6360"/>
            <w:tcMar>
              <w:top w:w="80" w:type="dxa"/>
              <w:start w:w="120" w:type="dxa"/>
              <w:bottom w:w="80" w:type="dxa"/>
              <w:end w:w="120" w:type="dxa"/>
            </w:tcMar>
            <w:vAlign w:val="top"/>
          </w:tcPr>
          <w:p>
            <w:pPr>
              <w:spacing w:after="0"/>
            </w:pPr>
            <w:r>
              <w:rPr>
                <w:sz w:val="17"/>
              </w:rPr>
              <w:t>Signed manifest with constructor args, source commit and bytecode hash</w:t>
            </w:r>
          </w:p>
        </w:tc>
      </w:tr>
      <w:tr>
        <w:trPr>
          <w:cantSplit/>
        </w:trPr>
        <w:tc>
          <w:tcPr>
            <w:tcW w:type="dxa" w:w="3000"/>
            <w:tcMar>
              <w:top w:w="80" w:type="dxa"/>
              <w:start w:w="120" w:type="dxa"/>
              <w:bottom w:w="80" w:type="dxa"/>
              <w:end w:w="120" w:type="dxa"/>
            </w:tcMar>
            <w:vAlign w:val="top"/>
          </w:tcPr>
          <w:p>
            <w:pPr>
              <w:spacing w:after="0"/>
            </w:pPr>
            <w:r>
              <w:rPr>
                <w:sz w:val="17"/>
              </w:rPr>
              <w:t>/src/payments/adapters</w:t>
            </w:r>
          </w:p>
        </w:tc>
        <w:tc>
          <w:tcPr>
            <w:tcW w:type="dxa" w:w="6360"/>
            <w:tcMar>
              <w:top w:w="80" w:type="dxa"/>
              <w:start w:w="120" w:type="dxa"/>
              <w:bottom w:w="80" w:type="dxa"/>
              <w:end w:w="120" w:type="dxa"/>
            </w:tcMar>
            <w:vAlign w:val="top"/>
          </w:tcPr>
          <w:p>
            <w:pPr>
              <w:spacing w:after="0"/>
            </w:pPr>
            <w:r>
              <w:rPr>
                <w:sz w:val="17"/>
              </w:rPr>
              <w:t>Provider-neutral card, SEPA and Base adapters with normalized events</w:t>
            </w:r>
          </w:p>
        </w:tc>
      </w:tr>
      <w:tr>
        <w:trPr>
          <w:cantSplit/>
        </w:trPr>
        <w:tc>
          <w:tcPr>
            <w:tcW w:type="dxa" w:w="3000"/>
            <w:tcMar>
              <w:top w:w="80" w:type="dxa"/>
              <w:start w:w="120" w:type="dxa"/>
              <w:bottom w:w="80" w:type="dxa"/>
              <w:end w:w="120" w:type="dxa"/>
            </w:tcMar>
            <w:vAlign w:val="top"/>
          </w:tcPr>
          <w:p>
            <w:pPr>
              <w:spacing w:after="0"/>
            </w:pPr>
            <w:r>
              <w:rPr>
                <w:sz w:val="17"/>
              </w:rPr>
              <w:t>/schemas/payment.schema.json</w:t>
            </w:r>
          </w:p>
        </w:tc>
        <w:tc>
          <w:tcPr>
            <w:tcW w:type="dxa" w:w="6360"/>
            <w:tcMar>
              <w:top w:w="80" w:type="dxa"/>
              <w:start w:w="120" w:type="dxa"/>
              <w:bottom w:w="80" w:type="dxa"/>
              <w:end w:w="120" w:type="dxa"/>
            </w:tcMar>
            <w:vAlign w:val="top"/>
          </w:tcPr>
          <w:p>
            <w:pPr>
              <w:spacing w:after="0"/>
            </w:pPr>
            <w:r>
              <w:rPr>
                <w:sz w:val="17"/>
              </w:rPr>
              <w:t>Private accounting schema and redacted public-ledger projection</w:t>
            </w:r>
          </w:p>
        </w:tc>
      </w:tr>
      <w:tr>
        <w:trPr>
          <w:cantSplit/>
        </w:trPr>
        <w:tc>
          <w:tcPr>
            <w:tcW w:type="dxa" w:w="3000"/>
            <w:tcMar>
              <w:top w:w="80" w:type="dxa"/>
              <w:start w:w="120" w:type="dxa"/>
              <w:bottom w:w="80" w:type="dxa"/>
              <w:end w:w="120" w:type="dxa"/>
            </w:tcMar>
            <w:vAlign w:val="top"/>
          </w:tcPr>
          <w:p>
            <w:pPr>
              <w:spacing w:after="0"/>
            </w:pPr>
            <w:r>
              <w:rPr>
                <w:sz w:val="17"/>
              </w:rPr>
              <w:t>/tests/payments</w:t>
            </w:r>
          </w:p>
        </w:tc>
        <w:tc>
          <w:tcPr>
            <w:tcW w:type="dxa" w:w="6360"/>
            <w:tcMar>
              <w:top w:w="80" w:type="dxa"/>
              <w:start w:w="120" w:type="dxa"/>
              <w:bottom w:w="80" w:type="dxa"/>
              <w:end w:w="120" w:type="dxa"/>
            </w:tcMar>
            <w:vAlign w:val="top"/>
          </w:tcPr>
          <w:p>
            <w:pPr>
              <w:spacing w:after="0"/>
            </w:pPr>
            <w:r>
              <w:rPr>
                <w:sz w:val="17"/>
              </w:rPr>
              <w:t>Webhook forgery/replay, refund, chargeback, duplicate and unmatched-transfer tests</w:t>
            </w:r>
          </w:p>
        </w:tc>
      </w:tr>
      <w:tr>
        <w:trPr>
          <w:cantSplit/>
        </w:trPr>
        <w:tc>
          <w:tcPr>
            <w:tcW w:type="dxa" w:w="3000"/>
            <w:tcMar>
              <w:top w:w="80" w:type="dxa"/>
              <w:start w:w="120" w:type="dxa"/>
              <w:bottom w:w="80" w:type="dxa"/>
              <w:end w:w="120" w:type="dxa"/>
            </w:tcMar>
            <w:vAlign w:val="top"/>
          </w:tcPr>
          <w:p>
            <w:pPr>
              <w:spacing w:after="0"/>
            </w:pPr>
            <w:r>
              <w:rPr>
                <w:sz w:val="17"/>
              </w:rPr>
              <w:t>/src/sponsors</w:t>
            </w:r>
          </w:p>
        </w:tc>
        <w:tc>
          <w:tcPr>
            <w:tcW w:type="dxa" w:w="6360"/>
            <w:tcMar>
              <w:top w:w="80" w:type="dxa"/>
              <w:start w:w="120" w:type="dxa"/>
              <w:bottom w:w="80" w:type="dxa"/>
              <w:end w:w="120" w:type="dxa"/>
            </w:tcMar>
            <w:vAlign w:val="top"/>
          </w:tcPr>
          <w:p>
            <w:pPr>
              <w:spacing w:after="0"/>
            </w:pPr>
            <w:r>
              <w:rPr>
                <w:sz w:val="17"/>
              </w:rPr>
              <w:t>Order summary, consented sponsor wall, proof pages, evidence pack, badge and renewal workflow</w:t>
            </w:r>
          </w:p>
        </w:tc>
      </w:tr>
      <w:tr>
        <w:trPr>
          <w:cantSplit/>
        </w:trPr>
        <w:tc>
          <w:tcPr>
            <w:tcW w:type="dxa" w:w="3000"/>
            <w:tcMar>
              <w:top w:w="80" w:type="dxa"/>
              <w:start w:w="120" w:type="dxa"/>
              <w:bottom w:w="80" w:type="dxa"/>
              <w:end w:w="120" w:type="dxa"/>
            </w:tcMar>
            <w:vAlign w:val="top"/>
          </w:tcPr>
          <w:p>
            <w:pPr>
              <w:spacing w:after="0"/>
            </w:pPr>
            <w:r>
              <w:rPr>
                <w:sz w:val="17"/>
              </w:rPr>
              <w:t>/schemas/sponsorship.schema.json</w:t>
            </w:r>
          </w:p>
        </w:tc>
        <w:tc>
          <w:tcPr>
            <w:tcW w:type="dxa" w:w="6360"/>
            <w:tcMar>
              <w:top w:w="80" w:type="dxa"/>
              <w:start w:w="120" w:type="dxa"/>
              <w:bottom w:w="80" w:type="dxa"/>
              <w:end w:w="120" w:type="dxa"/>
            </w:tcMar>
            <w:vAlign w:val="top"/>
          </w:tcPr>
          <w:p>
            <w:pPr>
              <w:spacing w:after="0"/>
            </w:pPr>
            <w:r>
              <w:rPr>
                <w:sz w:val="17"/>
              </w:rPr>
              <w:t>Funded-result, recognition-consent, expiry and matching-cap rules</w:t>
            </w:r>
          </w:p>
        </w:tc>
      </w:tr>
      <w:tr>
        <w:trPr>
          <w:cantSplit/>
        </w:trPr>
        <w:tc>
          <w:tcPr>
            <w:tcW w:type="dxa" w:w="3000"/>
            <w:tcMar>
              <w:top w:w="80" w:type="dxa"/>
              <w:start w:w="120" w:type="dxa"/>
              <w:bottom w:w="80" w:type="dxa"/>
              <w:end w:w="120" w:type="dxa"/>
            </w:tcMar>
            <w:vAlign w:val="top"/>
          </w:tcPr>
          <w:p>
            <w:pPr>
              <w:spacing w:after="0"/>
            </w:pPr>
            <w:r>
              <w:rPr>
                <w:sz w:val="17"/>
              </w:rPr>
              <w:t>/tests/sponsor-boundaries</w:t>
            </w:r>
          </w:p>
        </w:tc>
        <w:tc>
          <w:tcPr>
            <w:tcW w:type="dxa" w:w="6360"/>
            <w:tcMar>
              <w:top w:w="80" w:type="dxa"/>
              <w:start w:w="120" w:type="dxa"/>
              <w:bottom w:w="80" w:type="dxa"/>
              <w:end w:w="120" w:type="dxa"/>
            </w:tcMar>
            <w:vAlign w:val="top"/>
          </w:tcPr>
          <w:p>
            <w:pPr>
              <w:spacing w:after="0"/>
            </w:pPr>
            <w:r>
              <w:rPr>
                <w:sz w:val="17"/>
              </w:rPr>
              <w:t>Tests preventing paid influence over listings, ranking, verification and beneficiary UI</w:t>
            </w:r>
          </w:p>
        </w:tc>
      </w:tr>
      <w:tr>
        <w:trPr>
          <w:cantSplit/>
        </w:trPr>
        <w:tc>
          <w:tcPr>
            <w:tcW w:type="dxa" w:w="3000"/>
            <w:tcMar>
              <w:top w:w="80" w:type="dxa"/>
              <w:start w:w="120" w:type="dxa"/>
              <w:bottom w:w="80" w:type="dxa"/>
              <w:end w:w="120" w:type="dxa"/>
            </w:tcMar>
            <w:vAlign w:val="top"/>
          </w:tcPr>
          <w:p>
            <w:pPr>
              <w:spacing w:after="0"/>
            </w:pPr>
            <w:r>
              <w:rPr>
                <w:sz w:val="17"/>
              </w:rPr>
              <w:t>/src/activities</w:t>
            </w:r>
          </w:p>
        </w:tc>
        <w:tc>
          <w:tcPr>
            <w:tcW w:type="dxa" w:w="6360"/>
            <w:tcMar>
              <w:top w:w="80" w:type="dxa"/>
              <w:start w:w="120" w:type="dxa"/>
              <w:bottom w:w="80" w:type="dxa"/>
              <w:end w:w="120" w:type="dxa"/>
            </w:tcMar>
            <w:vAlign w:val="top"/>
          </w:tcPr>
          <w:p>
            <w:pPr>
              <w:spacing w:after="0"/>
            </w:pPr>
            <w:r>
              <w:rPr>
                <w:sz w:val="17"/>
              </w:rPr>
              <w:t>Multilingual idea intake, triage, operator attestations, sector gates, status history and aggregate outcomes</w:t>
            </w:r>
          </w:p>
        </w:tc>
      </w:tr>
      <w:tr>
        <w:trPr>
          <w:cantSplit/>
        </w:trPr>
        <w:tc>
          <w:tcPr>
            <w:tcW w:type="dxa" w:w="3000"/>
            <w:tcMar>
              <w:top w:w="80" w:type="dxa"/>
              <w:start w:w="120" w:type="dxa"/>
              <w:bottom w:w="80" w:type="dxa"/>
              <w:end w:w="120" w:type="dxa"/>
            </w:tcMar>
            <w:vAlign w:val="top"/>
          </w:tcPr>
          <w:p>
            <w:pPr>
              <w:spacing w:after="0"/>
            </w:pPr>
            <w:r>
              <w:rPr>
                <w:sz w:val="17"/>
              </w:rPr>
              <w:t>/schemas/activity.schema.json</w:t>
            </w:r>
          </w:p>
        </w:tc>
        <w:tc>
          <w:tcPr>
            <w:tcW w:type="dxa" w:w="6360"/>
            <w:tcMar>
              <w:top w:w="80" w:type="dxa"/>
              <w:start w:w="120" w:type="dxa"/>
              <w:bottom w:w="80" w:type="dxa"/>
              <w:end w:w="120" w:type="dxa"/>
            </w:tcMar>
            <w:vAlign w:val="top"/>
          </w:tcPr>
          <w:p>
            <w:pPr>
              <w:spacing w:after="0"/>
            </w:pPr>
            <w:r>
              <w:rPr>
                <w:sz w:val="17"/>
              </w:rPr>
              <w:t>Activity classification, payer/operator, permissions, safety, expiry and public decision record</w:t>
            </w:r>
          </w:p>
        </w:tc>
      </w:tr>
      <w:tr>
        <w:trPr>
          <w:cantSplit/>
        </w:trPr>
        <w:tc>
          <w:tcPr>
            <w:tcW w:type="dxa" w:w="3000"/>
            <w:tcMar>
              <w:top w:w="80" w:type="dxa"/>
              <w:start w:w="120" w:type="dxa"/>
              <w:bottom w:w="80" w:type="dxa"/>
              <w:end w:w="120" w:type="dxa"/>
            </w:tcMar>
            <w:vAlign w:val="top"/>
          </w:tcPr>
          <w:p>
            <w:pPr>
              <w:spacing w:after="0"/>
            </w:pPr>
            <w:r>
              <w:rPr>
                <w:sz w:val="17"/>
              </w:rPr>
              <w:t>/schemas/community-voucher.schema.json</w:t>
            </w:r>
          </w:p>
        </w:tc>
        <w:tc>
          <w:tcPr>
            <w:tcW w:type="dxa" w:w="6360"/>
            <w:tcMar>
              <w:top w:w="80" w:type="dxa"/>
              <w:start w:w="120" w:type="dxa"/>
              <w:bottom w:w="80" w:type="dxa"/>
              <w:end w:w="120" w:type="dxa"/>
            </w:tcMar>
            <w:vAlign w:val="top"/>
          </w:tcPr>
          <w:p>
            <w:pPr>
              <w:spacing w:after="0"/>
            </w:pPr>
            <w:r>
              <w:rPr>
                <w:sz w:val="17"/>
              </w:rPr>
              <w:t>Sponsor funding, fixed value, approved merchant, expiry, redemption and no-transfer/no-cash controls</w:t>
            </w:r>
          </w:p>
        </w:tc>
      </w:tr>
      <w:tr>
        <w:trPr>
          <w:cantSplit/>
        </w:trPr>
        <w:tc>
          <w:tcPr>
            <w:tcW w:type="dxa" w:w="3000"/>
            <w:tcMar>
              <w:top w:w="80" w:type="dxa"/>
              <w:start w:w="120" w:type="dxa"/>
              <w:bottom w:w="80" w:type="dxa"/>
              <w:end w:w="120" w:type="dxa"/>
            </w:tcMar>
            <w:vAlign w:val="top"/>
          </w:tcPr>
          <w:p>
            <w:pPr>
              <w:spacing w:after="0"/>
            </w:pPr>
            <w:r>
              <w:rPr>
                <w:sz w:val="17"/>
              </w:rPr>
              <w:t>/tests/activity-safety</w:t>
            </w:r>
          </w:p>
        </w:tc>
        <w:tc>
          <w:tcPr>
            <w:tcW w:type="dxa" w:w="6360"/>
            <w:tcMar>
              <w:top w:w="80" w:type="dxa"/>
              <w:start w:w="120" w:type="dxa"/>
              <w:bottom w:w="80" w:type="dxa"/>
              <w:end w:w="120" w:type="dxa"/>
            </w:tcMar>
            <w:vAlign w:val="top"/>
          </w:tcPr>
          <w:p>
            <w:pPr>
              <w:spacing w:after="0"/>
            </w:pPr>
            <w:r>
              <w:rPr>
                <w:sz w:val="17"/>
              </w:rPr>
              <w:t>Unauthorized-work, missing-mandate, expired-attestation, voucher-as-wage, regulated-activity and token/DEX exclusion tests</w:t>
            </w:r>
          </w:p>
        </w:tc>
      </w:tr>
      <w:tr>
        <w:trPr>
          <w:cantSplit/>
        </w:trPr>
        <w:tc>
          <w:tcPr>
            <w:tcW w:type="dxa" w:w="3000"/>
            <w:tcMar>
              <w:top w:w="80" w:type="dxa"/>
              <w:start w:w="120" w:type="dxa"/>
              <w:bottom w:w="80" w:type="dxa"/>
              <w:end w:w="120" w:type="dxa"/>
            </w:tcMar>
            <w:vAlign w:val="top"/>
          </w:tcPr>
          <w:p>
            <w:pPr>
              <w:spacing w:after="0"/>
            </w:pPr>
            <w:r>
              <w:rPr>
                <w:sz w:val="17"/>
              </w:rPr>
              <w:t>/attestations</w:t>
            </w:r>
          </w:p>
        </w:tc>
        <w:tc>
          <w:tcPr>
            <w:tcW w:type="dxa" w:w="6360"/>
            <w:tcMar>
              <w:top w:w="80" w:type="dxa"/>
              <w:start w:w="120" w:type="dxa"/>
              <w:bottom w:w="80" w:type="dxa"/>
              <w:end w:w="120" w:type="dxa"/>
            </w:tcMar>
            <w:vAlign w:val="top"/>
          </w:tcPr>
          <w:p>
            <w:pPr>
              <w:spacing w:after="0"/>
            </w:pPr>
            <w:r>
              <w:rPr>
                <w:sz w:val="17"/>
              </w:rPr>
              <w:t>Schemas and test vectors for provider/verifier/translator signatures</w:t>
            </w:r>
          </w:p>
        </w:tc>
      </w:tr>
      <w:tr>
        <w:trPr>
          <w:cantSplit/>
        </w:trPr>
        <w:tc>
          <w:tcPr>
            <w:tcW w:type="dxa" w:w="3000"/>
            <w:tcMar>
              <w:top w:w="80" w:type="dxa"/>
              <w:start w:w="120" w:type="dxa"/>
              <w:bottom w:w="80" w:type="dxa"/>
              <w:end w:w="120" w:type="dxa"/>
            </w:tcMar>
            <w:vAlign w:val="top"/>
          </w:tcPr>
          <w:p>
            <w:pPr>
              <w:spacing w:after="0"/>
            </w:pPr>
            <w:r>
              <w:rPr>
                <w:sz w:val="17"/>
              </w:rPr>
              <w:t>/tests</w:t>
            </w:r>
          </w:p>
        </w:tc>
        <w:tc>
          <w:tcPr>
            <w:tcW w:type="dxa" w:w="6360"/>
            <w:tcMar>
              <w:top w:w="80" w:type="dxa"/>
              <w:start w:w="120" w:type="dxa"/>
              <w:bottom w:w="80" w:type="dxa"/>
              <w:end w:w="120" w:type="dxa"/>
            </w:tcMar>
            <w:vAlign w:val="top"/>
          </w:tcPr>
          <w:p>
            <w:pPr>
              <w:spacing w:after="0"/>
            </w:pPr>
            <w:r>
              <w:rPr>
                <w:sz w:val="17"/>
              </w:rPr>
              <w:t>Schema, accessibility, link, privacy and sponsor-separation checks</w:t>
            </w:r>
          </w:p>
        </w:tc>
      </w:tr>
      <w:tr>
        <w:trPr>
          <w:cantSplit/>
        </w:trPr>
        <w:tc>
          <w:tcPr>
            <w:tcW w:type="dxa" w:w="3000"/>
            <w:tcMar>
              <w:top w:w="80" w:type="dxa"/>
              <w:start w:w="120" w:type="dxa"/>
              <w:bottom w:w="80" w:type="dxa"/>
              <w:end w:w="120" w:type="dxa"/>
            </w:tcMar>
            <w:vAlign w:val="top"/>
          </w:tcPr>
          <w:p>
            <w:pPr>
              <w:spacing w:after="0"/>
            </w:pPr>
            <w:r>
              <w:rPr>
                <w:sz w:val="17"/>
              </w:rPr>
              <w:t>/docs</w:t>
            </w:r>
          </w:p>
        </w:tc>
        <w:tc>
          <w:tcPr>
            <w:tcW w:type="dxa" w:w="6360"/>
            <w:tcMar>
              <w:top w:w="80" w:type="dxa"/>
              <w:start w:w="120" w:type="dxa"/>
              <w:bottom w:w="80" w:type="dxa"/>
              <w:end w:w="120" w:type="dxa"/>
            </w:tcMar>
            <w:vAlign w:val="top"/>
          </w:tcPr>
          <w:p>
            <w:pPr>
              <w:spacing w:after="0"/>
            </w:pPr>
            <w:r>
              <w:rPr>
                <w:sz w:val="17"/>
              </w:rPr>
              <w:t>Safeguarding, verification, incident, finance and deployment runbooks</w:t>
            </w:r>
          </w:p>
        </w:tc>
      </w:tr>
    </w:tbl>
    <w:p>
      <w:pPr>
        <w:pStyle w:val="TableSource"/>
      </w:pPr>
    </w:p>
    <w:p>
      <w:pPr>
        <w:pStyle w:val="Heading2"/>
      </w:pPr>
      <w:r>
        <w:t>10.7 Growth and profitability roadmap</w:t>
      </w:r>
    </w:p>
    <w:p>
      <w:r>
        <w:t>Growth comes from replicating the operating system, not extracting more value from each refugee. The defensible asset is a transparent trust graph of fresh service information, verifier signatures, reproducible software and sponsor impact receipts. All figures below are targets for validation, not guaranteed forecasts.</w:t>
      </w:r>
    </w:p>
    <w:tbl>
      <w:tblPr>
        <w:tblStyle w:val="TableGrid"/>
        <w:tblW w:type="dxa" w:w="9360"/>
        <w:jc w:val="center"/>
        <w:tblLayout w:type="fixed"/>
        <w:tblLook w:firstColumn="1" w:firstRow="1" w:lastColumn="0" w:lastRow="0" w:noHBand="0" w:noVBand="1" w:val="04A0"/>
        <w:tblInd w:w="120" w:type="dxa"/>
      </w:tblPr>
      <w:tblGrid>
        <w:gridCol w:w="1200"/>
        <w:gridCol w:w="3100"/>
        <w:gridCol w:w="2760"/>
        <w:gridCol w:w="2300"/>
      </w:tblGrid>
      <w:tr>
        <w:trPr>
          <w:tblHeader w:val="true"/>
          <w:cantSplit/>
        </w:trPr>
        <w:tc>
          <w:tcPr>
            <w:tcW w:type="dxa" w:w="1200"/>
            <w:shd w:fill="E8EEF5"/>
            <w:tcMar>
              <w:top w:w="80" w:type="dxa"/>
              <w:start w:w="120" w:type="dxa"/>
              <w:bottom w:w="80" w:type="dxa"/>
              <w:end w:w="120" w:type="dxa"/>
            </w:tcMar>
            <w:vAlign w:val="top"/>
          </w:tcPr>
          <w:p>
            <w:pPr>
              <w:spacing w:after="0"/>
            </w:pPr>
            <w:r>
              <w:rPr>
                <w:b/>
                <w:color w:val="0B2545"/>
                <w:sz w:val="17"/>
              </w:rPr>
              <w:t>Horizon</w:t>
            </w:r>
          </w:p>
        </w:tc>
        <w:tc>
          <w:tcPr>
            <w:tcW w:type="dxa" w:w="3100"/>
            <w:shd w:fill="E8EEF5"/>
            <w:tcMar>
              <w:top w:w="80" w:type="dxa"/>
              <w:start w:w="120" w:type="dxa"/>
              <w:bottom w:w="80" w:type="dxa"/>
              <w:end w:w="120" w:type="dxa"/>
            </w:tcMar>
            <w:vAlign w:val="top"/>
          </w:tcPr>
          <w:p>
            <w:pPr>
              <w:spacing w:after="0"/>
            </w:pPr>
            <w:r>
              <w:rPr>
                <w:b/>
                <w:color w:val="0B2545"/>
                <w:sz w:val="17"/>
              </w:rPr>
              <w:t>Product expansion</w:t>
            </w:r>
          </w:p>
        </w:tc>
        <w:tc>
          <w:tcPr>
            <w:tcW w:type="dxa" w:w="2760"/>
            <w:shd w:fill="E8EEF5"/>
            <w:tcMar>
              <w:top w:w="80" w:type="dxa"/>
              <w:start w:w="120" w:type="dxa"/>
              <w:bottom w:w="80" w:type="dxa"/>
              <w:end w:w="120" w:type="dxa"/>
            </w:tcMar>
            <w:vAlign w:val="top"/>
          </w:tcPr>
          <w:p>
            <w:pPr>
              <w:spacing w:after="0"/>
            </w:pPr>
            <w:r>
              <w:rPr>
                <w:b/>
                <w:color w:val="0B2545"/>
                <w:sz w:val="17"/>
              </w:rPr>
              <w:t>Commercial target</w:t>
            </w:r>
          </w:p>
        </w:tc>
        <w:tc>
          <w:tcPr>
            <w:tcW w:type="dxa" w:w="2300"/>
            <w:shd w:fill="E8EEF5"/>
            <w:tcMar>
              <w:top w:w="80" w:type="dxa"/>
              <w:start w:w="120" w:type="dxa"/>
              <w:bottom w:w="80" w:type="dxa"/>
              <w:end w:w="120" w:type="dxa"/>
            </w:tcMar>
            <w:vAlign w:val="top"/>
          </w:tcPr>
          <w:p>
            <w:pPr>
              <w:spacing w:after="0"/>
            </w:pPr>
            <w:r>
              <w:rPr>
                <w:b/>
                <w:color w:val="0B2545"/>
                <w:sz w:val="17"/>
              </w:rPr>
              <w:t>Impact target</w:t>
            </w:r>
          </w:p>
        </w:tc>
      </w:tr>
      <w:tr>
        <w:trPr>
          <w:cantSplit/>
        </w:trPr>
        <w:tc>
          <w:tcPr>
            <w:tcW w:type="dxa" w:w="1200"/>
            <w:tcMar>
              <w:top w:w="80" w:type="dxa"/>
              <w:start w:w="120" w:type="dxa"/>
              <w:bottom w:w="80" w:type="dxa"/>
              <w:end w:w="120" w:type="dxa"/>
            </w:tcMar>
            <w:vAlign w:val="top"/>
          </w:tcPr>
          <w:p>
            <w:pPr>
              <w:spacing w:after="0"/>
            </w:pPr>
            <w:r>
              <w:rPr>
                <w:sz w:val="16"/>
              </w:rPr>
              <w:t>Day 14</w:t>
            </w:r>
          </w:p>
        </w:tc>
        <w:tc>
          <w:tcPr>
            <w:tcW w:type="dxa" w:w="3100"/>
            <w:tcMar>
              <w:top w:w="80" w:type="dxa"/>
              <w:start w:w="120" w:type="dxa"/>
              <w:bottom w:w="80" w:type="dxa"/>
              <w:end w:w="120" w:type="dxa"/>
            </w:tcMar>
            <w:vAlign w:val="top"/>
          </w:tcPr>
          <w:p>
            <w:pPr>
              <w:spacing w:after="0"/>
            </w:pPr>
            <w:r>
              <w:rPr>
                <w:sz w:val="16"/>
              </w:rPr>
              <w:t>Calais directory, Idea Lab, three payment lanes, three languages, two mirrors</w:t>
            </w:r>
          </w:p>
        </w:tc>
        <w:tc>
          <w:tcPr>
            <w:tcW w:type="dxa" w:w="2760"/>
            <w:tcMar>
              <w:top w:w="80" w:type="dxa"/>
              <w:start w:w="120" w:type="dxa"/>
              <w:bottom w:w="80" w:type="dxa"/>
              <w:end w:w="120" w:type="dxa"/>
            </w:tcMar>
            <w:vAlign w:val="top"/>
          </w:tcPr>
          <w:p>
            <w:pPr>
              <w:spacing w:after="0"/>
            </w:pPr>
            <w:r>
              <w:rPr>
                <w:sz w:val="16"/>
              </w:rPr>
              <w:t>1–3 sponsors at €79–€149 equivalent</w:t>
            </w:r>
          </w:p>
        </w:tc>
        <w:tc>
          <w:tcPr>
            <w:tcW w:type="dxa" w:w="2300"/>
            <w:tcMar>
              <w:top w:w="80" w:type="dxa"/>
              <w:start w:w="120" w:type="dxa"/>
              <w:bottom w:w="80" w:type="dxa"/>
              <w:end w:w="120" w:type="dxa"/>
            </w:tcMar>
            <w:vAlign w:val="top"/>
          </w:tcPr>
          <w:p>
            <w:pPr>
              <w:spacing w:after="0"/>
            </w:pPr>
            <w:r>
              <w:rPr>
                <w:sz w:val="16"/>
              </w:rPr>
              <w:t>Top 25 listings verified; ideas accepted; no unapproved paid work</w:t>
            </w:r>
          </w:p>
        </w:tc>
      </w:tr>
      <w:tr>
        <w:trPr>
          <w:cantSplit/>
        </w:trPr>
        <w:tc>
          <w:tcPr>
            <w:tcW w:type="dxa" w:w="1200"/>
            <w:tcMar>
              <w:top w:w="80" w:type="dxa"/>
              <w:start w:w="120" w:type="dxa"/>
              <w:bottom w:w="80" w:type="dxa"/>
              <w:end w:w="120" w:type="dxa"/>
            </w:tcMar>
            <w:vAlign w:val="top"/>
          </w:tcPr>
          <w:p>
            <w:pPr>
              <w:spacing w:after="0"/>
            </w:pPr>
            <w:r>
              <w:rPr>
                <w:sz w:val="16"/>
              </w:rPr>
              <w:t>Day 30</w:t>
            </w:r>
          </w:p>
        </w:tc>
        <w:tc>
          <w:tcPr>
            <w:tcW w:type="dxa" w:w="3100"/>
            <w:tcMar>
              <w:top w:w="80" w:type="dxa"/>
              <w:start w:w="120" w:type="dxa"/>
              <w:bottom w:w="80" w:type="dxa"/>
              <w:end w:w="120" w:type="dxa"/>
            </w:tcMar>
            <w:vAlign w:val="top"/>
          </w:tcPr>
          <w:p>
            <w:pPr>
              <w:spacing w:after="0"/>
            </w:pPr>
            <w:r>
              <w:rPr>
                <w:sz w:val="16"/>
              </w:rPr>
              <w:t>Freshness alerts, sponsor dashboard and activity-triage council</w:t>
            </w:r>
          </w:p>
        </w:tc>
        <w:tc>
          <w:tcPr>
            <w:tcW w:type="dxa" w:w="2760"/>
            <w:tcMar>
              <w:top w:w="80" w:type="dxa"/>
              <w:start w:w="120" w:type="dxa"/>
              <w:bottom w:w="80" w:type="dxa"/>
              <w:end w:w="120" w:type="dxa"/>
            </w:tcMar>
            <w:vAlign w:val="top"/>
          </w:tcPr>
          <w:p>
            <w:pPr>
              <w:spacing w:after="0"/>
            </w:pPr>
            <w:r>
              <w:rPr>
                <w:sz w:val="16"/>
              </w:rPr>
              <w:t>5 sponsors; €395 gross sponsorship scenario</w:t>
            </w:r>
          </w:p>
        </w:tc>
        <w:tc>
          <w:tcPr>
            <w:tcW w:type="dxa" w:w="2300"/>
            <w:tcMar>
              <w:top w:w="80" w:type="dxa"/>
              <w:start w:w="120" w:type="dxa"/>
              <w:bottom w:w="80" w:type="dxa"/>
              <w:end w:w="120" w:type="dxa"/>
            </w:tcMar>
            <w:vAlign w:val="top"/>
          </w:tcPr>
          <w:p>
            <w:pPr>
              <w:spacing w:after="0"/>
            </w:pPr>
            <w:r>
              <w:rPr>
                <w:sz w:val="16"/>
              </w:rPr>
              <w:t>First legally cleared pilot designed; ≥€355.50 allocated at 90% policy share</w:t>
            </w:r>
          </w:p>
        </w:tc>
      </w:tr>
      <w:tr>
        <w:trPr>
          <w:cantSplit/>
        </w:trPr>
        <w:tc>
          <w:tcPr>
            <w:tcW w:type="dxa" w:w="1200"/>
            <w:tcMar>
              <w:top w:w="80" w:type="dxa"/>
              <w:start w:w="120" w:type="dxa"/>
              <w:bottom w:w="80" w:type="dxa"/>
              <w:end w:w="120" w:type="dxa"/>
            </w:tcMar>
            <w:vAlign w:val="top"/>
          </w:tcPr>
          <w:p>
            <w:pPr>
              <w:spacing w:after="0"/>
            </w:pPr>
            <w:r>
              <w:rPr>
                <w:sz w:val="16"/>
              </w:rPr>
              <w:t>Day 90</w:t>
            </w:r>
          </w:p>
        </w:tc>
        <w:tc>
          <w:tcPr>
            <w:tcW w:type="dxa" w:w="3100"/>
            <w:tcMar>
              <w:top w:w="80" w:type="dxa"/>
              <w:start w:w="120" w:type="dxa"/>
              <w:bottom w:w="80" w:type="dxa"/>
              <w:end w:w="120" w:type="dxa"/>
            </w:tcMar>
            <w:vAlign w:val="top"/>
          </w:tcPr>
          <w:p>
            <w:pPr>
              <w:spacing w:after="0"/>
            </w:pPr>
            <w:r>
              <w:rPr>
                <w:sz w:val="16"/>
              </w:rPr>
              <w:t>Lawful peer-service pilot, sponsor-funded voucher pilot and white-label kit</w:t>
            </w:r>
          </w:p>
        </w:tc>
        <w:tc>
          <w:tcPr>
            <w:tcW w:type="dxa" w:w="2760"/>
            <w:tcMar>
              <w:top w:w="80" w:type="dxa"/>
              <w:start w:w="120" w:type="dxa"/>
              <w:bottom w:w="80" w:type="dxa"/>
              <w:end w:w="120" w:type="dxa"/>
            </w:tcMar>
            <w:vAlign w:val="top"/>
          </w:tcPr>
          <w:p>
            <w:pPr>
              <w:spacing w:after="0"/>
            </w:pPr>
            <w:r>
              <w:rPr>
                <w:sz w:val="16"/>
              </w:rPr>
              <w:t>25 sponsors averaging €100; two €499 deployments; five €49/month SLAs</w:t>
            </w:r>
          </w:p>
        </w:tc>
        <w:tc>
          <w:tcPr>
            <w:tcW w:type="dxa" w:w="2300"/>
            <w:tcMar>
              <w:top w:w="80" w:type="dxa"/>
              <w:start w:w="120" w:type="dxa"/>
              <w:bottom w:w="80" w:type="dxa"/>
              <w:end w:w="120" w:type="dxa"/>
            </w:tcMar>
            <w:vAlign w:val="top"/>
          </w:tcPr>
          <w:p>
            <w:pPr>
              <w:spacing w:after="0"/>
            </w:pPr>
            <w:r>
              <w:rPr>
                <w:sz w:val="16"/>
              </w:rPr>
              <w:t>Eligible providers paid in EUR; voucher reserve fully funded; public outcomes</w:t>
            </w:r>
          </w:p>
        </w:tc>
      </w:tr>
      <w:tr>
        <w:trPr>
          <w:cantSplit/>
        </w:trPr>
        <w:tc>
          <w:tcPr>
            <w:tcW w:type="dxa" w:w="1200"/>
            <w:tcMar>
              <w:top w:w="80" w:type="dxa"/>
              <w:start w:w="120" w:type="dxa"/>
              <w:bottom w:w="80" w:type="dxa"/>
              <w:end w:w="120" w:type="dxa"/>
            </w:tcMar>
            <w:vAlign w:val="top"/>
          </w:tcPr>
          <w:p>
            <w:pPr>
              <w:spacing w:after="0"/>
            </w:pPr>
            <w:r>
              <w:rPr>
                <w:sz w:val="16"/>
              </w:rPr>
              <w:t>Month 12</w:t>
            </w:r>
          </w:p>
        </w:tc>
        <w:tc>
          <w:tcPr>
            <w:tcW w:type="dxa" w:w="3100"/>
            <w:tcMar>
              <w:top w:w="80" w:type="dxa"/>
              <w:start w:w="120" w:type="dxa"/>
              <w:bottom w:w="80" w:type="dxa"/>
              <w:end w:w="120" w:type="dxa"/>
            </w:tcMar>
            <w:vAlign w:val="top"/>
          </w:tcPr>
          <w:p>
            <w:pPr>
              <w:spacing w:after="0"/>
            </w:pPr>
            <w:r>
              <w:rPr>
                <w:sz w:val="16"/>
              </w:rPr>
              <w:t>City-contracted activity pilots, ten-city federation, open schema and local councils</w:t>
            </w:r>
          </w:p>
        </w:tc>
        <w:tc>
          <w:tcPr>
            <w:tcW w:type="dxa" w:w="2760"/>
            <w:tcMar>
              <w:top w:w="80" w:type="dxa"/>
              <w:start w:w="120" w:type="dxa"/>
              <w:bottom w:w="80" w:type="dxa"/>
              <w:end w:w="120" w:type="dxa"/>
            </w:tcMar>
            <w:vAlign w:val="top"/>
          </w:tcPr>
          <w:p>
            <w:pPr>
              <w:spacing w:after="0"/>
            </w:pPr>
            <w:r>
              <w:rPr>
                <w:sz w:val="16"/>
              </w:rPr>
              <w:t>200 sponsorships averaging €125; 20 recurring SLAs</w:t>
            </w:r>
          </w:p>
        </w:tc>
        <w:tc>
          <w:tcPr>
            <w:tcW w:type="dxa" w:w="2300"/>
            <w:tcMar>
              <w:top w:w="80" w:type="dxa"/>
              <w:start w:w="120" w:type="dxa"/>
              <w:bottom w:w="80" w:type="dxa"/>
              <w:end w:w="120" w:type="dxa"/>
            </w:tcMar>
            <w:vAlign w:val="top"/>
          </w:tcPr>
          <w:p>
            <w:pPr>
              <w:spacing w:after="0"/>
            </w:pPr>
            <w:r>
              <w:rPr>
                <w:sz w:val="16"/>
              </w:rPr>
              <w:t>Safer civic work routes, verified outputs and ≥€22,500 allocated in the illustration</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1700"/>
        <w:gridCol w:w="4460"/>
        <w:gridCol w:w="3200"/>
      </w:tblGrid>
      <w:tr>
        <w:trPr>
          <w:tblHeader w:val="true"/>
          <w:cantSplit/>
        </w:trPr>
        <w:tc>
          <w:tcPr>
            <w:tcW w:type="dxa" w:w="1700"/>
            <w:shd w:fill="E8EEF5"/>
            <w:tcMar>
              <w:top w:w="80" w:type="dxa"/>
              <w:start w:w="120" w:type="dxa"/>
              <w:bottom w:w="80" w:type="dxa"/>
              <w:end w:w="120" w:type="dxa"/>
            </w:tcMar>
            <w:vAlign w:val="top"/>
          </w:tcPr>
          <w:p>
            <w:pPr>
              <w:spacing w:after="0"/>
            </w:pPr>
            <w:r>
              <w:rPr>
                <w:b/>
                <w:color w:val="0B2545"/>
                <w:sz w:val="18"/>
              </w:rPr>
              <w:t>Growth loop</w:t>
            </w:r>
          </w:p>
        </w:tc>
        <w:tc>
          <w:tcPr>
            <w:tcW w:type="dxa" w:w="4460"/>
            <w:shd w:fill="E8EEF5"/>
            <w:tcMar>
              <w:top w:w="80" w:type="dxa"/>
              <w:start w:w="120" w:type="dxa"/>
              <w:bottom w:w="80" w:type="dxa"/>
              <w:end w:w="120" w:type="dxa"/>
            </w:tcMar>
            <w:vAlign w:val="top"/>
          </w:tcPr>
          <w:p>
            <w:pPr>
              <w:spacing w:after="0"/>
            </w:pPr>
            <w:r>
              <w:rPr>
                <w:b/>
                <w:color w:val="0B2545"/>
                <w:sz w:val="18"/>
              </w:rPr>
              <w:t>Mechanism</w:t>
            </w:r>
          </w:p>
        </w:tc>
        <w:tc>
          <w:tcPr>
            <w:tcW w:type="dxa" w:w="3200"/>
            <w:shd w:fill="E8EEF5"/>
            <w:tcMar>
              <w:top w:w="80" w:type="dxa"/>
              <w:start w:w="120" w:type="dxa"/>
              <w:bottom w:w="80" w:type="dxa"/>
              <w:end w:w="120" w:type="dxa"/>
            </w:tcMar>
            <w:vAlign w:val="top"/>
          </w:tcPr>
          <w:p>
            <w:pPr>
              <w:spacing w:after="0"/>
            </w:pPr>
            <w:r>
              <w:rPr>
                <w:b/>
                <w:color w:val="0B2545"/>
                <w:sz w:val="18"/>
              </w:rPr>
              <w:t>Safety brake</w:t>
            </w:r>
          </w:p>
        </w:tc>
      </w:tr>
      <w:tr>
        <w:trPr>
          <w:cantSplit/>
        </w:trPr>
        <w:tc>
          <w:tcPr>
            <w:tcW w:type="dxa" w:w="1700"/>
            <w:tcMar>
              <w:top w:w="80" w:type="dxa"/>
              <w:start w:w="120" w:type="dxa"/>
              <w:bottom w:w="80" w:type="dxa"/>
              <w:end w:w="120" w:type="dxa"/>
            </w:tcMar>
            <w:vAlign w:val="top"/>
          </w:tcPr>
          <w:p>
            <w:pPr>
              <w:spacing w:after="0"/>
            </w:pPr>
            <w:r>
              <w:rPr>
                <w:sz w:val="17"/>
              </w:rPr>
              <w:t>Freshness loop</w:t>
            </w:r>
          </w:p>
        </w:tc>
        <w:tc>
          <w:tcPr>
            <w:tcW w:type="dxa" w:w="4460"/>
            <w:tcMar>
              <w:top w:w="80" w:type="dxa"/>
              <w:start w:w="120" w:type="dxa"/>
              <w:bottom w:w="80" w:type="dxa"/>
              <w:end w:w="120" w:type="dxa"/>
            </w:tcMar>
            <w:vAlign w:val="top"/>
          </w:tcPr>
          <w:p>
            <w:pPr>
              <w:spacing w:after="0"/>
            </w:pPr>
            <w:r>
              <w:rPr>
                <w:sz w:val="17"/>
              </w:rPr>
              <w:t>Corrections → signed verification → more trust → more use → more corrections</w:t>
            </w:r>
          </w:p>
        </w:tc>
        <w:tc>
          <w:tcPr>
            <w:tcW w:type="dxa" w:w="3200"/>
            <w:tcMar>
              <w:top w:w="80" w:type="dxa"/>
              <w:start w:w="120" w:type="dxa"/>
              <w:bottom w:w="80" w:type="dxa"/>
              <w:end w:w="120" w:type="dxa"/>
            </w:tcMar>
            <w:vAlign w:val="top"/>
          </w:tcPr>
          <w:p>
            <w:pPr>
              <w:spacing w:after="0"/>
            </w:pPr>
            <w:r>
              <w:rPr>
                <w:sz w:val="17"/>
              </w:rPr>
              <w:t>No popularity ranking of vulnerable-person locations</w:t>
            </w:r>
          </w:p>
        </w:tc>
      </w:tr>
      <w:tr>
        <w:trPr>
          <w:cantSplit/>
        </w:trPr>
        <w:tc>
          <w:tcPr>
            <w:tcW w:type="dxa" w:w="1700"/>
            <w:tcMar>
              <w:top w:w="80" w:type="dxa"/>
              <w:start w:w="120" w:type="dxa"/>
              <w:bottom w:w="80" w:type="dxa"/>
              <w:end w:w="120" w:type="dxa"/>
            </w:tcMar>
            <w:vAlign w:val="top"/>
          </w:tcPr>
          <w:p>
            <w:pPr>
              <w:spacing w:after="0"/>
            </w:pPr>
            <w:r>
              <w:rPr>
                <w:sz w:val="17"/>
              </w:rPr>
              <w:t>Sponsor loop</w:t>
            </w:r>
          </w:p>
        </w:tc>
        <w:tc>
          <w:tcPr>
            <w:tcW w:type="dxa" w:w="4460"/>
            <w:tcMar>
              <w:top w:w="80" w:type="dxa"/>
              <w:start w:w="120" w:type="dxa"/>
              <w:bottom w:w="80" w:type="dxa"/>
              <w:end w:w="120" w:type="dxa"/>
            </w:tcMar>
            <w:vAlign w:val="top"/>
          </w:tcPr>
          <w:p>
            <w:pPr>
              <w:spacing w:after="0"/>
            </w:pPr>
            <w:r>
              <w:rPr>
                <w:sz w:val="17"/>
              </w:rPr>
              <w:t>Public receipt → credible impact → renewal → more verification capacity</w:t>
            </w:r>
          </w:p>
        </w:tc>
        <w:tc>
          <w:tcPr>
            <w:tcW w:type="dxa" w:w="3200"/>
            <w:tcMar>
              <w:top w:w="80" w:type="dxa"/>
              <w:start w:w="120" w:type="dxa"/>
              <w:bottom w:w="80" w:type="dxa"/>
              <w:end w:w="120" w:type="dxa"/>
            </w:tcMar>
            <w:vAlign w:val="top"/>
          </w:tcPr>
          <w:p>
            <w:pPr>
              <w:spacing w:after="0"/>
            </w:pPr>
            <w:r>
              <w:rPr>
                <w:sz w:val="17"/>
              </w:rPr>
              <w:t>No sponsor control over service order or content</w:t>
            </w:r>
          </w:p>
        </w:tc>
      </w:tr>
      <w:tr>
        <w:trPr>
          <w:cantSplit/>
        </w:trPr>
        <w:tc>
          <w:tcPr>
            <w:tcW w:type="dxa" w:w="1700"/>
            <w:tcMar>
              <w:top w:w="80" w:type="dxa"/>
              <w:start w:w="120" w:type="dxa"/>
              <w:bottom w:w="80" w:type="dxa"/>
              <w:end w:w="120" w:type="dxa"/>
            </w:tcMar>
            <w:vAlign w:val="top"/>
          </w:tcPr>
          <w:p>
            <w:pPr>
              <w:spacing w:after="0"/>
            </w:pPr>
            <w:r>
              <w:rPr>
                <w:sz w:val="17"/>
              </w:rPr>
              <w:t>City loop</w:t>
            </w:r>
          </w:p>
        </w:tc>
        <w:tc>
          <w:tcPr>
            <w:tcW w:type="dxa" w:w="4460"/>
            <w:tcMar>
              <w:top w:w="80" w:type="dxa"/>
              <w:start w:w="120" w:type="dxa"/>
              <w:bottom w:w="80" w:type="dxa"/>
              <w:end w:w="120" w:type="dxa"/>
            </w:tcMar>
            <w:vAlign w:val="top"/>
          </w:tcPr>
          <w:p>
            <w:pPr>
              <w:spacing w:after="0"/>
            </w:pPr>
            <w:r>
              <w:rPr>
                <w:sz w:val="17"/>
              </w:rPr>
              <w:t>Portable schema → fast replication → shared tooling → lower unit cost</w:t>
            </w:r>
          </w:p>
        </w:tc>
        <w:tc>
          <w:tcPr>
            <w:tcW w:type="dxa" w:w="3200"/>
            <w:tcMar>
              <w:top w:w="80" w:type="dxa"/>
              <w:start w:w="120" w:type="dxa"/>
              <w:bottom w:w="80" w:type="dxa"/>
              <w:end w:w="120" w:type="dxa"/>
            </w:tcMar>
            <w:vAlign w:val="top"/>
          </w:tcPr>
          <w:p>
            <w:pPr>
              <w:spacing w:after="0"/>
            </w:pPr>
            <w:r>
              <w:rPr>
                <w:sz w:val="17"/>
              </w:rPr>
              <w:t>Local reviewers own local accuracy; no central beneficiary database</w:t>
            </w:r>
          </w:p>
        </w:tc>
      </w:tr>
      <w:tr>
        <w:trPr>
          <w:cantSplit/>
        </w:trPr>
        <w:tc>
          <w:tcPr>
            <w:tcW w:type="dxa" w:w="1700"/>
            <w:tcMar>
              <w:top w:w="80" w:type="dxa"/>
              <w:start w:w="120" w:type="dxa"/>
              <w:bottom w:w="80" w:type="dxa"/>
              <w:end w:w="120" w:type="dxa"/>
            </w:tcMar>
            <w:vAlign w:val="top"/>
          </w:tcPr>
          <w:p>
            <w:pPr>
              <w:spacing w:after="0"/>
            </w:pPr>
            <w:r>
              <w:rPr>
                <w:sz w:val="17"/>
              </w:rPr>
              <w:t>Referral loop</w:t>
            </w:r>
          </w:p>
        </w:tc>
        <w:tc>
          <w:tcPr>
            <w:tcW w:type="dxa" w:w="4460"/>
            <w:tcMar>
              <w:top w:w="80" w:type="dxa"/>
              <w:start w:w="120" w:type="dxa"/>
              <w:bottom w:w="80" w:type="dxa"/>
              <w:end w:w="120" w:type="dxa"/>
            </w:tcMar>
            <w:vAlign w:val="top"/>
          </w:tcPr>
          <w:p>
            <w:pPr>
              <w:spacing w:after="0"/>
            </w:pPr>
            <w:r>
              <w:rPr>
                <w:sz w:val="17"/>
              </w:rPr>
              <w:t>Citizen introduction → sponsor payment → chosen-charity impact → public thanks</w:t>
            </w:r>
          </w:p>
        </w:tc>
        <w:tc>
          <w:tcPr>
            <w:tcW w:type="dxa" w:w="3200"/>
            <w:tcMar>
              <w:top w:w="80" w:type="dxa"/>
              <w:start w:w="120" w:type="dxa"/>
              <w:bottom w:w="80" w:type="dxa"/>
              <w:end w:w="120" w:type="dxa"/>
            </w:tcMar>
            <w:vAlign w:val="top"/>
          </w:tcPr>
          <w:p>
            <w:pPr>
              <w:spacing w:after="0"/>
            </w:pPr>
            <w:r>
              <w:rPr>
                <w:sz w:val="17"/>
              </w:rPr>
              <w:t>No personal reward, downline or refugee attribution</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FF3CD"/>
          </w:tcPr>
          <w:p>
            <w:pPr>
              <w:spacing w:after="40"/>
            </w:pPr>
            <w:r>
              <w:rPr>
                <w:b/>
                <w:color w:val="0B2545"/>
              </w:rPr>
              <w:t>90-day commercial focus</w:t>
              <w:br/>
            </w:r>
            <w:r>
              <w:rPr>
                <w:sz w:val="19"/>
              </w:rPr>
              <w:t>Do not chase every revenue line at once. First prove sponsor willingness and listing freshness in Calais. Then sell the white-label launch pack to one neighbouring city and convert verification into a recurring SLA. Public data remains free; customers pay for deployment, assurance, timeliness and reporting.</w:t>
            </w:r>
          </w:p>
        </w:tc>
      </w:tr>
    </w:tbl>
    <w:p>
      <w:pPr>
        <w:pStyle w:val="TableSource"/>
      </w:pPr>
    </w:p>
    <w:p>
      <w:pPr>
        <w:pStyle w:val="Heading1"/>
      </w:pPr>
      <w:r>
        <w:t>11. Quality gates and definition of done</w:t>
      </w:r>
    </w:p>
    <w:tbl>
      <w:tblPr>
        <w:tblStyle w:val="TableGrid"/>
        <w:tblW w:type="dxa" w:w="9360"/>
        <w:jc w:val="center"/>
        <w:tblLayout w:type="fixed"/>
        <w:tblLook w:firstColumn="1" w:firstRow="1" w:lastColumn="0" w:lastRow="0" w:noHBand="0" w:noVBand="1" w:val="04A0"/>
        <w:tblInd w:w="120" w:type="dxa"/>
      </w:tblPr>
      <w:tblGrid>
        <w:gridCol w:w="1800"/>
        <w:gridCol w:w="2100"/>
        <w:gridCol w:w="5460"/>
      </w:tblGrid>
      <w:tr>
        <w:trPr>
          <w:tblHeader w:val="true"/>
          <w:cantSplit/>
        </w:trPr>
        <w:tc>
          <w:tcPr>
            <w:tcW w:type="dxa" w:w="1800"/>
            <w:shd w:fill="E8EEF5"/>
            <w:tcMar>
              <w:top w:w="80" w:type="dxa"/>
              <w:start w:w="120" w:type="dxa"/>
              <w:bottom w:w="80" w:type="dxa"/>
              <w:end w:w="120" w:type="dxa"/>
            </w:tcMar>
            <w:vAlign w:val="top"/>
          </w:tcPr>
          <w:p>
            <w:pPr>
              <w:spacing w:after="0"/>
            </w:pPr>
            <w:r>
              <w:rPr>
                <w:b/>
                <w:color w:val="0B2545"/>
                <w:sz w:val="18"/>
              </w:rPr>
              <w:t>Gate</w:t>
            </w:r>
          </w:p>
        </w:tc>
        <w:tc>
          <w:tcPr>
            <w:tcW w:type="dxa" w:w="2100"/>
            <w:shd w:fill="E8EEF5"/>
            <w:tcMar>
              <w:top w:w="80" w:type="dxa"/>
              <w:start w:w="120" w:type="dxa"/>
              <w:bottom w:w="80" w:type="dxa"/>
              <w:end w:w="120" w:type="dxa"/>
            </w:tcMar>
            <w:vAlign w:val="top"/>
          </w:tcPr>
          <w:p>
            <w:pPr>
              <w:spacing w:after="0"/>
            </w:pPr>
            <w:r>
              <w:rPr>
                <w:b/>
                <w:color w:val="0B2545"/>
                <w:sz w:val="18"/>
              </w:rPr>
              <w:t>Owner</w:t>
            </w:r>
          </w:p>
        </w:tc>
        <w:tc>
          <w:tcPr>
            <w:tcW w:type="dxa" w:w="5460"/>
            <w:shd w:fill="E8EEF5"/>
            <w:tcMar>
              <w:top w:w="80" w:type="dxa"/>
              <w:start w:w="120" w:type="dxa"/>
              <w:bottom w:w="80" w:type="dxa"/>
              <w:end w:w="120" w:type="dxa"/>
            </w:tcMar>
            <w:vAlign w:val="top"/>
          </w:tcPr>
          <w:p>
            <w:pPr>
              <w:spacing w:after="0"/>
            </w:pPr>
            <w:r>
              <w:rPr>
                <w:b/>
                <w:color w:val="0B2545"/>
                <w:sz w:val="18"/>
              </w:rPr>
              <w:t>Pass condition</w:t>
            </w:r>
          </w:p>
        </w:tc>
      </w:tr>
      <w:tr>
        <w:trPr>
          <w:cantSplit/>
        </w:trPr>
        <w:tc>
          <w:tcPr>
            <w:tcW w:type="dxa" w:w="1800"/>
            <w:tcMar>
              <w:top w:w="80" w:type="dxa"/>
              <w:start w:w="120" w:type="dxa"/>
              <w:bottom w:w="80" w:type="dxa"/>
              <w:end w:w="120" w:type="dxa"/>
            </w:tcMar>
            <w:vAlign w:val="top"/>
          </w:tcPr>
          <w:p>
            <w:pPr>
              <w:spacing w:after="0"/>
            </w:pPr>
            <w:r>
              <w:rPr>
                <w:sz w:val="17"/>
              </w:rPr>
              <w:t>G1 Safeguarding</w:t>
            </w:r>
          </w:p>
        </w:tc>
        <w:tc>
          <w:tcPr>
            <w:tcW w:type="dxa" w:w="2100"/>
            <w:tcMar>
              <w:top w:w="80" w:type="dxa"/>
              <w:start w:w="120" w:type="dxa"/>
              <w:bottom w:w="80" w:type="dxa"/>
              <w:end w:w="120" w:type="dxa"/>
            </w:tcMar>
            <w:vAlign w:val="top"/>
          </w:tcPr>
          <w:p>
            <w:pPr>
              <w:spacing w:after="0"/>
            </w:pPr>
            <w:r>
              <w:rPr>
                <w:sz w:val="17"/>
              </w:rPr>
              <w:t>Named association lead</w:t>
            </w:r>
          </w:p>
        </w:tc>
        <w:tc>
          <w:tcPr>
            <w:tcW w:type="dxa" w:w="5460"/>
            <w:tcMar>
              <w:top w:w="80" w:type="dxa"/>
              <w:start w:w="120" w:type="dxa"/>
              <w:bottom w:w="80" w:type="dxa"/>
              <w:end w:w="120" w:type="dxa"/>
            </w:tcMar>
            <w:vAlign w:val="top"/>
          </w:tcPr>
          <w:p>
            <w:pPr>
              <w:spacing w:after="0"/>
            </w:pPr>
            <w:r>
              <w:rPr>
                <w:sz w:val="17"/>
              </w:rPr>
              <w:t>No beneficiary recruitment, data sale, work inducement, exploitative imagery or token dependency</w:t>
            </w:r>
          </w:p>
        </w:tc>
      </w:tr>
      <w:tr>
        <w:trPr>
          <w:cantSplit/>
        </w:trPr>
        <w:tc>
          <w:tcPr>
            <w:tcW w:type="dxa" w:w="1800"/>
            <w:tcMar>
              <w:top w:w="80" w:type="dxa"/>
              <w:start w:w="120" w:type="dxa"/>
              <w:bottom w:w="80" w:type="dxa"/>
              <w:end w:w="120" w:type="dxa"/>
            </w:tcMar>
            <w:vAlign w:val="top"/>
          </w:tcPr>
          <w:p>
            <w:pPr>
              <w:spacing w:after="0"/>
            </w:pPr>
            <w:r>
              <w:rPr>
                <w:sz w:val="17"/>
              </w:rPr>
              <w:t>G2 Legal/tax</w:t>
            </w:r>
          </w:p>
        </w:tc>
        <w:tc>
          <w:tcPr>
            <w:tcW w:type="dxa" w:w="2100"/>
            <w:tcMar>
              <w:top w:w="80" w:type="dxa"/>
              <w:start w:w="120" w:type="dxa"/>
              <w:bottom w:w="80" w:type="dxa"/>
              <w:end w:w="120" w:type="dxa"/>
            </w:tcMar>
            <w:vAlign w:val="top"/>
          </w:tcPr>
          <w:p>
            <w:pPr>
              <w:spacing w:after="0"/>
            </w:pPr>
            <w:r>
              <w:rPr>
                <w:sz w:val="17"/>
              </w:rPr>
              <w:t>Fiscal host + accountant/counsel</w:t>
            </w:r>
          </w:p>
        </w:tc>
        <w:tc>
          <w:tcPr>
            <w:tcW w:type="dxa" w:w="5460"/>
            <w:tcMar>
              <w:top w:w="80" w:type="dxa"/>
              <w:start w:w="120" w:type="dxa"/>
              <w:bottom w:w="80" w:type="dxa"/>
              <w:end w:w="120" w:type="dxa"/>
            </w:tcMar>
            <w:vAlign w:val="top"/>
          </w:tcPr>
          <w:p>
            <w:pPr>
              <w:spacing w:after="0"/>
            </w:pPr>
            <w:r>
              <w:rPr>
                <w:sz w:val="17"/>
              </w:rPr>
              <w:t>Entity/payment/invoice/VAT/donation route confirmed in writing</w:t>
            </w:r>
          </w:p>
        </w:tc>
      </w:tr>
      <w:tr>
        <w:trPr>
          <w:cantSplit/>
        </w:trPr>
        <w:tc>
          <w:tcPr>
            <w:tcW w:type="dxa" w:w="1800"/>
            <w:tcMar>
              <w:top w:w="80" w:type="dxa"/>
              <w:start w:w="120" w:type="dxa"/>
              <w:bottom w:w="80" w:type="dxa"/>
              <w:end w:w="120" w:type="dxa"/>
            </w:tcMar>
            <w:vAlign w:val="top"/>
          </w:tcPr>
          <w:p>
            <w:pPr>
              <w:spacing w:after="0"/>
            </w:pPr>
            <w:r>
              <w:rPr>
                <w:sz w:val="17"/>
              </w:rPr>
              <w:t>G3 Content</w:t>
            </w:r>
          </w:p>
        </w:tc>
        <w:tc>
          <w:tcPr>
            <w:tcW w:type="dxa" w:w="2100"/>
            <w:tcMar>
              <w:top w:w="80" w:type="dxa"/>
              <w:start w:w="120" w:type="dxa"/>
              <w:bottom w:w="80" w:type="dxa"/>
              <w:end w:w="120" w:type="dxa"/>
            </w:tcMar>
            <w:vAlign w:val="top"/>
          </w:tcPr>
          <w:p>
            <w:pPr>
              <w:spacing w:after="0"/>
            </w:pPr>
            <w:r>
              <w:rPr>
                <w:sz w:val="17"/>
              </w:rPr>
              <w:t>Two provider reviewers</w:t>
            </w:r>
          </w:p>
        </w:tc>
        <w:tc>
          <w:tcPr>
            <w:tcW w:type="dxa" w:w="5460"/>
            <w:tcMar>
              <w:top w:w="80" w:type="dxa"/>
              <w:start w:w="120" w:type="dxa"/>
              <w:bottom w:w="80" w:type="dxa"/>
              <w:end w:w="120" w:type="dxa"/>
            </w:tcMar>
            <w:vAlign w:val="top"/>
          </w:tcPr>
          <w:p>
            <w:pPr>
              <w:spacing w:after="0"/>
            </w:pPr>
            <w:r>
              <w:rPr>
                <w:sz w:val="17"/>
              </w:rPr>
              <w:t>Top 15 and every emergency listing confirmed; others labelled unverified</w:t>
            </w:r>
          </w:p>
        </w:tc>
      </w:tr>
      <w:tr>
        <w:trPr>
          <w:cantSplit/>
        </w:trPr>
        <w:tc>
          <w:tcPr>
            <w:tcW w:type="dxa" w:w="1800"/>
            <w:tcMar>
              <w:top w:w="80" w:type="dxa"/>
              <w:start w:w="120" w:type="dxa"/>
              <w:bottom w:w="80" w:type="dxa"/>
              <w:end w:w="120" w:type="dxa"/>
            </w:tcMar>
            <w:vAlign w:val="top"/>
          </w:tcPr>
          <w:p>
            <w:pPr>
              <w:spacing w:after="0"/>
            </w:pPr>
            <w:r>
              <w:rPr>
                <w:sz w:val="17"/>
              </w:rPr>
              <w:t>G4 Translation</w:t>
            </w:r>
          </w:p>
        </w:tc>
        <w:tc>
          <w:tcPr>
            <w:tcW w:type="dxa" w:w="2100"/>
            <w:tcMar>
              <w:top w:w="80" w:type="dxa"/>
              <w:start w:w="120" w:type="dxa"/>
              <w:bottom w:w="80" w:type="dxa"/>
              <w:end w:w="120" w:type="dxa"/>
            </w:tcMar>
            <w:vAlign w:val="top"/>
          </w:tcPr>
          <w:p>
            <w:pPr>
              <w:spacing w:after="0"/>
            </w:pPr>
            <w:r>
              <w:rPr>
                <w:sz w:val="17"/>
              </w:rPr>
              <w:t>Human reviewers</w:t>
            </w:r>
          </w:p>
        </w:tc>
        <w:tc>
          <w:tcPr>
            <w:tcW w:type="dxa" w:w="5460"/>
            <w:tcMar>
              <w:top w:w="80" w:type="dxa"/>
              <w:start w:w="120" w:type="dxa"/>
              <w:bottom w:w="80" w:type="dxa"/>
              <w:end w:w="120" w:type="dxa"/>
            </w:tcMar>
            <w:vAlign w:val="top"/>
          </w:tcPr>
          <w:p>
            <w:pPr>
              <w:spacing w:after="0"/>
            </w:pPr>
            <w:r>
              <w:rPr>
                <w:sz w:val="17"/>
              </w:rPr>
              <w:t>Meaning, phone numbers, times and eligibility match canonical French</w:t>
            </w:r>
          </w:p>
        </w:tc>
      </w:tr>
      <w:tr>
        <w:trPr>
          <w:cantSplit/>
        </w:trPr>
        <w:tc>
          <w:tcPr>
            <w:tcW w:type="dxa" w:w="1800"/>
            <w:tcMar>
              <w:top w:w="80" w:type="dxa"/>
              <w:start w:w="120" w:type="dxa"/>
              <w:bottom w:w="80" w:type="dxa"/>
              <w:end w:w="120" w:type="dxa"/>
            </w:tcMar>
            <w:vAlign w:val="top"/>
          </w:tcPr>
          <w:p>
            <w:pPr>
              <w:spacing w:after="0"/>
            </w:pPr>
            <w:r>
              <w:rPr>
                <w:sz w:val="17"/>
              </w:rPr>
              <w:t>G5 Privacy/security</w:t>
            </w:r>
          </w:p>
        </w:tc>
        <w:tc>
          <w:tcPr>
            <w:tcW w:type="dxa" w:w="2100"/>
            <w:tcMar>
              <w:top w:w="80" w:type="dxa"/>
              <w:start w:w="120" w:type="dxa"/>
              <w:bottom w:w="80" w:type="dxa"/>
              <w:end w:w="120" w:type="dxa"/>
            </w:tcMar>
            <w:vAlign w:val="top"/>
          </w:tcPr>
          <w:p>
            <w:pPr>
              <w:spacing w:after="0"/>
            </w:pPr>
            <w:r>
              <w:rPr>
                <w:sz w:val="17"/>
              </w:rPr>
              <w:t>Technical owner</w:t>
            </w:r>
          </w:p>
        </w:tc>
        <w:tc>
          <w:tcPr>
            <w:tcW w:type="dxa" w:w="5460"/>
            <w:tcMar>
              <w:top w:w="80" w:type="dxa"/>
              <w:start w:w="120" w:type="dxa"/>
              <w:bottom w:w="80" w:type="dxa"/>
              <w:end w:w="120" w:type="dxa"/>
            </w:tcMar>
            <w:vAlign w:val="top"/>
          </w:tcPr>
          <w:p>
            <w:pPr>
              <w:spacing w:after="0"/>
            </w:pPr>
            <w:r>
              <w:rPr>
                <w:sz w:val="17"/>
              </w:rPr>
              <w:t>Threat model, form test, headers, dependency and secret checks pass</w:t>
            </w:r>
          </w:p>
        </w:tc>
      </w:tr>
      <w:tr>
        <w:trPr>
          <w:cantSplit/>
        </w:trPr>
        <w:tc>
          <w:tcPr>
            <w:tcW w:type="dxa" w:w="1800"/>
            <w:tcMar>
              <w:top w:w="80" w:type="dxa"/>
              <w:start w:w="120" w:type="dxa"/>
              <w:bottom w:w="80" w:type="dxa"/>
              <w:end w:w="120" w:type="dxa"/>
            </w:tcMar>
            <w:vAlign w:val="top"/>
          </w:tcPr>
          <w:p>
            <w:pPr>
              <w:spacing w:after="0"/>
            </w:pPr>
            <w:r>
              <w:rPr>
                <w:sz w:val="17"/>
              </w:rPr>
              <w:t>G6 Usability</w:t>
            </w:r>
          </w:p>
        </w:tc>
        <w:tc>
          <w:tcPr>
            <w:tcW w:type="dxa" w:w="2100"/>
            <w:tcMar>
              <w:top w:w="80" w:type="dxa"/>
              <w:start w:w="120" w:type="dxa"/>
              <w:bottom w:w="80" w:type="dxa"/>
              <w:end w:w="120" w:type="dxa"/>
            </w:tcMar>
            <w:vAlign w:val="top"/>
          </w:tcPr>
          <w:p>
            <w:pPr>
              <w:spacing w:after="0"/>
            </w:pPr>
            <w:r>
              <w:rPr>
                <w:sz w:val="17"/>
              </w:rPr>
              <w:t>Partner facilitator</w:t>
            </w:r>
          </w:p>
        </w:tc>
        <w:tc>
          <w:tcPr>
            <w:tcW w:type="dxa" w:w="5460"/>
            <w:tcMar>
              <w:top w:w="80" w:type="dxa"/>
              <w:start w:w="120" w:type="dxa"/>
              <w:bottom w:w="80" w:type="dxa"/>
              <w:end w:w="120" w:type="dxa"/>
            </w:tcMar>
            <w:vAlign w:val="top"/>
          </w:tcPr>
          <w:p>
            <w:pPr>
              <w:spacing w:after="0"/>
            </w:pPr>
            <w:r>
              <w:rPr>
                <w:sz w:val="17"/>
              </w:rPr>
              <w:t>Five assisted mobile tests; at least four users find a target service within 60 seconds</w:t>
            </w:r>
          </w:p>
        </w:tc>
      </w:tr>
      <w:tr>
        <w:trPr>
          <w:cantSplit/>
        </w:trPr>
        <w:tc>
          <w:tcPr>
            <w:tcW w:type="dxa" w:w="1800"/>
            <w:tcMar>
              <w:top w:w="80" w:type="dxa"/>
              <w:start w:w="120" w:type="dxa"/>
              <w:bottom w:w="80" w:type="dxa"/>
              <w:end w:w="120" w:type="dxa"/>
            </w:tcMar>
            <w:vAlign w:val="top"/>
          </w:tcPr>
          <w:p>
            <w:pPr>
              <w:spacing w:after="0"/>
            </w:pPr>
            <w:r>
              <w:rPr>
                <w:sz w:val="17"/>
              </w:rPr>
              <w:t>G7 Commercial</w:t>
            </w:r>
          </w:p>
        </w:tc>
        <w:tc>
          <w:tcPr>
            <w:tcW w:type="dxa" w:w="2100"/>
            <w:tcMar>
              <w:top w:w="80" w:type="dxa"/>
              <w:start w:w="120" w:type="dxa"/>
              <w:bottom w:w="80" w:type="dxa"/>
              <w:end w:w="120" w:type="dxa"/>
            </w:tcMar>
            <w:vAlign w:val="top"/>
          </w:tcPr>
          <w:p>
            <w:pPr>
              <w:spacing w:after="0"/>
            </w:pPr>
            <w:r>
              <w:rPr>
                <w:sz w:val="17"/>
              </w:rPr>
              <w:t>Founder</w:t>
            </w:r>
          </w:p>
        </w:tc>
        <w:tc>
          <w:tcPr>
            <w:tcW w:type="dxa" w:w="5460"/>
            <w:tcMar>
              <w:top w:w="80" w:type="dxa"/>
              <w:start w:w="120" w:type="dxa"/>
              <w:bottom w:w="80" w:type="dxa"/>
              <w:end w:w="120" w:type="dxa"/>
            </w:tcMar>
            <w:vAlign w:val="top"/>
          </w:tcPr>
          <w:p>
            <w:pPr>
              <w:spacing w:after="0"/>
            </w:pPr>
            <w:r>
              <w:rPr>
                <w:sz w:val="17"/>
              </w:rPr>
              <w:t>90-second offer, order summary, proof page, evidence pack, consent/expiry, badge and card/SEPA/Base terms pass</w:t>
            </w:r>
          </w:p>
        </w:tc>
      </w:tr>
      <w:tr>
        <w:trPr>
          <w:cantSplit/>
        </w:trPr>
        <w:tc>
          <w:tcPr>
            <w:tcW w:type="dxa" w:w="1800"/>
            <w:tcMar>
              <w:top w:w="80" w:type="dxa"/>
              <w:start w:w="120" w:type="dxa"/>
              <w:bottom w:w="80" w:type="dxa"/>
              <w:end w:w="120" w:type="dxa"/>
            </w:tcMar>
            <w:vAlign w:val="top"/>
          </w:tcPr>
          <w:p>
            <w:pPr>
              <w:spacing w:after="0"/>
            </w:pPr>
            <w:r>
              <w:rPr>
                <w:sz w:val="17"/>
              </w:rPr>
              <w:t>G7A Fiat</w:t>
            </w:r>
          </w:p>
        </w:tc>
        <w:tc>
          <w:tcPr>
            <w:tcW w:type="dxa" w:w="2100"/>
            <w:tcMar>
              <w:top w:w="80" w:type="dxa"/>
              <w:start w:w="120" w:type="dxa"/>
              <w:bottom w:w="80" w:type="dxa"/>
              <w:end w:w="120" w:type="dxa"/>
            </w:tcMar>
            <w:vAlign w:val="top"/>
          </w:tcPr>
          <w:p>
            <w:pPr>
              <w:spacing w:after="0"/>
            </w:pPr>
            <w:r>
              <w:rPr>
                <w:sz w:val="17"/>
              </w:rPr>
              <w:t>Operator + technical owner</w:t>
            </w:r>
          </w:p>
        </w:tc>
        <w:tc>
          <w:tcPr>
            <w:tcW w:type="dxa" w:w="5460"/>
            <w:tcMar>
              <w:top w:w="80" w:type="dxa"/>
              <w:start w:w="120" w:type="dxa"/>
              <w:bottom w:w="80" w:type="dxa"/>
              <w:end w:w="120" w:type="dxa"/>
            </w:tcMar>
            <w:vAlign w:val="top"/>
          </w:tcPr>
          <w:p>
            <w:pPr>
              <w:spacing w:after="0"/>
            </w:pPr>
            <w:r>
              <w:rPr>
                <w:sz w:val="17"/>
              </w:rPr>
              <w:t>Hosted checkout, SCA path, signed webhooks, reconciliation, refund and chargeback drills pass</w:t>
            </w:r>
          </w:p>
        </w:tc>
      </w:tr>
      <w:tr>
        <w:trPr>
          <w:cantSplit/>
        </w:trPr>
        <w:tc>
          <w:tcPr>
            <w:tcW w:type="dxa" w:w="1800"/>
            <w:tcMar>
              <w:top w:w="80" w:type="dxa"/>
              <w:start w:w="120" w:type="dxa"/>
              <w:bottom w:w="80" w:type="dxa"/>
              <w:end w:w="120" w:type="dxa"/>
            </w:tcMar>
            <w:vAlign w:val="top"/>
          </w:tcPr>
          <w:p>
            <w:pPr>
              <w:spacing w:after="0"/>
            </w:pPr>
            <w:r>
              <w:rPr>
                <w:sz w:val="17"/>
              </w:rPr>
              <w:t>G7B Activities</w:t>
            </w:r>
          </w:p>
        </w:tc>
        <w:tc>
          <w:tcPr>
            <w:tcW w:type="dxa" w:w="2100"/>
            <w:tcMar>
              <w:top w:w="80" w:type="dxa"/>
              <w:start w:w="120" w:type="dxa"/>
              <w:bottom w:w="80" w:type="dxa"/>
              <w:end w:w="120" w:type="dxa"/>
            </w:tcMar>
            <w:vAlign w:val="top"/>
          </w:tcPr>
          <w:p>
            <w:pPr>
              <w:spacing w:after="0"/>
            </w:pPr>
            <w:r>
              <w:rPr>
                <w:sz w:val="17"/>
              </w:rPr>
              <w:t>Association/operator + labor adviser</w:t>
            </w:r>
          </w:p>
        </w:tc>
        <w:tc>
          <w:tcPr>
            <w:tcW w:type="dxa" w:w="5460"/>
            <w:tcMar>
              <w:top w:w="80" w:type="dxa"/>
              <w:start w:w="120" w:type="dxa"/>
              <w:bottom w:w="80" w:type="dxa"/>
              <w:end w:w="120" w:type="dxa"/>
            </w:tcMar>
            <w:vAlign w:val="top"/>
          </w:tcPr>
          <w:p>
            <w:pPr>
              <w:spacing w:after="0"/>
            </w:pPr>
            <w:r>
              <w:rPr>
                <w:sz w:val="17"/>
              </w:rPr>
              <w:t>Idea Lab may launch; every paid pilot has eligibility, contract/invoice, sector, insurance and complaint gates</w:t>
            </w:r>
          </w:p>
        </w:tc>
      </w:tr>
      <w:tr>
        <w:trPr>
          <w:cantSplit/>
        </w:trPr>
        <w:tc>
          <w:tcPr>
            <w:tcW w:type="dxa" w:w="1800"/>
            <w:tcMar>
              <w:top w:w="80" w:type="dxa"/>
              <w:start w:w="120" w:type="dxa"/>
              <w:bottom w:w="80" w:type="dxa"/>
              <w:end w:w="120" w:type="dxa"/>
            </w:tcMar>
            <w:vAlign w:val="top"/>
          </w:tcPr>
          <w:p>
            <w:pPr>
              <w:spacing w:after="0"/>
            </w:pPr>
            <w:r>
              <w:rPr>
                <w:sz w:val="17"/>
              </w:rPr>
              <w:t>G7C Token exclusion</w:t>
            </w:r>
          </w:p>
        </w:tc>
        <w:tc>
          <w:tcPr>
            <w:tcW w:type="dxa" w:w="2100"/>
            <w:tcMar>
              <w:top w:w="80" w:type="dxa"/>
              <w:start w:w="120" w:type="dxa"/>
              <w:bottom w:w="80" w:type="dxa"/>
              <w:end w:w="120" w:type="dxa"/>
            </w:tcMar>
            <w:vAlign w:val="top"/>
          </w:tcPr>
          <w:p>
            <w:pPr>
              <w:spacing w:after="0"/>
            </w:pPr>
            <w:r>
              <w:rPr>
                <w:sz w:val="17"/>
              </w:rPr>
              <w:t>Technical owner + independent reviewer</w:t>
            </w:r>
          </w:p>
        </w:tc>
        <w:tc>
          <w:tcPr>
            <w:tcW w:type="dxa" w:w="5460"/>
            <w:tcMar>
              <w:top w:w="80" w:type="dxa"/>
              <w:start w:w="120" w:type="dxa"/>
              <w:bottom w:w="80" w:type="dxa"/>
              <w:end w:w="120" w:type="dxa"/>
            </w:tcMar>
            <w:vAlign w:val="top"/>
          </w:tcPr>
          <w:p>
            <w:pPr>
              <w:spacing w:after="0"/>
            </w:pPr>
            <w:r>
              <w:rPr>
                <w:sz w:val="17"/>
              </w:rPr>
              <w:t>No transferable activity token or DEX/burn/buyback/redemption code; CI exclusion tests pass</w:t>
            </w:r>
          </w:p>
        </w:tc>
      </w:tr>
      <w:tr>
        <w:trPr>
          <w:cantSplit/>
        </w:trPr>
        <w:tc>
          <w:tcPr>
            <w:tcW w:type="dxa" w:w="1800"/>
            <w:tcMar>
              <w:top w:w="80" w:type="dxa"/>
              <w:start w:w="120" w:type="dxa"/>
              <w:bottom w:w="80" w:type="dxa"/>
              <w:end w:w="120" w:type="dxa"/>
            </w:tcMar>
            <w:vAlign w:val="top"/>
          </w:tcPr>
          <w:p>
            <w:pPr>
              <w:spacing w:after="0"/>
            </w:pPr>
            <w:r>
              <w:rPr>
                <w:sz w:val="17"/>
              </w:rPr>
              <w:t>G8 Contract</w:t>
            </w:r>
          </w:p>
        </w:tc>
        <w:tc>
          <w:tcPr>
            <w:tcW w:type="dxa" w:w="2100"/>
            <w:tcMar>
              <w:top w:w="80" w:type="dxa"/>
              <w:start w:w="120" w:type="dxa"/>
              <w:bottom w:w="80" w:type="dxa"/>
              <w:end w:w="120" w:type="dxa"/>
            </w:tcMar>
            <w:vAlign w:val="top"/>
          </w:tcPr>
          <w:p>
            <w:pPr>
              <w:spacing w:after="0"/>
            </w:pPr>
            <w:r>
              <w:rPr>
                <w:sz w:val="17"/>
              </w:rPr>
              <w:t>Independent reviewer</w:t>
            </w:r>
          </w:p>
        </w:tc>
        <w:tc>
          <w:tcPr>
            <w:tcW w:type="dxa" w:w="5460"/>
            <w:tcMar>
              <w:top w:w="80" w:type="dxa"/>
              <w:start w:w="120" w:type="dxa"/>
              <w:bottom w:w="80" w:type="dxa"/>
              <w:end w:w="120" w:type="dxa"/>
            </w:tcMar>
            <w:vAlign w:val="top"/>
          </w:tcPr>
          <w:p>
            <w:pPr>
              <w:spacing w:after="0"/>
            </w:pPr>
            <w:r>
              <w:rPr>
                <w:sz w:val="17"/>
              </w:rPr>
              <w:t>No critical/high finding; invariants, fuzzing, static analysis and reproducible deployment pass</w:t>
            </w:r>
          </w:p>
        </w:tc>
      </w:tr>
      <w:tr>
        <w:trPr>
          <w:cantSplit/>
        </w:trPr>
        <w:tc>
          <w:tcPr>
            <w:tcW w:type="dxa" w:w="1800"/>
            <w:tcMar>
              <w:top w:w="80" w:type="dxa"/>
              <w:start w:w="120" w:type="dxa"/>
              <w:bottom w:w="80" w:type="dxa"/>
              <w:end w:w="120" w:type="dxa"/>
            </w:tcMar>
            <w:vAlign w:val="top"/>
          </w:tcPr>
          <w:p>
            <w:pPr>
              <w:spacing w:after="0"/>
            </w:pPr>
            <w:r>
              <w:rPr>
                <w:sz w:val="17"/>
              </w:rPr>
              <w:t>G9 Wallet</w:t>
            </w:r>
          </w:p>
        </w:tc>
        <w:tc>
          <w:tcPr>
            <w:tcW w:type="dxa" w:w="2100"/>
            <w:tcMar>
              <w:top w:w="80" w:type="dxa"/>
              <w:start w:w="120" w:type="dxa"/>
              <w:bottom w:w="80" w:type="dxa"/>
              <w:end w:w="120" w:type="dxa"/>
            </w:tcMar>
            <w:vAlign w:val="top"/>
          </w:tcPr>
          <w:p>
            <w:pPr>
              <w:spacing w:after="0"/>
            </w:pPr>
            <w:r>
              <w:rPr>
                <w:sz w:val="17"/>
              </w:rPr>
              <w:t>Founder + witness</w:t>
            </w:r>
          </w:p>
        </w:tc>
        <w:tc>
          <w:tcPr>
            <w:tcW w:type="dxa" w:w="5460"/>
            <w:tcMar>
              <w:top w:w="80" w:type="dxa"/>
              <w:start w:w="120" w:type="dxa"/>
              <w:bottom w:w="80" w:type="dxa"/>
              <w:end w:w="120" w:type="dxa"/>
            </w:tcMar>
            <w:vAlign w:val="top"/>
          </w:tcPr>
          <w:p>
            <w:pPr>
              <w:spacing w:after="0"/>
            </w:pPr>
            <w:r>
              <w:rPr>
                <w:sz w:val="17"/>
              </w:rPr>
              <w:t>Checksummed adminWallet, signed ownership proof, recovery plan and test transfer confirmed</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E6F2EA"/>
          </w:tcPr>
          <w:p>
            <w:pPr>
              <w:spacing w:after="40"/>
            </w:pPr>
            <w:r>
              <w:rPr>
                <w:b/>
                <w:color w:val="0B2545"/>
              </w:rPr>
              <w:t>Definition of done</w:t>
              <w:br/>
            </w:r>
            <w:r>
              <w:rPr>
                <w:sz w:val="19"/>
              </w:rPr>
              <w:t>Day 14 is complete only when the public guide is free and usable without a wallet, critical listings are verified, three reviewed languages are live, two independent mirrors work, card and SEPA sandbox journeys pass, the immutable router is verified on Base, at least one permitted payment lane has produced a reconciled sponsorship receipt and evidence pack, reversals are tested, sponsor influence is separated from service information, the Activity Idea Lab is safe to accept proposals, no paid activity is live without operator approval, transferable activity-token/DEX code is absent, the €49 cap is evidenced and the public revenue/cost/donation ledger is ready.</w:t>
            </w:r>
          </w:p>
        </w:tc>
      </w:tr>
    </w:tbl>
    <w:p>
      <w:pPr>
        <w:pStyle w:val="TableSource"/>
      </w:pPr>
    </w:p>
    <w:p>
      <w:pPr>
        <w:pStyle w:val="Heading1"/>
      </w:pPr>
      <w:r>
        <w:t>12. Codex execution sheet</w:t>
      </w:r>
    </w:p>
    <w:p>
      <w:pPr>
        <w:pStyle w:val="Heading2"/>
      </w:pPr>
      <w:r>
        <w:t>12.1 Inputs Codex needs on day 1</w:t>
      </w:r>
    </w:p>
    <w:tbl>
      <w:tblPr>
        <w:tblStyle w:val="TableGrid"/>
        <w:tblW w:type="dxa" w:w="9360"/>
        <w:jc w:val="center"/>
        <w:tblLayout w:type="fixed"/>
        <w:tblLook w:firstColumn="1" w:firstRow="1" w:lastColumn="0" w:lastRow="0" w:noHBand="0" w:noVBand="1" w:val="04A0"/>
        <w:tblInd w:w="120" w:type="dxa"/>
      </w:tblPr>
      <w:tblGrid>
        <w:gridCol w:w="3600"/>
        <w:gridCol w:w="3300"/>
        <w:gridCol w:w="2460"/>
      </w:tblGrid>
      <w:tr>
        <w:trPr>
          <w:tblHeader w:val="true"/>
          <w:cantSplit/>
        </w:trPr>
        <w:tc>
          <w:tcPr>
            <w:tcW w:type="dxa" w:w="3600"/>
            <w:shd w:fill="E8EEF5"/>
            <w:tcMar>
              <w:top w:w="80" w:type="dxa"/>
              <w:start w:w="120" w:type="dxa"/>
              <w:bottom w:w="80" w:type="dxa"/>
              <w:end w:w="120" w:type="dxa"/>
            </w:tcMar>
            <w:vAlign w:val="top"/>
          </w:tcPr>
          <w:p>
            <w:pPr>
              <w:spacing w:after="0"/>
            </w:pPr>
            <w:r>
              <w:rPr>
                <w:b/>
                <w:color w:val="0B2545"/>
                <w:sz w:val="18"/>
              </w:rPr>
              <w:t>Input</w:t>
            </w:r>
          </w:p>
        </w:tc>
        <w:tc>
          <w:tcPr>
            <w:tcW w:type="dxa" w:w="3300"/>
            <w:shd w:fill="E8EEF5"/>
            <w:tcMar>
              <w:top w:w="80" w:type="dxa"/>
              <w:start w:w="120" w:type="dxa"/>
              <w:bottom w:w="80" w:type="dxa"/>
              <w:end w:w="120" w:type="dxa"/>
            </w:tcMar>
            <w:vAlign w:val="top"/>
          </w:tcPr>
          <w:p>
            <w:pPr>
              <w:spacing w:after="0"/>
            </w:pPr>
            <w:r>
              <w:rPr>
                <w:b/>
                <w:color w:val="0B2545"/>
                <w:sz w:val="18"/>
              </w:rPr>
              <w:t>Format</w:t>
            </w:r>
          </w:p>
        </w:tc>
        <w:tc>
          <w:tcPr>
            <w:tcW w:type="dxa" w:w="2460"/>
            <w:shd w:fill="E8EEF5"/>
            <w:tcMar>
              <w:top w:w="80" w:type="dxa"/>
              <w:start w:w="120" w:type="dxa"/>
              <w:bottom w:w="80" w:type="dxa"/>
              <w:end w:w="120" w:type="dxa"/>
            </w:tcMar>
            <w:vAlign w:val="top"/>
          </w:tcPr>
          <w:p>
            <w:pPr>
              <w:spacing w:after="0"/>
            </w:pPr>
            <w:r>
              <w:rPr>
                <w:b/>
                <w:color w:val="0B2545"/>
                <w:sz w:val="18"/>
              </w:rPr>
              <w:t>Blocking?</w:t>
            </w:r>
          </w:p>
        </w:tc>
      </w:tr>
      <w:tr>
        <w:trPr>
          <w:cantSplit/>
        </w:trPr>
        <w:tc>
          <w:tcPr>
            <w:tcW w:type="dxa" w:w="3600"/>
            <w:tcMar>
              <w:top w:w="80" w:type="dxa"/>
              <w:start w:w="120" w:type="dxa"/>
              <w:bottom w:w="80" w:type="dxa"/>
              <w:end w:w="120" w:type="dxa"/>
            </w:tcMar>
            <w:vAlign w:val="top"/>
          </w:tcPr>
          <w:p>
            <w:pPr>
              <w:spacing w:after="0"/>
            </w:pPr>
            <w:r>
              <w:rPr>
                <w:sz w:val="17"/>
              </w:rPr>
              <w:t>Admin wallet</w:t>
            </w:r>
          </w:p>
        </w:tc>
        <w:tc>
          <w:tcPr>
            <w:tcW w:type="dxa" w:w="3300"/>
            <w:tcMar>
              <w:top w:w="80" w:type="dxa"/>
              <w:start w:w="120" w:type="dxa"/>
              <w:bottom w:w="80" w:type="dxa"/>
              <w:end w:w="120" w:type="dxa"/>
            </w:tcMar>
            <w:vAlign w:val="top"/>
          </w:tcPr>
          <w:p>
            <w:pPr>
              <w:spacing w:after="0"/>
            </w:pPr>
            <w:r>
              <w:rPr>
                <w:sz w:val="17"/>
              </w:rPr>
              <w:t>Checksummed public 0x address plus signed ownership proof</w:t>
            </w:r>
          </w:p>
        </w:tc>
        <w:tc>
          <w:tcPr>
            <w:tcW w:type="dxa" w:w="2460"/>
            <w:tcMar>
              <w:top w:w="80" w:type="dxa"/>
              <w:start w:w="120" w:type="dxa"/>
              <w:bottom w:w="80" w:type="dxa"/>
              <w:end w:w="120" w:type="dxa"/>
            </w:tcMar>
            <w:vAlign w:val="top"/>
          </w:tcPr>
          <w:p>
            <w:pPr>
              <w:spacing w:after="0"/>
            </w:pPr>
            <w:r>
              <w:rPr>
                <w:sz w:val="17"/>
              </w:rPr>
              <w:t>Blocks mainnet deployment; never provide private key</w:t>
            </w:r>
          </w:p>
        </w:tc>
      </w:tr>
      <w:tr>
        <w:trPr>
          <w:cantSplit/>
        </w:trPr>
        <w:tc>
          <w:tcPr>
            <w:tcW w:type="dxa" w:w="3600"/>
            <w:tcMar>
              <w:top w:w="80" w:type="dxa"/>
              <w:start w:w="120" w:type="dxa"/>
              <w:bottom w:w="80" w:type="dxa"/>
              <w:end w:w="120" w:type="dxa"/>
            </w:tcMar>
            <w:vAlign w:val="top"/>
          </w:tcPr>
          <w:p>
            <w:pPr>
              <w:spacing w:after="0"/>
            </w:pPr>
            <w:r>
              <w:rPr>
                <w:sz w:val="17"/>
              </w:rPr>
              <w:t>Economic controller and accounting route</w:t>
            </w:r>
          </w:p>
        </w:tc>
        <w:tc>
          <w:tcPr>
            <w:tcW w:type="dxa" w:w="3300"/>
            <w:tcMar>
              <w:top w:w="80" w:type="dxa"/>
              <w:start w:w="120" w:type="dxa"/>
              <w:bottom w:w="80" w:type="dxa"/>
              <w:end w:w="120" w:type="dxa"/>
            </w:tcMar>
            <w:vAlign w:val="top"/>
          </w:tcPr>
          <w:p>
            <w:pPr>
              <w:spacing w:after="0"/>
            </w:pPr>
            <w:r>
              <w:rPr>
                <w:sz w:val="17"/>
              </w:rPr>
              <w:t>Written confirmation</w:t>
            </w:r>
          </w:p>
        </w:tc>
        <w:tc>
          <w:tcPr>
            <w:tcW w:type="dxa" w:w="2460"/>
            <w:tcMar>
              <w:top w:w="80" w:type="dxa"/>
              <w:start w:w="120" w:type="dxa"/>
              <w:bottom w:w="80" w:type="dxa"/>
              <w:end w:w="120" w:type="dxa"/>
            </w:tcMar>
            <w:vAlign w:val="top"/>
          </w:tcPr>
          <w:p>
            <w:pPr>
              <w:spacing w:after="0"/>
            </w:pPr>
            <w:r>
              <w:rPr>
                <w:sz w:val="17"/>
              </w:rPr>
              <w:t>Blocks payments, not prototype</w:t>
            </w:r>
          </w:p>
        </w:tc>
      </w:tr>
      <w:tr>
        <w:trPr>
          <w:cantSplit/>
        </w:trPr>
        <w:tc>
          <w:tcPr>
            <w:tcW w:type="dxa" w:w="3600"/>
            <w:tcMar>
              <w:top w:w="80" w:type="dxa"/>
              <w:start w:w="120" w:type="dxa"/>
              <w:bottom w:w="80" w:type="dxa"/>
              <w:end w:w="120" w:type="dxa"/>
            </w:tcMar>
            <w:vAlign w:val="top"/>
          </w:tcPr>
          <w:p>
            <w:pPr>
              <w:spacing w:after="0"/>
            </w:pPr>
            <w:r>
              <w:rPr>
                <w:sz w:val="17"/>
              </w:rPr>
              <w:t>Two listing-verification contacts</w:t>
            </w:r>
          </w:p>
        </w:tc>
        <w:tc>
          <w:tcPr>
            <w:tcW w:type="dxa" w:w="3300"/>
            <w:tcMar>
              <w:top w:w="80" w:type="dxa"/>
              <w:start w:w="120" w:type="dxa"/>
              <w:bottom w:w="80" w:type="dxa"/>
              <w:end w:w="120" w:type="dxa"/>
            </w:tcMar>
            <w:vAlign w:val="top"/>
          </w:tcPr>
          <w:p>
            <w:pPr>
              <w:spacing w:after="0"/>
            </w:pPr>
            <w:r>
              <w:rPr>
                <w:sz w:val="17"/>
              </w:rPr>
              <w:t>Email/WhatsApp with consent</w:t>
            </w:r>
          </w:p>
        </w:tc>
        <w:tc>
          <w:tcPr>
            <w:tcW w:type="dxa" w:w="2460"/>
            <w:tcMar>
              <w:top w:w="80" w:type="dxa"/>
              <w:start w:w="120" w:type="dxa"/>
              <w:bottom w:w="80" w:type="dxa"/>
              <w:end w:w="120" w:type="dxa"/>
            </w:tcMar>
            <w:vAlign w:val="top"/>
          </w:tcPr>
          <w:p>
            <w:pPr>
              <w:spacing w:after="0"/>
            </w:pPr>
            <w:r>
              <w:rPr>
                <w:sz w:val="17"/>
              </w:rPr>
              <w:t>Blocks public launch</w:t>
            </w:r>
          </w:p>
        </w:tc>
      </w:tr>
      <w:tr>
        <w:trPr>
          <w:cantSplit/>
        </w:trPr>
        <w:tc>
          <w:tcPr>
            <w:tcW w:type="dxa" w:w="3600"/>
            <w:tcMar>
              <w:top w:w="80" w:type="dxa"/>
              <w:start w:w="120" w:type="dxa"/>
              <w:bottom w:w="80" w:type="dxa"/>
              <w:end w:w="120" w:type="dxa"/>
            </w:tcMar>
            <w:vAlign w:val="top"/>
          </w:tcPr>
          <w:p>
            <w:pPr>
              <w:spacing w:after="0"/>
            </w:pPr>
            <w:r>
              <w:rPr>
                <w:sz w:val="17"/>
              </w:rPr>
              <w:t>Hosting/repository destination</w:t>
            </w:r>
          </w:p>
        </w:tc>
        <w:tc>
          <w:tcPr>
            <w:tcW w:type="dxa" w:w="3300"/>
            <w:tcMar>
              <w:top w:w="80" w:type="dxa"/>
              <w:start w:w="120" w:type="dxa"/>
              <w:bottom w:w="80" w:type="dxa"/>
              <w:end w:w="120" w:type="dxa"/>
            </w:tcMar>
            <w:vAlign w:val="top"/>
          </w:tcPr>
          <w:p>
            <w:pPr>
              <w:spacing w:after="0"/>
            </w:pPr>
            <w:r>
              <w:rPr>
                <w:sz w:val="17"/>
              </w:rPr>
              <w:t>Account/repository access</w:t>
            </w:r>
          </w:p>
        </w:tc>
        <w:tc>
          <w:tcPr>
            <w:tcW w:type="dxa" w:w="2460"/>
            <w:tcMar>
              <w:top w:w="80" w:type="dxa"/>
              <w:start w:w="120" w:type="dxa"/>
              <w:bottom w:w="80" w:type="dxa"/>
              <w:end w:w="120" w:type="dxa"/>
            </w:tcMar>
            <w:vAlign w:val="top"/>
          </w:tcPr>
          <w:p>
            <w:pPr>
              <w:spacing w:after="0"/>
            </w:pPr>
            <w:r>
              <w:rPr>
                <w:sz w:val="17"/>
              </w:rPr>
              <w:t>Blocks deployment</w:t>
            </w:r>
          </w:p>
        </w:tc>
      </w:tr>
      <w:tr>
        <w:trPr>
          <w:cantSplit/>
        </w:trPr>
        <w:tc>
          <w:tcPr>
            <w:tcW w:type="dxa" w:w="3600"/>
            <w:tcMar>
              <w:top w:w="80" w:type="dxa"/>
              <w:start w:w="120" w:type="dxa"/>
              <w:bottom w:w="80" w:type="dxa"/>
              <w:end w:w="120" w:type="dxa"/>
            </w:tcMar>
            <w:vAlign w:val="top"/>
          </w:tcPr>
          <w:p>
            <w:pPr>
              <w:spacing w:after="0"/>
            </w:pPr>
            <w:r>
              <w:rPr>
                <w:sz w:val="17"/>
              </w:rPr>
              <w:t>Canonical French brand name and sponsor approver</w:t>
            </w:r>
          </w:p>
        </w:tc>
        <w:tc>
          <w:tcPr>
            <w:tcW w:type="dxa" w:w="3300"/>
            <w:tcMar>
              <w:top w:w="80" w:type="dxa"/>
              <w:start w:w="120" w:type="dxa"/>
              <w:bottom w:w="80" w:type="dxa"/>
              <w:end w:w="120" w:type="dxa"/>
            </w:tcMar>
            <w:vAlign w:val="top"/>
          </w:tcPr>
          <w:p>
            <w:pPr>
              <w:spacing w:after="0"/>
            </w:pPr>
            <w:r>
              <w:rPr>
                <w:sz w:val="17"/>
              </w:rPr>
              <w:t>One-line decision</w:t>
            </w:r>
          </w:p>
        </w:tc>
        <w:tc>
          <w:tcPr>
            <w:tcW w:type="dxa" w:w="2460"/>
            <w:tcMar>
              <w:top w:w="80" w:type="dxa"/>
              <w:start w:w="120" w:type="dxa"/>
              <w:bottom w:w="80" w:type="dxa"/>
              <w:end w:w="120" w:type="dxa"/>
            </w:tcMar>
            <w:vAlign w:val="top"/>
          </w:tcPr>
          <w:p>
            <w:pPr>
              <w:spacing w:after="0"/>
            </w:pPr>
            <w:r>
              <w:rPr>
                <w:sz w:val="17"/>
              </w:rPr>
              <w:t>Blocks sponsor page</w:t>
            </w:r>
          </w:p>
        </w:tc>
      </w:tr>
      <w:tr>
        <w:trPr>
          <w:cantSplit/>
        </w:trPr>
        <w:tc>
          <w:tcPr>
            <w:tcW w:type="dxa" w:w="3600"/>
            <w:tcMar>
              <w:top w:w="80" w:type="dxa"/>
              <w:start w:w="120" w:type="dxa"/>
              <w:bottom w:w="80" w:type="dxa"/>
              <w:end w:w="120" w:type="dxa"/>
            </w:tcMar>
            <w:vAlign w:val="top"/>
          </w:tcPr>
          <w:p>
            <w:pPr>
              <w:spacing w:after="0"/>
            </w:pPr>
            <w:r>
              <w:rPr>
                <w:sz w:val="17"/>
              </w:rPr>
              <w:t>Arabic reviewer</w:t>
            </w:r>
          </w:p>
        </w:tc>
        <w:tc>
          <w:tcPr>
            <w:tcW w:type="dxa" w:w="3300"/>
            <w:tcMar>
              <w:top w:w="80" w:type="dxa"/>
              <w:start w:w="120" w:type="dxa"/>
              <w:bottom w:w="80" w:type="dxa"/>
              <w:end w:w="120" w:type="dxa"/>
            </w:tcMar>
            <w:vAlign w:val="top"/>
          </w:tcPr>
          <w:p>
            <w:pPr>
              <w:spacing w:after="0"/>
            </w:pPr>
            <w:r>
              <w:rPr>
                <w:sz w:val="17"/>
              </w:rPr>
              <w:t>Named competent reviewer</w:t>
            </w:r>
          </w:p>
        </w:tc>
        <w:tc>
          <w:tcPr>
            <w:tcW w:type="dxa" w:w="2460"/>
            <w:tcMar>
              <w:top w:w="80" w:type="dxa"/>
              <w:start w:w="120" w:type="dxa"/>
              <w:bottom w:w="80" w:type="dxa"/>
              <w:end w:w="120" w:type="dxa"/>
            </w:tcMar>
            <w:vAlign w:val="top"/>
          </w:tcPr>
          <w:p>
            <w:pPr>
              <w:spacing w:after="0"/>
            </w:pPr>
            <w:r>
              <w:rPr>
                <w:sz w:val="17"/>
              </w:rPr>
              <w:t>Blocks Arabic publication</w:t>
            </w:r>
          </w:p>
        </w:tc>
      </w:tr>
      <w:tr>
        <w:trPr>
          <w:cantSplit/>
        </w:trPr>
        <w:tc>
          <w:tcPr>
            <w:tcW w:type="dxa" w:w="3600"/>
            <w:tcMar>
              <w:top w:w="80" w:type="dxa"/>
              <w:start w:w="120" w:type="dxa"/>
              <w:bottom w:w="80" w:type="dxa"/>
              <w:end w:w="120" w:type="dxa"/>
            </w:tcMar>
            <w:vAlign w:val="top"/>
          </w:tcPr>
          <w:p>
            <w:pPr>
              <w:spacing w:after="0"/>
            </w:pPr>
            <w:r>
              <w:rPr>
                <w:sz w:val="17"/>
              </w:rPr>
              <w:t>Existing payment token and invoice method</w:t>
            </w:r>
          </w:p>
        </w:tc>
        <w:tc>
          <w:tcPr>
            <w:tcW w:type="dxa" w:w="3300"/>
            <w:tcMar>
              <w:top w:w="80" w:type="dxa"/>
              <w:start w:w="120" w:type="dxa"/>
              <w:bottom w:w="80" w:type="dxa"/>
              <w:end w:w="120" w:type="dxa"/>
            </w:tcMar>
            <w:vAlign w:val="top"/>
          </w:tcPr>
          <w:p>
            <w:pPr>
              <w:spacing w:after="0"/>
            </w:pPr>
            <w:r>
              <w:rPr>
                <w:sz w:val="17"/>
              </w:rPr>
              <w:t>Verified Base address plus controller-approved workflow</w:t>
            </w:r>
          </w:p>
        </w:tc>
        <w:tc>
          <w:tcPr>
            <w:tcW w:type="dxa" w:w="2460"/>
            <w:tcMar>
              <w:top w:w="80" w:type="dxa"/>
              <w:start w:w="120" w:type="dxa"/>
              <w:bottom w:w="80" w:type="dxa"/>
              <w:end w:w="120" w:type="dxa"/>
            </w:tcMar>
            <w:vAlign w:val="top"/>
          </w:tcPr>
          <w:p>
            <w:pPr>
              <w:spacing w:after="0"/>
            </w:pPr>
            <w:r>
              <w:rPr>
                <w:sz w:val="17"/>
              </w:rPr>
              <w:t>Blocks Base collection</w:t>
            </w:r>
          </w:p>
        </w:tc>
      </w:tr>
      <w:tr>
        <w:trPr>
          <w:cantSplit/>
        </w:trPr>
        <w:tc>
          <w:tcPr>
            <w:tcW w:type="dxa" w:w="3600"/>
            <w:tcMar>
              <w:top w:w="80" w:type="dxa"/>
              <w:start w:w="120" w:type="dxa"/>
              <w:bottom w:w="80" w:type="dxa"/>
              <w:end w:w="120" w:type="dxa"/>
            </w:tcMar>
            <w:vAlign w:val="top"/>
          </w:tcPr>
          <w:p>
            <w:pPr>
              <w:spacing w:after="0"/>
            </w:pPr>
            <w:r>
              <w:rPr>
                <w:sz w:val="17"/>
              </w:rPr>
              <w:t>Card provider account</w:t>
            </w:r>
          </w:p>
        </w:tc>
        <w:tc>
          <w:tcPr>
            <w:tcW w:type="dxa" w:w="3300"/>
            <w:tcMar>
              <w:top w:w="80" w:type="dxa"/>
              <w:start w:w="120" w:type="dxa"/>
              <w:bottom w:w="80" w:type="dxa"/>
              <w:end w:w="120" w:type="dxa"/>
            </w:tcMar>
            <w:vAlign w:val="top"/>
          </w:tcPr>
          <w:p>
            <w:pPr>
              <w:spacing w:after="0"/>
            </w:pPr>
            <w:r>
              <w:rPr>
                <w:sz w:val="17"/>
              </w:rPr>
              <w:t>Approved merchant/association account and test/live credentials</w:t>
            </w:r>
          </w:p>
        </w:tc>
        <w:tc>
          <w:tcPr>
            <w:tcW w:type="dxa" w:w="2460"/>
            <w:tcMar>
              <w:top w:w="80" w:type="dxa"/>
              <w:start w:w="120" w:type="dxa"/>
              <w:bottom w:w="80" w:type="dxa"/>
              <w:end w:w="120" w:type="dxa"/>
            </w:tcMar>
            <w:vAlign w:val="top"/>
          </w:tcPr>
          <w:p>
            <w:pPr>
              <w:spacing w:after="0"/>
            </w:pPr>
            <w:r>
              <w:rPr>
                <w:sz w:val="17"/>
              </w:rPr>
              <w:t>Blocks card checkout, not directory</w:t>
            </w:r>
          </w:p>
        </w:tc>
      </w:tr>
      <w:tr>
        <w:trPr>
          <w:cantSplit/>
        </w:trPr>
        <w:tc>
          <w:tcPr>
            <w:tcW w:type="dxa" w:w="3600"/>
            <w:tcMar>
              <w:top w:w="80" w:type="dxa"/>
              <w:start w:w="120" w:type="dxa"/>
              <w:bottom w:w="80" w:type="dxa"/>
              <w:end w:w="120" w:type="dxa"/>
            </w:tcMar>
            <w:vAlign w:val="top"/>
          </w:tcPr>
          <w:p>
            <w:pPr>
              <w:spacing w:after="0"/>
            </w:pPr>
            <w:r>
              <w:rPr>
                <w:sz w:val="17"/>
              </w:rPr>
              <w:t>SEPA account</w:t>
            </w:r>
          </w:p>
        </w:tc>
        <w:tc>
          <w:tcPr>
            <w:tcW w:type="dxa" w:w="3300"/>
            <w:tcMar>
              <w:top w:w="80" w:type="dxa"/>
              <w:start w:w="120" w:type="dxa"/>
              <w:bottom w:w="80" w:type="dxa"/>
              <w:end w:w="120" w:type="dxa"/>
            </w:tcMar>
            <w:vAlign w:val="top"/>
          </w:tcPr>
          <w:p>
            <w:pPr>
              <w:spacing w:after="0"/>
            </w:pPr>
            <w:r>
              <w:rPr>
                <w:sz w:val="17"/>
              </w:rPr>
              <w:t>Legal account-holder name, IBAN and reconciliation access</w:t>
            </w:r>
          </w:p>
        </w:tc>
        <w:tc>
          <w:tcPr>
            <w:tcW w:type="dxa" w:w="2460"/>
            <w:tcMar>
              <w:top w:w="80" w:type="dxa"/>
              <w:start w:w="120" w:type="dxa"/>
              <w:bottom w:w="80" w:type="dxa"/>
              <w:end w:w="120" w:type="dxa"/>
            </w:tcMar>
            <w:vAlign w:val="top"/>
          </w:tcPr>
          <w:p>
            <w:pPr>
              <w:spacing w:after="0"/>
            </w:pPr>
            <w:r>
              <w:rPr>
                <w:sz w:val="17"/>
              </w:rPr>
              <w:t>Blocks bank transfer, not directory</w:t>
            </w:r>
          </w:p>
        </w:tc>
      </w:tr>
      <w:tr>
        <w:trPr>
          <w:cantSplit/>
        </w:trPr>
        <w:tc>
          <w:tcPr>
            <w:tcW w:type="dxa" w:w="3600"/>
            <w:tcMar>
              <w:top w:w="80" w:type="dxa"/>
              <w:start w:w="120" w:type="dxa"/>
              <w:bottom w:w="80" w:type="dxa"/>
              <w:end w:w="120" w:type="dxa"/>
            </w:tcMar>
            <w:vAlign w:val="top"/>
          </w:tcPr>
          <w:p>
            <w:pPr>
              <w:spacing w:after="0"/>
            </w:pPr>
            <w:r>
              <w:rPr>
                <w:sz w:val="17"/>
              </w:rPr>
              <w:t>Activity operator</w:t>
            </w:r>
          </w:p>
        </w:tc>
        <w:tc>
          <w:tcPr>
            <w:tcW w:type="dxa" w:w="3300"/>
            <w:tcMar>
              <w:top w:w="80" w:type="dxa"/>
              <w:start w:w="120" w:type="dxa"/>
              <w:bottom w:w="80" w:type="dxa"/>
              <w:end w:w="120" w:type="dxa"/>
            </w:tcMar>
            <w:vAlign w:val="top"/>
          </w:tcPr>
          <w:p>
            <w:pPr>
              <w:spacing w:after="0"/>
            </w:pPr>
            <w:r>
              <w:rPr>
                <w:sz w:val="17"/>
              </w:rPr>
              <w:t>Association/employer/qualified adviser able to issue eligibility attestations and own sector checks</w:t>
            </w:r>
          </w:p>
        </w:tc>
        <w:tc>
          <w:tcPr>
            <w:tcW w:type="dxa" w:w="2460"/>
            <w:tcMar>
              <w:top w:w="80" w:type="dxa"/>
              <w:start w:w="120" w:type="dxa"/>
              <w:bottom w:w="80" w:type="dxa"/>
              <w:end w:w="120" w:type="dxa"/>
            </w:tcMar>
            <w:vAlign w:val="top"/>
          </w:tcPr>
          <w:p>
            <w:pPr>
              <w:spacing w:after="0"/>
            </w:pPr>
            <w:r>
              <w:rPr>
                <w:sz w:val="17"/>
              </w:rPr>
              <w:t>Blocks paid activity listings, not Idea Lab</w:t>
            </w:r>
          </w:p>
        </w:tc>
      </w:tr>
      <w:tr>
        <w:trPr>
          <w:cantSplit/>
        </w:trPr>
        <w:tc>
          <w:tcPr>
            <w:tcW w:type="dxa" w:w="3600"/>
            <w:tcMar>
              <w:top w:w="80" w:type="dxa"/>
              <w:start w:w="120" w:type="dxa"/>
              <w:bottom w:w="80" w:type="dxa"/>
              <w:end w:w="120" w:type="dxa"/>
            </w:tcMar>
            <w:vAlign w:val="top"/>
          </w:tcPr>
          <w:p>
            <w:pPr>
              <w:spacing w:after="0"/>
            </w:pPr>
            <w:r>
              <w:rPr>
                <w:sz w:val="17"/>
              </w:rPr>
              <w:t>Municipal liaison</w:t>
            </w:r>
          </w:p>
        </w:tc>
        <w:tc>
          <w:tcPr>
            <w:tcW w:type="dxa" w:w="3300"/>
            <w:tcMar>
              <w:top w:w="80" w:type="dxa"/>
              <w:start w:w="120" w:type="dxa"/>
              <w:bottom w:w="80" w:type="dxa"/>
              <w:end w:w="120" w:type="dxa"/>
            </w:tcMar>
            <w:vAlign w:val="top"/>
          </w:tcPr>
          <w:p>
            <w:pPr>
              <w:spacing w:after="0"/>
            </w:pPr>
            <w:r>
              <w:rPr>
                <w:sz w:val="17"/>
              </w:rPr>
              <w:t>Named city/contractor contact for any public-space, waste or maintenance proposal</w:t>
            </w:r>
          </w:p>
        </w:tc>
        <w:tc>
          <w:tcPr>
            <w:tcW w:type="dxa" w:w="2460"/>
            <w:tcMar>
              <w:top w:w="80" w:type="dxa"/>
              <w:start w:w="120" w:type="dxa"/>
              <w:bottom w:w="80" w:type="dxa"/>
              <w:end w:w="120" w:type="dxa"/>
            </w:tcMar>
            <w:vAlign w:val="top"/>
          </w:tcPr>
          <w:p>
            <w:pPr>
              <w:spacing w:after="0"/>
            </w:pPr>
            <w:r>
              <w:rPr>
                <w:sz w:val="17"/>
              </w:rPr>
              <w:t>Blocks city-benefit tasks</w:t>
            </w:r>
          </w:p>
        </w:tc>
      </w:tr>
    </w:tbl>
    <w:p>
      <w:pPr>
        <w:pStyle w:val="TableSource"/>
      </w:pPr>
    </w:p>
    <w:p>
      <w:pPr>
        <w:pStyle w:val="Heading2"/>
      </w:pPr>
      <w:r>
        <w:t>12.2 Copy-paste brief for Codex</w:t>
      </w: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4F6F9"/>
          </w:tcPr>
          <w:p>
            <w:pPr>
              <w:spacing w:after="40"/>
            </w:pPr>
            <w:r>
              <w:rPr>
                <w:b/>
                <w:color w:val="0B2545"/>
              </w:rPr>
              <w:t>Codex build instruction</w:t>
              <w:br/>
            </w:r>
            <w:r>
              <w:rPr>
                <w:sz w:val="19"/>
              </w:rPr>
              <w:t>Build Calais Open Commons Protocol as a privacy-first multilingual service directory with three sponsor-payment lanes: hosted card checkout, SEPA bank transfer and a minimal non-upgradeable Base SponsorshipRouter. Add a multilingual Activity Idea Lab, not an open labor market. Implement FR-01 through FR-41, operator attestations, sector gates, complaints/pause, non-transferable zero-value ACTIVITY BADGE and the disabled-by-default sponsor-funded COMMUNITY VOUCHER specification. Paid work must use lawful EUR wages/invoices and cannot activate without individual work eligibility. Do not create any transferable activity token, DEX pair, liquidity, burn, buyback, oracle or traded-token redemption mechanism. Use this document as the source of truth. Import Appendix A as unverified and publish only after required human signatures. The founder supplies only a public adminWallet; never request its private key. Refugee-facing routes must never load checkout, wallet or sponsor code. Stop when any legal, safeguarding, activity, payment-account, wallet, security, sponsor-claims or content gate is missing. Produce a reproducible repository, private preview, payment sandboxes, testnet rehearsal, verified deployment candidate, verification report, sales kit, Idea Lab pilot, public ledger and day-14 decision package.</w:t>
            </w:r>
          </w:p>
        </w:tc>
      </w:tr>
    </w:tbl>
    <w:p>
      <w:pPr>
        <w:pStyle w:val="TableSource"/>
      </w:pPr>
    </w:p>
    <w:p>
      <w:pPr>
        <w:pStyle w:val="Heading2"/>
      </w:pPr>
      <w:r>
        <w:t>12.3 Codex task sequence</w:t>
      </w:r>
    </w:p>
    <w:p>
      <w:pPr>
        <w:pStyle w:val="ListNumber"/>
      </w:pPr>
      <w:r>
        <w:t>Create repository structure, threat model, contract invariants, data schema, contribution policy and prohibited-feature tests.</w:t>
      </w:r>
    </w:p>
    <w:p>
      <w:pPr>
        <w:pStyle w:val="ListNumber"/>
      </w:pPr>
      <w:r>
        <w:t>Implement SponsorshipRouter with immutable constructor configuration and comprehensive unit/fuzz/invariant tests.</w:t>
      </w:r>
    </w:p>
    <w:p>
      <w:pPr>
        <w:pStyle w:val="ListNumber"/>
      </w:pPr>
      <w:r>
        <w:t>Implement PaymentAdapter interfaces, hosted card checkout, signed webhook ingestion and SEPA reference reconciliation in sandbox mode.</w:t>
      </w:r>
    </w:p>
    <w:p>
      <w:pPr>
        <w:pStyle w:val="ListNumber"/>
      </w:pPr>
      <w:r>
        <w:t>Implement the sponsor conversion surface: funded-result menu, approval-ready order summary, consented sponsor wall, proof URL, evidence-pack PDF, revocable badge, capped matching and renewal suppression.</w:t>
      </w:r>
    </w:p>
    <w:p>
      <w:pPr>
        <w:pStyle w:val="ListNumber"/>
      </w:pPr>
      <w:r>
        <w:t>Implement the multilingual Activity Idea Lab with anonymous idea intake, structured triage, public decision history, operator attestations, sector gates, complaints and aggregate-only metrics.</w:t>
      </w:r>
    </w:p>
    <w:p>
      <w:pPr>
        <w:pStyle w:val="ListNumber"/>
      </w:pPr>
      <w:r>
        <w:t>Implement ACTIVITY BADGE as non-transferable and non-redeemable; specify COMMUNITY VOUCHER behind a disabled feature flag; add CI tests that reject activity-token and DEX/burn/buyback code.</w:t>
      </w:r>
    </w:p>
    <w:p>
      <w:pPr>
        <w:pStyle w:val="ListNumber"/>
      </w:pPr>
      <w:r>
        <w:t>Transcribe Appendix A into structured data with source_page and status=unverified; validate coordinates/phones syntactically only.</w:t>
      </w:r>
    </w:p>
    <w:p>
      <w:pPr>
        <w:pStyle w:val="ListNumber"/>
      </w:pPr>
      <w:r>
        <w:t>Build the French canonical interface and emergency-first information architecture.</w:t>
      </w:r>
    </w:p>
    <w:p>
      <w:pPr>
        <w:pStyle w:val="ListNumber"/>
      </w:pPr>
      <w:r>
        <w:t>Add English and Arabic locale scaffolds; block publish when review flags are false.</w:t>
      </w:r>
    </w:p>
    <w:p>
      <w:pPr>
        <w:pStyle w:val="ListNumber"/>
      </w:pPr>
      <w:r>
        <w:t>Implement filters, call/map links, status/expiry display, print view and anonymous correction flow.</w:t>
      </w:r>
    </w:p>
    <w:p>
      <w:pPr>
        <w:pStyle w:val="ListNumber"/>
      </w:pPr>
      <w:r>
        <w:t>Create sponsor page, wallet interaction isolated from refugee routes, civic-introduction prospect form and aggregate-only public ledger.</w:t>
      </w:r>
    </w:p>
    <w:p>
      <w:pPr>
        <w:pStyle w:val="ListNumber"/>
      </w:pPr>
      <w:r>
        <w:t>Run automated accessibility, performance, link, schema, security-header and privacy checks.</w:t>
      </w:r>
    </w:p>
    <w:p>
      <w:pPr>
        <w:pStyle w:val="ListNumber"/>
      </w:pPr>
      <w:r>
        <w:t>Generate a human verification queue ranked emergency → health → shelter → food/water → all other services.</w:t>
      </w:r>
    </w:p>
    <w:p>
      <w:pPr>
        <w:pStyle w:val="ListNumber"/>
      </w:pPr>
      <w:r>
        <w:t>Deploy private preview and Base testnet rehearsal; collect approvals and record every correction in the change log.</w:t>
      </w:r>
    </w:p>
    <w:p>
      <w:pPr>
        <w:pStyle w:val="ListNumber"/>
      </w:pPr>
      <w:r>
        <w:t>Only after gates G1–G9 pass and the user confirms the manifest and payment accounts, enable each payment lane independently.</w:t>
      </w:r>
    </w:p>
    <w:p>
      <w:pPr>
        <w:pStyle w:val="Heading2"/>
      </w:pPr>
      <w:r>
        <w:t>12.4 Required deliverables</w:t>
      </w:r>
    </w:p>
    <w:p>
      <w:pPr>
        <w:pStyle w:val="ListBullet"/>
      </w:pPr>
      <w:r>
        <w:t>Deployable source repository and private/public preview links.</w:t>
      </w:r>
    </w:p>
    <w:p>
      <w:pPr>
        <w:pStyle w:val="ListBullet"/>
      </w:pPr>
      <w:r>
        <w:t>Structured, sourced listing dataset with verification and expiry metadata.</w:t>
      </w:r>
    </w:p>
    <w:p>
      <w:pPr>
        <w:pStyle w:val="ListBullet"/>
      </w:pPr>
      <w:r>
        <w:t>French/English/Arabic site and printable QR handout.</w:t>
      </w:r>
    </w:p>
    <w:p>
      <w:pPr>
        <w:pStyle w:val="ListBullet"/>
      </w:pPr>
      <w:r>
        <w:t>Safeguarding, privacy, content verification, incident, finance/donation and deployment runbooks.</w:t>
      </w:r>
    </w:p>
    <w:p>
      <w:pPr>
        <w:pStyle w:val="ListBullet"/>
      </w:pPr>
      <w:r>
        <w:t>Sponsor one-pager; short outreach email, follow-up and 5-minute sales script in French and English.</w:t>
      </w:r>
    </w:p>
    <w:p>
      <w:pPr>
        <w:pStyle w:val="ListBullet"/>
      </w:pPr>
      <w:r>
        <w:t>Automated test report and a signed manual release checklist.</w:t>
      </w:r>
    </w:p>
    <w:p>
      <w:pPr>
        <w:pStyle w:val="ListBullet"/>
      </w:pPr>
      <w:r>
        <w:t>Auditable contract source, ABI, deployment scripts, signed manifest, test vectors, gas report and reproducible bytecode instructions.</w:t>
      </w:r>
    </w:p>
    <w:p>
      <w:pPr>
        <w:pStyle w:val="ListBullet"/>
      </w:pPr>
      <w:r>
        <w:t>Independent mirror/IPFS runbook showing that another operator can reproduce the service without permission.</w:t>
      </w:r>
    </w:p>
    <w:p>
      <w:pPr>
        <w:pStyle w:val="ListBullet"/>
      </w:pPr>
      <w:r>
        <w:t>Card/SEPA operations pack: setup checklist, webhook-key rotation, refund/chargeback runbook, bank-reconciliation template and accountant export.</w:t>
      </w:r>
    </w:p>
    <w:p>
      <w:pPr>
        <w:pStyle w:val="ListBullet"/>
      </w:pPr>
      <w:r>
        <w:t>Sponsor conversion pack: Founding-12 terms, funded-result menu, proof-page template, evidence-pack template, badge assets, matching-campaign rules, consent log and renewal sequence.</w:t>
      </w:r>
    </w:p>
    <w:p>
      <w:pPr>
        <w:pStyle w:val="ListBullet"/>
      </w:pPr>
      <w:r>
        <w:t>Activity operations pack: idea form, triage rubric, eligible-to-offer attestation, sector checklists, municipal mandate/PPE checklist, complaint/pause runbook and aggregate report.</w:t>
      </w:r>
    </w:p>
    <w:p>
      <w:pPr>
        <w:pStyle w:val="ListBullet"/>
      </w:pPr>
      <w:r>
        <w:t>Counsel-gated token decision memo documenting why transferable ACTIVITYCOIN, DEX pairs and deflationary mechanics are excluded from the MVP and what written approvals a future reassessment would require.</w:t>
      </w:r>
    </w:p>
    <w:p>
      <w:pPr>
        <w:pStyle w:val="ListBullet"/>
      </w:pPr>
      <w:r>
        <w:t>Day-14 dashboard with visits, assisted uses, corrections, verification freshness, sponsor pipeline, received revenue, costs and pending donation—aggregate only.</w:t>
      </w:r>
    </w:p>
    <w:p>
      <w:pPr>
        <w:pStyle w:val="Heading1"/>
        <w:pageBreakBefore/>
      </w:pPr>
      <w:r>
        <w:t>Appendix A — Extracted Calais service inventory</w:t>
      </w:r>
    </w:p>
    <w:p>
      <w:pPr>
        <w:pStyle w:val="TableSource"/>
      </w:pPr>
      <w:r>
        <w:t>Source: New Arrival Guide (NAG), English, August 2026, Calais, attached PDF, pages 1–2. The source itself warns that times and locations may change. Every row below is a publication candidate, not a current guarantee. Codex must import it as unverified and obtain provider confirmation. Repeated places are consolidated; service-specific schedules remain in the notes.</w:t>
      </w:r>
    </w:p>
    <w:tbl>
      <w:tblPr>
        <w:tblStyle w:val="TableGrid"/>
        <w:tblW w:type="dxa" w:w="9360"/>
        <w:jc w:val="center"/>
        <w:tblLayout w:type="fixed"/>
        <w:tblLook w:firstColumn="1" w:firstRow="1" w:lastColumn="0" w:lastRow="0" w:noHBand="0" w:noVBand="1" w:val="04A0"/>
        <w:tblInd w:w="120" w:type="dxa"/>
      </w:tblPr>
      <w:tblGrid>
        <w:gridCol w:w="2450"/>
        <w:gridCol w:w="2300"/>
        <w:gridCol w:w="4610"/>
      </w:tblGrid>
      <w:tr>
        <w:trPr>
          <w:tblHeader w:val="true"/>
          <w:cantSplit/>
        </w:trPr>
        <w:tc>
          <w:tcPr>
            <w:tcW w:type="dxa" w:w="2450"/>
            <w:shd w:fill="E8EEF5"/>
            <w:tcMar>
              <w:top w:w="80" w:type="dxa"/>
              <w:start w:w="120" w:type="dxa"/>
              <w:bottom w:w="80" w:type="dxa"/>
              <w:end w:w="120" w:type="dxa"/>
            </w:tcMar>
            <w:vAlign w:val="top"/>
          </w:tcPr>
          <w:p>
            <w:pPr>
              <w:spacing w:after="0"/>
            </w:pPr>
            <w:r>
              <w:rPr>
                <w:b/>
                <w:color w:val="0B2545"/>
                <w:sz w:val="17"/>
              </w:rPr>
              <w:t>Place</w:t>
            </w:r>
          </w:p>
        </w:tc>
        <w:tc>
          <w:tcPr>
            <w:tcW w:type="dxa" w:w="2300"/>
            <w:shd w:fill="E8EEF5"/>
            <w:tcMar>
              <w:top w:w="80" w:type="dxa"/>
              <w:start w:w="120" w:type="dxa"/>
              <w:bottom w:w="80" w:type="dxa"/>
              <w:end w:w="120" w:type="dxa"/>
            </w:tcMar>
            <w:vAlign w:val="top"/>
          </w:tcPr>
          <w:p>
            <w:pPr>
              <w:spacing w:after="0"/>
            </w:pPr>
            <w:r>
              <w:rPr>
                <w:b/>
                <w:color w:val="0B2545"/>
                <w:sz w:val="17"/>
              </w:rPr>
              <w:t>Location</w:t>
            </w:r>
          </w:p>
        </w:tc>
        <w:tc>
          <w:tcPr>
            <w:tcW w:type="dxa" w:w="4610"/>
            <w:shd w:fill="E8EEF5"/>
            <w:tcMar>
              <w:top w:w="80" w:type="dxa"/>
              <w:start w:w="120" w:type="dxa"/>
              <w:bottom w:w="80" w:type="dxa"/>
              <w:end w:w="120" w:type="dxa"/>
            </w:tcMar>
            <w:vAlign w:val="top"/>
          </w:tcPr>
          <w:p>
            <w:pPr>
              <w:spacing w:after="0"/>
            </w:pPr>
            <w:r>
              <w:rPr>
                <w:b/>
                <w:color w:val="0B2545"/>
                <w:sz w:val="17"/>
              </w:rPr>
              <w:t>Source services / schedule notes</w:t>
            </w:r>
          </w:p>
        </w:tc>
      </w:tr>
      <w:tr>
        <w:trPr>
          <w:cantSplit/>
        </w:trPr>
        <w:tc>
          <w:tcPr>
            <w:tcW w:type="dxa" w:w="2450"/>
            <w:tcMar>
              <w:top w:w="80" w:type="dxa"/>
              <w:start w:w="120" w:type="dxa"/>
              <w:bottom w:w="80" w:type="dxa"/>
              <w:end w:w="120" w:type="dxa"/>
            </w:tcMar>
            <w:vAlign w:val="top"/>
          </w:tcPr>
          <w:p>
            <w:pPr>
              <w:spacing w:after="0"/>
            </w:pPr>
            <w:r>
              <w:rPr>
                <w:sz w:val="16"/>
              </w:rPr>
              <w:t>Roundabout 1</w:t>
            </w:r>
          </w:p>
        </w:tc>
        <w:tc>
          <w:tcPr>
            <w:tcW w:type="dxa" w:w="2300"/>
            <w:tcMar>
              <w:top w:w="80" w:type="dxa"/>
              <w:start w:w="120" w:type="dxa"/>
              <w:bottom w:w="80" w:type="dxa"/>
              <w:end w:w="120" w:type="dxa"/>
            </w:tcMar>
            <w:vAlign w:val="top"/>
          </w:tcPr>
          <w:p>
            <w:pPr>
              <w:spacing w:after="0"/>
            </w:pPr>
            <w:r>
              <w:rPr>
                <w:sz w:val="16"/>
              </w:rPr>
              <w:t>50.941293, 1.898737</w:t>
            </w:r>
          </w:p>
        </w:tc>
        <w:tc>
          <w:tcPr>
            <w:tcW w:type="dxa" w:w="4610"/>
            <w:tcMar>
              <w:top w:w="80" w:type="dxa"/>
              <w:start w:w="120" w:type="dxa"/>
              <w:bottom w:w="80" w:type="dxa"/>
              <w:end w:w="120" w:type="dxa"/>
            </w:tcMar>
            <w:vAlign w:val="top"/>
          </w:tcPr>
          <w:p>
            <w:pPr>
              <w:spacing w:after="0"/>
            </w:pPr>
            <w:r>
              <w:rPr>
                <w:sz w:val="16"/>
              </w:rPr>
              <w:t>Food: breakfast 10:15 and meal 14:00 (La Vie Active); Salam breakfast order 4. Water 09:00–11:30 and 14:00–16:00 daily.</w:t>
            </w:r>
          </w:p>
        </w:tc>
      </w:tr>
      <w:tr>
        <w:trPr>
          <w:cantSplit/>
        </w:trPr>
        <w:tc>
          <w:tcPr>
            <w:tcW w:type="dxa" w:w="2450"/>
            <w:tcMar>
              <w:top w:w="80" w:type="dxa"/>
              <w:start w:w="120" w:type="dxa"/>
              <w:bottom w:w="80" w:type="dxa"/>
              <w:end w:w="120" w:type="dxa"/>
            </w:tcMar>
            <w:vAlign w:val="top"/>
          </w:tcPr>
          <w:p>
            <w:pPr>
              <w:spacing w:after="0"/>
            </w:pPr>
            <w:r>
              <w:rPr>
                <w:sz w:val="16"/>
              </w:rPr>
              <w:t>English Toilet / Bd des Justes</w:t>
            </w:r>
          </w:p>
        </w:tc>
        <w:tc>
          <w:tcPr>
            <w:tcW w:type="dxa" w:w="2300"/>
            <w:tcMar>
              <w:top w:w="80" w:type="dxa"/>
              <w:start w:w="120" w:type="dxa"/>
              <w:bottom w:w="80" w:type="dxa"/>
              <w:end w:w="120" w:type="dxa"/>
            </w:tcMar>
            <w:vAlign w:val="top"/>
          </w:tcPr>
          <w:p>
            <w:pPr>
              <w:spacing w:after="0"/>
            </w:pPr>
            <w:r>
              <w:rPr>
                <w:sz w:val="16"/>
              </w:rPr>
              <w:t>50.943076, 1.899636</w:t>
            </w:r>
          </w:p>
        </w:tc>
        <w:tc>
          <w:tcPr>
            <w:tcW w:type="dxa" w:w="4610"/>
            <w:tcMar>
              <w:top w:w="80" w:type="dxa"/>
              <w:start w:w="120" w:type="dxa"/>
              <w:bottom w:w="80" w:type="dxa"/>
              <w:end w:w="120" w:type="dxa"/>
            </w:tcMar>
            <w:vAlign w:val="top"/>
          </w:tcPr>
          <w:p>
            <w:pPr>
              <w:spacing w:after="0"/>
            </w:pPr>
            <w:r>
              <w:rPr>
                <w:sz w:val="16"/>
              </w:rPr>
              <w:t>Food RCK Mon–Fri 15:45–17:00; non-food Tue women/children and Sat men; charging/Wi-Fi/classes/health/family links on stated sessions; toilet.</w:t>
            </w:r>
          </w:p>
        </w:tc>
      </w:tr>
      <w:tr>
        <w:trPr>
          <w:cantSplit/>
        </w:trPr>
        <w:tc>
          <w:tcPr>
            <w:tcW w:type="dxa" w:w="2450"/>
            <w:tcMar>
              <w:top w:w="80" w:type="dxa"/>
              <w:start w:w="120" w:type="dxa"/>
              <w:bottom w:w="80" w:type="dxa"/>
              <w:end w:w="120" w:type="dxa"/>
            </w:tcMar>
            <w:vAlign w:val="top"/>
          </w:tcPr>
          <w:p>
            <w:pPr>
              <w:spacing w:after="0"/>
            </w:pPr>
            <w:r>
              <w:rPr>
                <w:sz w:val="16"/>
              </w:rPr>
              <w:t>Auchan Coquelles / rue de Bergnieulles</w:t>
            </w:r>
          </w:p>
        </w:tc>
        <w:tc>
          <w:tcPr>
            <w:tcW w:type="dxa" w:w="2300"/>
            <w:tcMar>
              <w:top w:w="80" w:type="dxa"/>
              <w:start w:w="120" w:type="dxa"/>
              <w:bottom w:w="80" w:type="dxa"/>
              <w:end w:w="120" w:type="dxa"/>
            </w:tcMar>
            <w:vAlign w:val="top"/>
          </w:tcPr>
          <w:p>
            <w:pPr>
              <w:spacing w:after="0"/>
            </w:pPr>
            <w:r>
              <w:rPr>
                <w:sz w:val="16"/>
              </w:rPr>
              <w:t>50.945500, 1.805917</w:t>
            </w:r>
          </w:p>
        </w:tc>
        <w:tc>
          <w:tcPr>
            <w:tcW w:type="dxa" w:w="4610"/>
            <w:tcMar>
              <w:top w:w="80" w:type="dxa"/>
              <w:start w:w="120" w:type="dxa"/>
              <w:bottom w:w="80" w:type="dxa"/>
              <w:end w:w="120" w:type="dxa"/>
            </w:tcMar>
            <w:vAlign w:val="top"/>
          </w:tcPr>
          <w:p>
            <w:pPr>
              <w:spacing w:after="0"/>
            </w:pPr>
            <w:r>
              <w:rPr>
                <w:sz w:val="16"/>
              </w:rPr>
              <w:t>Food daily 09:00–11:00 and 14:00–16:30; water 09:00–11:30 and 14:00–16:00; men's shower bus Mon–Fri 11:15.</w:t>
            </w:r>
          </w:p>
        </w:tc>
      </w:tr>
      <w:tr>
        <w:trPr>
          <w:cantSplit/>
        </w:trPr>
        <w:tc>
          <w:tcPr>
            <w:tcW w:type="dxa" w:w="2450"/>
            <w:tcMar>
              <w:top w:w="80" w:type="dxa"/>
              <w:start w:w="120" w:type="dxa"/>
              <w:bottom w:w="80" w:type="dxa"/>
              <w:end w:w="120" w:type="dxa"/>
            </w:tcMar>
            <w:vAlign w:val="top"/>
          </w:tcPr>
          <w:p>
            <w:pPr>
              <w:spacing w:after="0"/>
            </w:pPr>
            <w:r>
              <w:rPr>
                <w:sz w:val="16"/>
              </w:rPr>
              <w:t>Rue des Mouettes</w:t>
            </w:r>
          </w:p>
        </w:tc>
        <w:tc>
          <w:tcPr>
            <w:tcW w:type="dxa" w:w="2300"/>
            <w:tcMar>
              <w:top w:w="80" w:type="dxa"/>
              <w:start w:w="120" w:type="dxa"/>
              <w:bottom w:w="80" w:type="dxa"/>
              <w:end w:w="120" w:type="dxa"/>
            </w:tcMar>
            <w:vAlign w:val="top"/>
          </w:tcPr>
          <w:p>
            <w:pPr>
              <w:spacing w:after="0"/>
            </w:pPr>
            <w:r>
              <w:rPr>
                <w:sz w:val="16"/>
              </w:rPr>
              <w:t>50.965902, 1.899407</w:t>
            </w:r>
          </w:p>
        </w:tc>
        <w:tc>
          <w:tcPr>
            <w:tcW w:type="dxa" w:w="4610"/>
            <w:tcMar>
              <w:top w:w="80" w:type="dxa"/>
              <w:start w:w="120" w:type="dxa"/>
              <w:bottom w:w="80" w:type="dxa"/>
              <w:end w:w="120" w:type="dxa"/>
            </w:tcMar>
            <w:vAlign w:val="top"/>
          </w:tcPr>
          <w:p>
            <w:pPr>
              <w:spacing w:after="0"/>
            </w:pPr>
            <w:r>
              <w:rPr>
                <w:sz w:val="16"/>
              </w:rPr>
              <w:t>Food daily 09:00–11:00 and 14:00–16:00; Salam breakfast order 3.</w:t>
            </w:r>
          </w:p>
        </w:tc>
      </w:tr>
      <w:tr>
        <w:trPr>
          <w:cantSplit/>
        </w:trPr>
        <w:tc>
          <w:tcPr>
            <w:tcW w:type="dxa" w:w="2450"/>
            <w:tcMar>
              <w:top w:w="80" w:type="dxa"/>
              <w:start w:w="120" w:type="dxa"/>
              <w:bottom w:w="80" w:type="dxa"/>
              <w:end w:w="120" w:type="dxa"/>
            </w:tcMar>
            <w:vAlign w:val="top"/>
          </w:tcPr>
          <w:p>
            <w:pPr>
              <w:spacing w:after="0"/>
            </w:pPr>
            <w:r>
              <w:rPr>
                <w:sz w:val="16"/>
              </w:rPr>
              <w:t>Rue des Huttes</w:t>
            </w:r>
          </w:p>
        </w:tc>
        <w:tc>
          <w:tcPr>
            <w:tcW w:type="dxa" w:w="2300"/>
            <w:tcMar>
              <w:top w:w="80" w:type="dxa"/>
              <w:start w:w="120" w:type="dxa"/>
              <w:bottom w:w="80" w:type="dxa"/>
              <w:end w:w="120" w:type="dxa"/>
            </w:tcMar>
            <w:vAlign w:val="top"/>
          </w:tcPr>
          <w:p>
            <w:pPr>
              <w:spacing w:after="0"/>
            </w:pPr>
            <w:r>
              <w:rPr>
                <w:sz w:val="16"/>
              </w:rPr>
              <w:t>50.964782/50.966028, 1.895543/1.894917</w:t>
            </w:r>
          </w:p>
        </w:tc>
        <w:tc>
          <w:tcPr>
            <w:tcW w:type="dxa" w:w="4610"/>
            <w:tcMar>
              <w:top w:w="80" w:type="dxa"/>
              <w:start w:w="120" w:type="dxa"/>
              <w:bottom w:w="80" w:type="dxa"/>
              <w:end w:w="120" w:type="dxa"/>
            </w:tcMar>
            <w:vAlign w:val="top"/>
          </w:tcPr>
          <w:p>
            <w:pPr>
              <w:spacing w:after="0"/>
            </w:pPr>
            <w:r>
              <w:rPr>
                <w:sz w:val="16"/>
              </w:rPr>
              <w:t>Food/Salam breakfast; water; men's shower buses Mon–Fri 08:45 and 14:00; CAES bus departure at ZI des Dunes stop.</w:t>
            </w:r>
          </w:p>
        </w:tc>
      </w:tr>
      <w:tr>
        <w:trPr>
          <w:cantSplit/>
        </w:trPr>
        <w:tc>
          <w:tcPr>
            <w:tcW w:type="dxa" w:w="2450"/>
            <w:tcMar>
              <w:top w:w="80" w:type="dxa"/>
              <w:start w:w="120" w:type="dxa"/>
              <w:bottom w:w="80" w:type="dxa"/>
              <w:end w:w="120" w:type="dxa"/>
            </w:tcMar>
            <w:vAlign w:val="top"/>
          </w:tcPr>
          <w:p>
            <w:pPr>
              <w:spacing w:after="0"/>
            </w:pPr>
            <w:r>
              <w:rPr>
                <w:sz w:val="16"/>
              </w:rPr>
              <w:t>Town Centre — Quai de la Meuse</w:t>
            </w:r>
          </w:p>
        </w:tc>
        <w:tc>
          <w:tcPr>
            <w:tcW w:type="dxa" w:w="2300"/>
            <w:tcMar>
              <w:top w:w="80" w:type="dxa"/>
              <w:start w:w="120" w:type="dxa"/>
              <w:bottom w:w="80" w:type="dxa"/>
              <w:end w:w="120" w:type="dxa"/>
            </w:tcMar>
            <w:vAlign w:val="top"/>
          </w:tcPr>
          <w:p>
            <w:pPr>
              <w:spacing w:after="0"/>
            </w:pPr>
            <w:r>
              <w:rPr>
                <w:sz w:val="16"/>
              </w:rPr>
              <w:t>50.955764, 1.857071</w:t>
            </w:r>
          </w:p>
        </w:tc>
        <w:tc>
          <w:tcPr>
            <w:tcW w:type="dxa" w:w="4610"/>
            <w:tcMar>
              <w:top w:w="80" w:type="dxa"/>
              <w:start w:w="120" w:type="dxa"/>
              <w:bottom w:w="80" w:type="dxa"/>
              <w:end w:w="120" w:type="dxa"/>
            </w:tcMar>
            <w:vAlign w:val="top"/>
          </w:tcPr>
          <w:p>
            <w:pPr>
              <w:spacing w:after="0"/>
            </w:pPr>
            <w:r>
              <w:rPr>
                <w:sz w:val="16"/>
              </w:rPr>
              <w:t>Food RCK Mon/Wed/Fri 12:45–13:45; charging Sat CHIP and Sun Care4Calais.</w:t>
            </w:r>
          </w:p>
        </w:tc>
      </w:tr>
      <w:tr>
        <w:trPr>
          <w:cantSplit/>
        </w:trPr>
        <w:tc>
          <w:tcPr>
            <w:tcW w:type="dxa" w:w="2450"/>
            <w:tcMar>
              <w:top w:w="80" w:type="dxa"/>
              <w:start w:w="120" w:type="dxa"/>
              <w:bottom w:w="80" w:type="dxa"/>
              <w:end w:w="120" w:type="dxa"/>
            </w:tcMar>
            <w:vAlign w:val="top"/>
          </w:tcPr>
          <w:p>
            <w:pPr>
              <w:spacing w:after="0"/>
            </w:pPr>
            <w:r>
              <w:rPr>
                <w:sz w:val="16"/>
              </w:rPr>
              <w:t>Town Centre — Quai de la Moselle</w:t>
            </w:r>
          </w:p>
        </w:tc>
        <w:tc>
          <w:tcPr>
            <w:tcW w:type="dxa" w:w="2300"/>
            <w:tcMar>
              <w:top w:w="80" w:type="dxa"/>
              <w:start w:w="120" w:type="dxa"/>
              <w:bottom w:w="80" w:type="dxa"/>
              <w:end w:w="120" w:type="dxa"/>
            </w:tcMar>
            <w:vAlign w:val="top"/>
          </w:tcPr>
          <w:p>
            <w:pPr>
              <w:spacing w:after="0"/>
            </w:pPr>
            <w:r>
              <w:rPr>
                <w:sz w:val="16"/>
              </w:rPr>
              <w:t>50.954868, 1.857705</w:t>
            </w:r>
          </w:p>
        </w:tc>
        <w:tc>
          <w:tcPr>
            <w:tcW w:type="dxa" w:w="4610"/>
            <w:tcMar>
              <w:top w:w="80" w:type="dxa"/>
              <w:start w:w="120" w:type="dxa"/>
              <w:bottom w:w="80" w:type="dxa"/>
              <w:end w:w="120" w:type="dxa"/>
            </w:tcMar>
            <w:vAlign w:val="top"/>
          </w:tcPr>
          <w:p>
            <w:pPr>
              <w:spacing w:after="0"/>
            </w:pPr>
            <w:r>
              <w:rPr>
                <w:sz w:val="16"/>
              </w:rPr>
              <w:t>Non-food Care4Calais Sun 14:00–17:00; FAST Sun 14:00–16:30.</w:t>
            </w:r>
          </w:p>
        </w:tc>
      </w:tr>
      <w:tr>
        <w:trPr>
          <w:cantSplit/>
        </w:trPr>
        <w:tc>
          <w:tcPr>
            <w:tcW w:type="dxa" w:w="2450"/>
            <w:tcMar>
              <w:top w:w="80" w:type="dxa"/>
              <w:start w:w="120" w:type="dxa"/>
              <w:bottom w:w="80" w:type="dxa"/>
              <w:end w:w="120" w:type="dxa"/>
            </w:tcMar>
            <w:vAlign w:val="top"/>
          </w:tcPr>
          <w:p>
            <w:pPr>
              <w:spacing w:after="0"/>
            </w:pPr>
            <w:r>
              <w:rPr>
                <w:sz w:val="16"/>
              </w:rPr>
              <w:t>Calais train station</w:t>
            </w:r>
          </w:p>
        </w:tc>
        <w:tc>
          <w:tcPr>
            <w:tcW w:type="dxa" w:w="2300"/>
            <w:tcMar>
              <w:top w:w="80" w:type="dxa"/>
              <w:start w:w="120" w:type="dxa"/>
              <w:bottom w:w="80" w:type="dxa"/>
              <w:end w:w="120" w:type="dxa"/>
            </w:tcMar>
            <w:vAlign w:val="top"/>
          </w:tcPr>
          <w:p>
            <w:pPr>
              <w:spacing w:after="0"/>
            </w:pPr>
            <w:r>
              <w:rPr>
                <w:sz w:val="16"/>
              </w:rPr>
              <w:t>50.953446, 1.851006</w:t>
            </w:r>
          </w:p>
        </w:tc>
        <w:tc>
          <w:tcPr>
            <w:tcW w:type="dxa" w:w="4610"/>
            <w:tcMar>
              <w:top w:w="80" w:type="dxa"/>
              <w:start w:w="120" w:type="dxa"/>
              <w:bottom w:w="80" w:type="dxa"/>
              <w:end w:w="120" w:type="dxa"/>
            </w:tcMar>
            <w:vAlign w:val="top"/>
          </w:tcPr>
          <w:p>
            <w:pPr>
              <w:spacing w:after="0"/>
            </w:pPr>
            <w:r>
              <w:rPr>
                <w:sz w:val="16"/>
              </w:rPr>
              <w:t>Salam breakfast, order 1.</w:t>
            </w:r>
          </w:p>
        </w:tc>
      </w:tr>
      <w:tr>
        <w:trPr>
          <w:cantSplit/>
        </w:trPr>
        <w:tc>
          <w:tcPr>
            <w:tcW w:type="dxa" w:w="2450"/>
            <w:tcMar>
              <w:top w:w="80" w:type="dxa"/>
              <w:start w:w="120" w:type="dxa"/>
              <w:bottom w:w="80" w:type="dxa"/>
              <w:end w:w="120" w:type="dxa"/>
            </w:tcMar>
            <w:vAlign w:val="top"/>
          </w:tcPr>
          <w:p>
            <w:pPr>
              <w:spacing w:after="0"/>
            </w:pPr>
            <w:r>
              <w:rPr>
                <w:sz w:val="16"/>
              </w:rPr>
              <w:t>Roundabout 2</w:t>
            </w:r>
          </w:p>
        </w:tc>
        <w:tc>
          <w:tcPr>
            <w:tcW w:type="dxa" w:w="2300"/>
            <w:tcMar>
              <w:top w:w="80" w:type="dxa"/>
              <w:start w:w="120" w:type="dxa"/>
              <w:bottom w:w="80" w:type="dxa"/>
              <w:end w:w="120" w:type="dxa"/>
            </w:tcMar>
            <w:vAlign w:val="top"/>
          </w:tcPr>
          <w:p>
            <w:pPr>
              <w:spacing w:after="0"/>
            </w:pPr>
            <w:r>
              <w:rPr>
                <w:sz w:val="16"/>
              </w:rPr>
              <w:t>50.940186, 1.895820</w:t>
            </w:r>
          </w:p>
        </w:tc>
        <w:tc>
          <w:tcPr>
            <w:tcW w:type="dxa" w:w="4610"/>
            <w:tcMar>
              <w:top w:w="80" w:type="dxa"/>
              <w:start w:w="120" w:type="dxa"/>
              <w:bottom w:w="80" w:type="dxa"/>
              <w:end w:w="120" w:type="dxa"/>
            </w:tcMar>
            <w:vAlign w:val="top"/>
          </w:tcPr>
          <w:p>
            <w:pPr>
              <w:spacing w:after="0"/>
            </w:pPr>
            <w:r>
              <w:rPr>
                <w:sz w:val="16"/>
              </w:rPr>
              <w:t>Men's shower bus Mon–Fri 09:20; OFII outreach Tuesday morning.</w:t>
            </w:r>
          </w:p>
        </w:tc>
      </w:tr>
      <w:tr>
        <w:trPr>
          <w:cantSplit/>
        </w:trPr>
        <w:tc>
          <w:tcPr>
            <w:tcW w:type="dxa" w:w="2450"/>
            <w:tcMar>
              <w:top w:w="80" w:type="dxa"/>
              <w:start w:w="120" w:type="dxa"/>
              <w:bottom w:w="80" w:type="dxa"/>
              <w:end w:w="120" w:type="dxa"/>
            </w:tcMar>
            <w:vAlign w:val="top"/>
          </w:tcPr>
          <w:p>
            <w:pPr>
              <w:spacing w:after="0"/>
            </w:pPr>
            <w:r>
              <w:rPr>
                <w:sz w:val="16"/>
              </w:rPr>
              <w:t>Pegasus</w:t>
            </w:r>
          </w:p>
        </w:tc>
        <w:tc>
          <w:tcPr>
            <w:tcW w:type="dxa" w:w="2300"/>
            <w:tcMar>
              <w:top w:w="80" w:type="dxa"/>
              <w:start w:w="120" w:type="dxa"/>
              <w:bottom w:w="80" w:type="dxa"/>
              <w:end w:w="120" w:type="dxa"/>
            </w:tcMar>
            <w:vAlign w:val="top"/>
          </w:tcPr>
          <w:p>
            <w:pPr>
              <w:spacing w:after="0"/>
            </w:pPr>
            <w:r>
              <w:rPr>
                <w:sz w:val="16"/>
              </w:rPr>
              <w:t>Public site; verify exact point</w:t>
            </w:r>
          </w:p>
        </w:tc>
        <w:tc>
          <w:tcPr>
            <w:tcW w:type="dxa" w:w="4610"/>
            <w:tcMar>
              <w:top w:w="80" w:type="dxa"/>
              <w:start w:w="120" w:type="dxa"/>
              <w:bottom w:w="80" w:type="dxa"/>
              <w:end w:w="120" w:type="dxa"/>
            </w:tcMar>
            <w:vAlign w:val="top"/>
          </w:tcPr>
          <w:p>
            <w:pPr>
              <w:spacing w:after="0"/>
            </w:pPr>
            <w:r>
              <w:rPr>
                <w:sz w:val="16"/>
              </w:rPr>
              <w:t>CFC water container; CHIP charging Mon/Tue/Wed/Sat; FAST outreach on Thursday route.</w:t>
            </w:r>
          </w:p>
        </w:tc>
      </w:tr>
      <w:tr>
        <w:trPr>
          <w:cantSplit/>
        </w:trPr>
        <w:tc>
          <w:tcPr>
            <w:tcW w:type="dxa" w:w="2450"/>
            <w:tcMar>
              <w:top w:w="80" w:type="dxa"/>
              <w:start w:w="120" w:type="dxa"/>
              <w:bottom w:w="80" w:type="dxa"/>
              <w:end w:w="120" w:type="dxa"/>
            </w:tcMar>
            <w:vAlign w:val="top"/>
          </w:tcPr>
          <w:p>
            <w:pPr>
              <w:spacing w:after="0"/>
            </w:pPr>
            <w:r>
              <w:rPr>
                <w:sz w:val="16"/>
              </w:rPr>
              <w:t>BMX — Eritrean Jungle</w:t>
            </w:r>
          </w:p>
        </w:tc>
        <w:tc>
          <w:tcPr>
            <w:tcW w:type="dxa" w:w="2300"/>
            <w:tcMar>
              <w:top w:w="80" w:type="dxa"/>
              <w:start w:w="120" w:type="dxa"/>
              <w:bottom w:w="80" w:type="dxa"/>
              <w:end w:w="120" w:type="dxa"/>
            </w:tcMar>
            <w:vAlign w:val="top"/>
          </w:tcPr>
          <w:p>
            <w:pPr>
              <w:spacing w:after="0"/>
            </w:pPr>
            <w:r>
              <w:rPr>
                <w:sz w:val="16"/>
              </w:rPr>
              <w:t>Public site; verify exact point</w:t>
            </w:r>
          </w:p>
        </w:tc>
        <w:tc>
          <w:tcPr>
            <w:tcW w:type="dxa" w:w="4610"/>
            <w:tcMar>
              <w:top w:w="80" w:type="dxa"/>
              <w:start w:w="120" w:type="dxa"/>
              <w:bottom w:w="80" w:type="dxa"/>
              <w:end w:w="120" w:type="dxa"/>
            </w:tcMar>
            <w:vAlign w:val="top"/>
          </w:tcPr>
          <w:p>
            <w:pPr>
              <w:spacing w:after="0"/>
            </w:pPr>
            <w:r>
              <w:rPr>
                <w:sz w:val="16"/>
              </w:rPr>
              <w:t>CFC water container; CHIP charging Thu 11:00–13:00; FAST Thursday outreach.</w:t>
            </w:r>
          </w:p>
        </w:tc>
      </w:tr>
      <w:tr>
        <w:trPr>
          <w:cantSplit/>
        </w:trPr>
        <w:tc>
          <w:tcPr>
            <w:tcW w:type="dxa" w:w="2450"/>
            <w:tcMar>
              <w:top w:w="80" w:type="dxa"/>
              <w:start w:w="120" w:type="dxa"/>
              <w:bottom w:w="80" w:type="dxa"/>
              <w:end w:w="120" w:type="dxa"/>
            </w:tcMar>
            <w:vAlign w:val="top"/>
          </w:tcPr>
          <w:p>
            <w:pPr>
              <w:spacing w:after="0"/>
            </w:pPr>
            <w:r>
              <w:rPr>
                <w:sz w:val="16"/>
              </w:rPr>
              <w:t>Jean Bouin — Fontinettes</w:t>
            </w:r>
          </w:p>
        </w:tc>
        <w:tc>
          <w:tcPr>
            <w:tcW w:type="dxa" w:w="2300"/>
            <w:tcMar>
              <w:top w:w="80" w:type="dxa"/>
              <w:start w:w="120" w:type="dxa"/>
              <w:bottom w:w="80" w:type="dxa"/>
              <w:end w:w="120" w:type="dxa"/>
            </w:tcMar>
            <w:vAlign w:val="top"/>
          </w:tcPr>
          <w:p>
            <w:pPr>
              <w:spacing w:after="0"/>
            </w:pPr>
            <w:r>
              <w:rPr>
                <w:sz w:val="16"/>
              </w:rPr>
              <w:t>Public site; verify exact point</w:t>
            </w:r>
          </w:p>
        </w:tc>
        <w:tc>
          <w:tcPr>
            <w:tcW w:type="dxa" w:w="4610"/>
            <w:tcMar>
              <w:top w:w="80" w:type="dxa"/>
              <w:start w:w="120" w:type="dxa"/>
              <w:bottom w:w="80" w:type="dxa"/>
              <w:end w:w="120" w:type="dxa"/>
            </w:tcMar>
            <w:vAlign w:val="top"/>
          </w:tcPr>
          <w:p>
            <w:pPr>
              <w:spacing w:after="0"/>
            </w:pPr>
            <w:r>
              <w:rPr>
                <w:sz w:val="16"/>
              </w:rPr>
              <w:t>CFC water container; FAST Thursday outreach includes Fontinettes.</w:t>
            </w:r>
          </w:p>
        </w:tc>
      </w:tr>
      <w:tr>
        <w:trPr>
          <w:cantSplit/>
        </w:trPr>
        <w:tc>
          <w:tcPr>
            <w:tcW w:type="dxa" w:w="2450"/>
            <w:tcMar>
              <w:top w:w="80" w:type="dxa"/>
              <w:start w:w="120" w:type="dxa"/>
              <w:bottom w:w="80" w:type="dxa"/>
              <w:end w:w="120" w:type="dxa"/>
            </w:tcMar>
            <w:vAlign w:val="top"/>
          </w:tcPr>
          <w:p>
            <w:pPr>
              <w:spacing w:after="0"/>
            </w:pPr>
            <w:r>
              <w:rPr>
                <w:sz w:val="16"/>
              </w:rPr>
              <w:t>City Center water point</w:t>
            </w:r>
          </w:p>
        </w:tc>
        <w:tc>
          <w:tcPr>
            <w:tcW w:type="dxa" w:w="2300"/>
            <w:tcMar>
              <w:top w:w="80" w:type="dxa"/>
              <w:start w:w="120" w:type="dxa"/>
              <w:bottom w:w="80" w:type="dxa"/>
              <w:end w:w="120" w:type="dxa"/>
            </w:tcMar>
            <w:vAlign w:val="top"/>
          </w:tcPr>
          <w:p>
            <w:pPr>
              <w:spacing w:after="0"/>
            </w:pPr>
            <w:r>
              <w:rPr>
                <w:sz w:val="16"/>
              </w:rPr>
              <w:t>50.955111, 1.856258</w:t>
            </w:r>
          </w:p>
        </w:tc>
        <w:tc>
          <w:tcPr>
            <w:tcW w:type="dxa" w:w="4610"/>
            <w:tcMar>
              <w:top w:w="80" w:type="dxa"/>
              <w:start w:w="120" w:type="dxa"/>
              <w:bottom w:w="80" w:type="dxa"/>
              <w:end w:w="120" w:type="dxa"/>
            </w:tcMar>
            <w:vAlign w:val="top"/>
          </w:tcPr>
          <w:p>
            <w:pPr>
              <w:spacing w:after="0"/>
            </w:pPr>
            <w:r>
              <w:rPr>
                <w:sz w:val="16"/>
              </w:rPr>
              <w:t>CFC water container.</w:t>
            </w:r>
          </w:p>
        </w:tc>
      </w:tr>
      <w:tr>
        <w:trPr>
          <w:cantSplit/>
        </w:trPr>
        <w:tc>
          <w:tcPr>
            <w:tcW w:type="dxa" w:w="2450"/>
            <w:tcMar>
              <w:top w:w="80" w:type="dxa"/>
              <w:start w:w="120" w:type="dxa"/>
              <w:bottom w:w="80" w:type="dxa"/>
              <w:end w:w="120" w:type="dxa"/>
            </w:tcMar>
            <w:vAlign w:val="top"/>
          </w:tcPr>
          <w:p>
            <w:pPr>
              <w:spacing w:after="0"/>
            </w:pPr>
            <w:r>
              <w:rPr>
                <w:sz w:val="16"/>
              </w:rPr>
              <w:t>H3 water point</w:t>
            </w:r>
          </w:p>
        </w:tc>
        <w:tc>
          <w:tcPr>
            <w:tcW w:type="dxa" w:w="2300"/>
            <w:tcMar>
              <w:top w:w="80" w:type="dxa"/>
              <w:start w:w="120" w:type="dxa"/>
              <w:bottom w:w="80" w:type="dxa"/>
              <w:end w:w="120" w:type="dxa"/>
            </w:tcMar>
            <w:vAlign w:val="top"/>
          </w:tcPr>
          <w:p>
            <w:pPr>
              <w:spacing w:after="0"/>
            </w:pPr>
            <w:r>
              <w:rPr>
                <w:sz w:val="16"/>
              </w:rPr>
              <w:t>50.938383, 1.893588</w:t>
            </w:r>
          </w:p>
        </w:tc>
        <w:tc>
          <w:tcPr>
            <w:tcW w:type="dxa" w:w="4610"/>
            <w:tcMar>
              <w:top w:w="80" w:type="dxa"/>
              <w:start w:w="120" w:type="dxa"/>
              <w:bottom w:w="80" w:type="dxa"/>
              <w:end w:w="120" w:type="dxa"/>
            </w:tcMar>
            <w:vAlign w:val="top"/>
          </w:tcPr>
          <w:p>
            <w:pPr>
              <w:spacing w:after="0"/>
            </w:pPr>
            <w:r>
              <w:rPr>
                <w:sz w:val="16"/>
              </w:rPr>
              <w:t>CFC water container.</w:t>
            </w:r>
          </w:p>
        </w:tc>
      </w:tr>
      <w:tr>
        <w:trPr>
          <w:cantSplit/>
        </w:trPr>
        <w:tc>
          <w:tcPr>
            <w:tcW w:type="dxa" w:w="2450"/>
            <w:tcMar>
              <w:top w:w="80" w:type="dxa"/>
              <w:start w:w="120" w:type="dxa"/>
              <w:bottom w:w="80" w:type="dxa"/>
              <w:end w:w="120" w:type="dxa"/>
            </w:tcMar>
            <w:vAlign w:val="top"/>
          </w:tcPr>
          <w:p>
            <w:pPr>
              <w:spacing w:after="0"/>
            </w:pPr>
            <w:r>
              <w:rPr>
                <w:sz w:val="16"/>
              </w:rPr>
              <w:t>H2 water points</w:t>
            </w:r>
          </w:p>
        </w:tc>
        <w:tc>
          <w:tcPr>
            <w:tcW w:type="dxa" w:w="2300"/>
            <w:tcMar>
              <w:top w:w="80" w:type="dxa"/>
              <w:start w:w="120" w:type="dxa"/>
              <w:bottom w:w="80" w:type="dxa"/>
              <w:end w:w="120" w:type="dxa"/>
            </w:tcMar>
            <w:vAlign w:val="top"/>
          </w:tcPr>
          <w:p>
            <w:pPr>
              <w:spacing w:after="0"/>
            </w:pPr>
            <w:r>
              <w:rPr>
                <w:sz w:val="16"/>
              </w:rPr>
              <w:t>50.939451,1.899764; 50.940983,1.900864; 50.9420954,1.9018163; 50.9431507,1.9024164</w:t>
            </w:r>
          </w:p>
        </w:tc>
        <w:tc>
          <w:tcPr>
            <w:tcW w:type="dxa" w:w="4610"/>
            <w:tcMar>
              <w:top w:w="80" w:type="dxa"/>
              <w:start w:w="120" w:type="dxa"/>
              <w:bottom w:w="80" w:type="dxa"/>
              <w:end w:w="120" w:type="dxa"/>
            </w:tcMar>
            <w:vAlign w:val="top"/>
          </w:tcPr>
          <w:p>
            <w:pPr>
              <w:spacing w:after="0"/>
            </w:pPr>
            <w:r>
              <w:rPr>
                <w:sz w:val="16"/>
              </w:rPr>
              <w:t>CFC water containers.</w:t>
            </w:r>
          </w:p>
        </w:tc>
      </w:tr>
      <w:tr>
        <w:trPr>
          <w:cantSplit/>
        </w:trPr>
        <w:tc>
          <w:tcPr>
            <w:tcW w:type="dxa" w:w="2450"/>
            <w:tcMar>
              <w:top w:w="80" w:type="dxa"/>
              <w:start w:w="120" w:type="dxa"/>
              <w:bottom w:w="80" w:type="dxa"/>
              <w:end w:w="120" w:type="dxa"/>
            </w:tcMar>
            <w:vAlign w:val="top"/>
          </w:tcPr>
          <w:p>
            <w:pPr>
              <w:spacing w:after="0"/>
            </w:pPr>
            <w:r>
              <w:rPr>
                <w:sz w:val="16"/>
              </w:rPr>
              <w:t>Secours Catholique Day Centre</w:t>
            </w:r>
          </w:p>
        </w:tc>
        <w:tc>
          <w:tcPr>
            <w:tcW w:type="dxa" w:w="2300"/>
            <w:tcMar>
              <w:top w:w="80" w:type="dxa"/>
              <w:start w:w="120" w:type="dxa"/>
              <w:bottom w:w="80" w:type="dxa"/>
              <w:end w:w="120" w:type="dxa"/>
            </w:tcMar>
            <w:vAlign w:val="top"/>
          </w:tcPr>
          <w:p>
            <w:pPr>
              <w:spacing w:after="0"/>
            </w:pPr>
            <w:r>
              <w:rPr>
                <w:sz w:val="16"/>
              </w:rPr>
              <w:t>39 Rue de Moscou, 62100 Calais</w:t>
            </w:r>
          </w:p>
        </w:tc>
        <w:tc>
          <w:tcPr>
            <w:tcW w:type="dxa" w:w="4610"/>
            <w:tcMar>
              <w:top w:w="80" w:type="dxa"/>
              <w:start w:w="120" w:type="dxa"/>
              <w:bottom w:w="80" w:type="dxa"/>
              <w:end w:w="120" w:type="dxa"/>
            </w:tcMar>
            <w:vAlign w:val="top"/>
          </w:tcPr>
          <w:p>
            <w:pPr>
              <w:spacing w:after="0"/>
            </w:pPr>
            <w:r>
              <w:rPr>
                <w:sz w:val="16"/>
              </w:rPr>
              <w:t>Community, information, support, charging/Wi-Fi, medical permanences, family links, legal information sessions, minors/women activities; schedules vary by service.</w:t>
            </w:r>
          </w:p>
        </w:tc>
      </w:tr>
      <w:tr>
        <w:trPr>
          <w:cantSplit/>
        </w:trPr>
        <w:tc>
          <w:tcPr>
            <w:tcW w:type="dxa" w:w="2450"/>
            <w:tcMar>
              <w:top w:w="80" w:type="dxa"/>
              <w:start w:w="120" w:type="dxa"/>
              <w:bottom w:w="80" w:type="dxa"/>
              <w:end w:w="120" w:type="dxa"/>
            </w:tcMar>
            <w:vAlign w:val="top"/>
          </w:tcPr>
          <w:p>
            <w:pPr>
              <w:spacing w:after="0"/>
            </w:pPr>
            <w:r>
              <w:rPr>
                <w:sz w:val="16"/>
              </w:rPr>
              <w:t>Maison d'Entraide et de Ressources (MER)</w:t>
            </w:r>
          </w:p>
        </w:tc>
        <w:tc>
          <w:tcPr>
            <w:tcW w:type="dxa" w:w="2300"/>
            <w:tcMar>
              <w:top w:w="80" w:type="dxa"/>
              <w:start w:w="120" w:type="dxa"/>
              <w:bottom w:w="80" w:type="dxa"/>
              <w:end w:w="120" w:type="dxa"/>
            </w:tcMar>
            <w:vAlign w:val="top"/>
          </w:tcPr>
          <w:p>
            <w:pPr>
              <w:spacing w:after="0"/>
            </w:pPr>
            <w:r>
              <w:rPr>
                <w:sz w:val="16"/>
              </w:rPr>
              <w:t>3 Rue de Croy, 62100 Calais</w:t>
            </w:r>
          </w:p>
        </w:tc>
        <w:tc>
          <w:tcPr>
            <w:tcW w:type="dxa" w:w="4610"/>
            <w:tcMar>
              <w:top w:w="80" w:type="dxa"/>
              <w:start w:w="120" w:type="dxa"/>
              <w:bottom w:w="80" w:type="dxa"/>
              <w:end w:w="120" w:type="dxa"/>
            </w:tcMar>
            <w:vAlign w:val="top"/>
          </w:tcPr>
          <w:p>
            <w:pPr>
              <w:spacing w:after="0"/>
            </w:pPr>
            <w:r>
              <w:rPr>
                <w:sz w:val="16"/>
              </w:rPr>
              <w:t>Domiciliation and writing assistance Tue/Thu 14:30–16:00, subject to volunteer availability.</w:t>
            </w:r>
          </w:p>
        </w:tc>
      </w:tr>
      <w:tr>
        <w:trPr>
          <w:cantSplit/>
        </w:trPr>
        <w:tc>
          <w:tcPr>
            <w:tcW w:type="dxa" w:w="2450"/>
            <w:tcMar>
              <w:top w:w="80" w:type="dxa"/>
              <w:start w:w="120" w:type="dxa"/>
              <w:bottom w:w="80" w:type="dxa"/>
              <w:end w:w="120" w:type="dxa"/>
            </w:tcMar>
            <w:vAlign w:val="top"/>
          </w:tcPr>
          <w:p>
            <w:pPr>
              <w:spacing w:after="0"/>
            </w:pPr>
            <w:r>
              <w:rPr>
                <w:sz w:val="16"/>
              </w:rPr>
              <w:t>Rue des Huttes toilet</w:t>
            </w:r>
          </w:p>
        </w:tc>
        <w:tc>
          <w:tcPr>
            <w:tcW w:type="dxa" w:w="2300"/>
            <w:tcMar>
              <w:top w:w="80" w:type="dxa"/>
              <w:start w:w="120" w:type="dxa"/>
              <w:bottom w:w="80" w:type="dxa"/>
              <w:end w:w="120" w:type="dxa"/>
            </w:tcMar>
            <w:vAlign w:val="top"/>
          </w:tcPr>
          <w:p>
            <w:pPr>
              <w:spacing w:after="0"/>
            </w:pPr>
            <w:r>
              <w:rPr>
                <w:sz w:val="16"/>
              </w:rPr>
              <w:t>50.964806, 1.895489</w:t>
            </w:r>
          </w:p>
        </w:tc>
        <w:tc>
          <w:tcPr>
            <w:tcW w:type="dxa" w:w="4610"/>
            <w:tcMar>
              <w:top w:w="80" w:type="dxa"/>
              <w:start w:w="120" w:type="dxa"/>
              <w:bottom w:w="80" w:type="dxa"/>
              <w:end w:w="120" w:type="dxa"/>
            </w:tcMar>
            <w:vAlign w:val="top"/>
          </w:tcPr>
          <w:p>
            <w:pPr>
              <w:spacing w:after="0"/>
            </w:pPr>
            <w:r>
              <w:rPr>
                <w:sz w:val="16"/>
              </w:rPr>
              <w:t>Public toilet location listed.</w:t>
            </w:r>
          </w:p>
        </w:tc>
      </w:tr>
      <w:tr>
        <w:trPr>
          <w:cantSplit/>
        </w:trPr>
        <w:tc>
          <w:tcPr>
            <w:tcW w:type="dxa" w:w="2450"/>
            <w:tcMar>
              <w:top w:w="80" w:type="dxa"/>
              <w:start w:w="120" w:type="dxa"/>
              <w:bottom w:w="80" w:type="dxa"/>
              <w:end w:w="120" w:type="dxa"/>
            </w:tcMar>
            <w:vAlign w:val="top"/>
          </w:tcPr>
          <w:p>
            <w:pPr>
              <w:spacing w:after="0"/>
            </w:pPr>
            <w:r>
              <w:rPr>
                <w:sz w:val="16"/>
              </w:rPr>
              <w:t>PASS</w:t>
            </w:r>
          </w:p>
        </w:tc>
        <w:tc>
          <w:tcPr>
            <w:tcW w:type="dxa" w:w="2300"/>
            <w:tcMar>
              <w:top w:w="80" w:type="dxa"/>
              <w:start w:w="120" w:type="dxa"/>
              <w:bottom w:w="80" w:type="dxa"/>
              <w:end w:w="120" w:type="dxa"/>
            </w:tcMar>
            <w:vAlign w:val="top"/>
          </w:tcPr>
          <w:p>
            <w:pPr>
              <w:spacing w:after="0"/>
            </w:pPr>
            <w:r>
              <w:rPr>
                <w:sz w:val="16"/>
              </w:rPr>
              <w:t>1601 Boulevard des Justes, 62100 Calais</w:t>
            </w:r>
          </w:p>
        </w:tc>
        <w:tc>
          <w:tcPr>
            <w:tcW w:type="dxa" w:w="4610"/>
            <w:tcMar>
              <w:top w:w="80" w:type="dxa"/>
              <w:start w:w="120" w:type="dxa"/>
              <w:bottom w:w="80" w:type="dxa"/>
              <w:end w:w="120" w:type="dxa"/>
            </w:tcMar>
            <w:vAlign w:val="top"/>
          </w:tcPr>
          <w:p>
            <w:pPr>
              <w:spacing w:after="0"/>
            </w:pPr>
            <w:r>
              <w:rPr>
                <w:sz w:val="16"/>
              </w:rPr>
              <w:t>Free medical appointments Mon–Fri 09:00–12:00 and 13:30–16:30; specialist schedules in source require date verification.</w:t>
            </w:r>
          </w:p>
        </w:tc>
      </w:tr>
      <w:tr>
        <w:trPr>
          <w:cantSplit/>
        </w:trPr>
        <w:tc>
          <w:tcPr>
            <w:tcW w:type="dxa" w:w="2450"/>
            <w:tcMar>
              <w:top w:w="80" w:type="dxa"/>
              <w:start w:w="120" w:type="dxa"/>
              <w:bottom w:w="80" w:type="dxa"/>
              <w:end w:w="120" w:type="dxa"/>
            </w:tcMar>
            <w:vAlign w:val="top"/>
          </w:tcPr>
          <w:p>
            <w:pPr>
              <w:spacing w:after="0"/>
            </w:pPr>
            <w:r>
              <w:rPr>
                <w:sz w:val="16"/>
              </w:rPr>
              <w:t>COALLIA (SPADA)</w:t>
            </w:r>
          </w:p>
        </w:tc>
        <w:tc>
          <w:tcPr>
            <w:tcW w:type="dxa" w:w="2300"/>
            <w:tcMar>
              <w:top w:w="80" w:type="dxa"/>
              <w:start w:w="120" w:type="dxa"/>
              <w:bottom w:w="80" w:type="dxa"/>
              <w:end w:w="120" w:type="dxa"/>
            </w:tcMar>
            <w:vAlign w:val="top"/>
          </w:tcPr>
          <w:p>
            <w:pPr>
              <w:spacing w:after="0"/>
            </w:pPr>
            <w:r>
              <w:rPr>
                <w:sz w:val="16"/>
              </w:rPr>
              <w:t>1 Allée du Chargement, 59660 Villeneuve-d'Ascq</w:t>
            </w:r>
          </w:p>
        </w:tc>
        <w:tc>
          <w:tcPr>
            <w:tcW w:type="dxa" w:w="4610"/>
            <w:tcMar>
              <w:top w:w="80" w:type="dxa"/>
              <w:start w:w="120" w:type="dxa"/>
              <w:bottom w:w="80" w:type="dxa"/>
              <w:end w:w="120" w:type="dxa"/>
            </w:tcMar>
            <w:vAlign w:val="top"/>
          </w:tcPr>
          <w:p>
            <w:pPr>
              <w:spacing w:after="0"/>
            </w:pPr>
            <w:r>
              <w:rPr>
                <w:sz w:val="16"/>
              </w:rPr>
              <w:t>Pre-registration appointment requests Mon–Fri mornings 09:00–11:30; outside Calais.</w:t>
            </w:r>
          </w:p>
        </w:tc>
      </w:tr>
      <w:tr>
        <w:trPr>
          <w:cantSplit/>
        </w:trPr>
        <w:tc>
          <w:tcPr>
            <w:tcW w:type="dxa" w:w="2450"/>
            <w:tcMar>
              <w:top w:w="80" w:type="dxa"/>
              <w:start w:w="120" w:type="dxa"/>
              <w:bottom w:w="80" w:type="dxa"/>
              <w:end w:w="120" w:type="dxa"/>
            </w:tcMar>
            <w:vAlign w:val="top"/>
          </w:tcPr>
          <w:p>
            <w:pPr>
              <w:spacing w:after="0"/>
            </w:pPr>
            <w:r>
              <w:rPr>
                <w:sz w:val="16"/>
              </w:rPr>
              <w:t>La Ressourcerie</w:t>
            </w:r>
          </w:p>
        </w:tc>
        <w:tc>
          <w:tcPr>
            <w:tcW w:type="dxa" w:w="2300"/>
            <w:tcMar>
              <w:top w:w="80" w:type="dxa"/>
              <w:start w:w="120" w:type="dxa"/>
              <w:bottom w:w="80" w:type="dxa"/>
              <w:end w:w="120" w:type="dxa"/>
            </w:tcMar>
            <w:vAlign w:val="top"/>
          </w:tcPr>
          <w:p>
            <w:pPr>
              <w:spacing w:after="0"/>
            </w:pPr>
            <w:r>
              <w:rPr>
                <w:sz w:val="16"/>
              </w:rPr>
              <w:t>50.967166, 1.894401</w:t>
            </w:r>
          </w:p>
        </w:tc>
        <w:tc>
          <w:tcPr>
            <w:tcW w:type="dxa" w:w="4610"/>
            <w:tcMar>
              <w:top w:w="80" w:type="dxa"/>
              <w:start w:w="120" w:type="dxa"/>
              <w:bottom w:w="80" w:type="dxa"/>
              <w:end w:w="120" w:type="dxa"/>
            </w:tcMar>
            <w:vAlign w:val="top"/>
          </w:tcPr>
          <w:p>
            <w:pPr>
              <w:spacing w:after="0"/>
            </w:pPr>
            <w:r>
              <w:rPr>
                <w:sz w:val="16"/>
              </w:rPr>
              <w:t>Recovery point for belongings, Mon–Fri 13:00–16:00 according to source.</w:t>
            </w:r>
          </w:p>
        </w:tc>
      </w:tr>
    </w:tbl>
    <w:p>
      <w:pPr>
        <w:pStyle w:val="TableSource"/>
      </w:pPr>
    </w:p>
    <w:p>
      <w:pPr>
        <w:pStyle w:val="Heading2"/>
      </w:pPr>
      <w:r>
        <w:t>Appendix A2 — Named organisations and remote services</w:t>
      </w:r>
    </w:p>
    <w:tbl>
      <w:tblPr>
        <w:tblStyle w:val="TableGrid"/>
        <w:tblW w:type="dxa" w:w="9360"/>
        <w:jc w:val="center"/>
        <w:tblLayout w:type="fixed"/>
        <w:tblLook w:firstColumn="1" w:firstRow="1" w:lastColumn="0" w:lastRow="0" w:noHBand="0" w:noVBand="1" w:val="04A0"/>
        <w:tblInd w:w="120" w:type="dxa"/>
      </w:tblPr>
      <w:tblGrid>
        <w:gridCol w:w="2550"/>
        <w:gridCol w:w="2850"/>
        <w:gridCol w:w="3960"/>
      </w:tblGrid>
      <w:tr>
        <w:trPr>
          <w:tblHeader w:val="true"/>
          <w:cantSplit/>
        </w:trPr>
        <w:tc>
          <w:tcPr>
            <w:tcW w:type="dxa" w:w="2550"/>
            <w:shd w:fill="E8EEF5"/>
            <w:tcMar>
              <w:top w:w="80" w:type="dxa"/>
              <w:start w:w="120" w:type="dxa"/>
              <w:bottom w:w="80" w:type="dxa"/>
              <w:end w:w="120" w:type="dxa"/>
            </w:tcMar>
            <w:vAlign w:val="top"/>
          </w:tcPr>
          <w:p>
            <w:pPr>
              <w:spacing w:after="0"/>
            </w:pPr>
            <w:r>
              <w:rPr>
                <w:b/>
                <w:color w:val="0B2545"/>
                <w:sz w:val="17"/>
              </w:rPr>
              <w:t>Organisation/service</w:t>
            </w:r>
          </w:p>
        </w:tc>
        <w:tc>
          <w:tcPr>
            <w:tcW w:type="dxa" w:w="2850"/>
            <w:shd w:fill="E8EEF5"/>
            <w:tcMar>
              <w:top w:w="80" w:type="dxa"/>
              <w:start w:w="120" w:type="dxa"/>
              <w:bottom w:w="80" w:type="dxa"/>
              <w:end w:w="120" w:type="dxa"/>
            </w:tcMar>
            <w:vAlign w:val="top"/>
          </w:tcPr>
          <w:p>
            <w:pPr>
              <w:spacing w:after="0"/>
            </w:pPr>
            <w:r>
              <w:rPr>
                <w:b/>
                <w:color w:val="0B2545"/>
                <w:sz w:val="17"/>
              </w:rPr>
              <w:t>Contact</w:t>
            </w:r>
          </w:p>
        </w:tc>
        <w:tc>
          <w:tcPr>
            <w:tcW w:type="dxa" w:w="3960"/>
            <w:shd w:fill="E8EEF5"/>
            <w:tcMar>
              <w:top w:w="80" w:type="dxa"/>
              <w:start w:w="120" w:type="dxa"/>
              <w:bottom w:w="80" w:type="dxa"/>
              <w:end w:w="120" w:type="dxa"/>
            </w:tcMar>
            <w:vAlign w:val="top"/>
          </w:tcPr>
          <w:p>
            <w:pPr>
              <w:spacing w:after="0"/>
            </w:pPr>
            <w:r>
              <w:rPr>
                <w:b/>
                <w:color w:val="0B2545"/>
                <w:sz w:val="17"/>
              </w:rPr>
              <w:t>Role as described in attached guide</w:t>
            </w:r>
          </w:p>
        </w:tc>
      </w:tr>
      <w:tr>
        <w:trPr>
          <w:cantSplit/>
        </w:trPr>
        <w:tc>
          <w:tcPr>
            <w:tcW w:type="dxa" w:w="2550"/>
            <w:tcMar>
              <w:top w:w="80" w:type="dxa"/>
              <w:start w:w="120" w:type="dxa"/>
              <w:bottom w:w="80" w:type="dxa"/>
              <w:end w:w="120" w:type="dxa"/>
            </w:tcMar>
            <w:vAlign w:val="top"/>
          </w:tcPr>
          <w:p>
            <w:pPr>
              <w:spacing w:after="0"/>
            </w:pPr>
            <w:r>
              <w:rPr>
                <w:sz w:val="16"/>
              </w:rPr>
              <w:t>Emergency services</w:t>
            </w:r>
          </w:p>
        </w:tc>
        <w:tc>
          <w:tcPr>
            <w:tcW w:type="dxa" w:w="2850"/>
            <w:tcMar>
              <w:top w:w="80" w:type="dxa"/>
              <w:start w:w="120" w:type="dxa"/>
              <w:bottom w:w="80" w:type="dxa"/>
              <w:end w:w="120" w:type="dxa"/>
            </w:tcMar>
            <w:vAlign w:val="top"/>
          </w:tcPr>
          <w:p>
            <w:pPr>
              <w:spacing w:after="0"/>
            </w:pPr>
            <w:r>
              <w:rPr>
                <w:sz w:val="16"/>
              </w:rPr>
              <w:t>112</w:t>
            </w:r>
          </w:p>
        </w:tc>
        <w:tc>
          <w:tcPr>
            <w:tcW w:type="dxa" w:w="3960"/>
            <w:tcMar>
              <w:top w:w="80" w:type="dxa"/>
              <w:start w:w="120" w:type="dxa"/>
              <w:bottom w:w="80" w:type="dxa"/>
              <w:end w:w="120" w:type="dxa"/>
            </w:tcMar>
            <w:vAlign w:val="top"/>
          </w:tcPr>
          <w:p>
            <w:pPr>
              <w:spacing w:after="0"/>
            </w:pPr>
            <w:r>
              <w:rPr>
                <w:sz w:val="16"/>
              </w:rPr>
              <w:t>General emergency / sea rescue; ask for coastguard for sea rescue.</w:t>
            </w:r>
          </w:p>
        </w:tc>
      </w:tr>
      <w:tr>
        <w:trPr>
          <w:cantSplit/>
        </w:trPr>
        <w:tc>
          <w:tcPr>
            <w:tcW w:type="dxa" w:w="2550"/>
            <w:tcMar>
              <w:top w:w="80" w:type="dxa"/>
              <w:start w:w="120" w:type="dxa"/>
              <w:bottom w:w="80" w:type="dxa"/>
              <w:end w:w="120" w:type="dxa"/>
            </w:tcMar>
            <w:vAlign w:val="top"/>
          </w:tcPr>
          <w:p>
            <w:pPr>
              <w:spacing w:after="0"/>
            </w:pPr>
            <w:r>
              <w:rPr>
                <w:sz w:val="16"/>
              </w:rPr>
              <w:t>Emergency accommodation SAMU</w:t>
            </w:r>
          </w:p>
        </w:tc>
        <w:tc>
          <w:tcPr>
            <w:tcW w:type="dxa" w:w="2850"/>
            <w:tcMar>
              <w:top w:w="80" w:type="dxa"/>
              <w:start w:w="120" w:type="dxa"/>
              <w:bottom w:w="80" w:type="dxa"/>
              <w:end w:w="120" w:type="dxa"/>
            </w:tcMar>
            <w:vAlign w:val="top"/>
          </w:tcPr>
          <w:p>
            <w:pPr>
              <w:spacing w:after="0"/>
            </w:pPr>
            <w:r>
              <w:rPr>
                <w:sz w:val="16"/>
              </w:rPr>
              <w:t>115</w:t>
            </w:r>
          </w:p>
        </w:tc>
        <w:tc>
          <w:tcPr>
            <w:tcW w:type="dxa" w:w="3960"/>
            <w:tcMar>
              <w:top w:w="80" w:type="dxa"/>
              <w:start w:w="120" w:type="dxa"/>
              <w:bottom w:w="80" w:type="dxa"/>
              <w:end w:w="120" w:type="dxa"/>
            </w:tcMar>
            <w:vAlign w:val="top"/>
          </w:tcPr>
          <w:p>
            <w:pPr>
              <w:spacing w:after="0"/>
            </w:pPr>
            <w:r>
              <w:rPr>
                <w:sz w:val="16"/>
              </w:rPr>
              <w:t>One-night emergency accommodation; call after 14:00 per source; free 24/7.</w:t>
            </w:r>
          </w:p>
        </w:tc>
      </w:tr>
      <w:tr>
        <w:trPr>
          <w:cantSplit/>
        </w:trPr>
        <w:tc>
          <w:tcPr>
            <w:tcW w:type="dxa" w:w="2550"/>
            <w:tcMar>
              <w:top w:w="80" w:type="dxa"/>
              <w:start w:w="120" w:type="dxa"/>
              <w:bottom w:w="80" w:type="dxa"/>
              <w:end w:w="120" w:type="dxa"/>
            </w:tcMar>
            <w:vAlign w:val="top"/>
          </w:tcPr>
          <w:p>
            <w:pPr>
              <w:spacing w:after="0"/>
            </w:pPr>
            <w:r>
              <w:rPr>
                <w:sz w:val="16"/>
              </w:rPr>
              <w:t>Medical emergency</w:t>
            </w:r>
          </w:p>
        </w:tc>
        <w:tc>
          <w:tcPr>
            <w:tcW w:type="dxa" w:w="2850"/>
            <w:tcMar>
              <w:top w:w="80" w:type="dxa"/>
              <w:start w:w="120" w:type="dxa"/>
              <w:bottom w:w="80" w:type="dxa"/>
              <w:end w:w="120" w:type="dxa"/>
            </w:tcMar>
            <w:vAlign w:val="top"/>
          </w:tcPr>
          <w:p>
            <w:pPr>
              <w:spacing w:after="0"/>
            </w:pPr>
            <w:r>
              <w:rPr>
                <w:sz w:val="16"/>
              </w:rPr>
              <w:t>15 or 112</w:t>
            </w:r>
          </w:p>
        </w:tc>
        <w:tc>
          <w:tcPr>
            <w:tcW w:type="dxa" w:w="3960"/>
            <w:tcMar>
              <w:top w:w="80" w:type="dxa"/>
              <w:start w:w="120" w:type="dxa"/>
              <w:bottom w:w="80" w:type="dxa"/>
              <w:end w:w="120" w:type="dxa"/>
            </w:tcMar>
            <w:vAlign w:val="top"/>
          </w:tcPr>
          <w:p>
            <w:pPr>
              <w:spacing w:after="0"/>
            </w:pPr>
            <w:r>
              <w:rPr>
                <w:sz w:val="16"/>
              </w:rPr>
              <w:t>Ambulance/hospital route.</w:t>
            </w:r>
          </w:p>
        </w:tc>
      </w:tr>
      <w:tr>
        <w:trPr>
          <w:cantSplit/>
        </w:trPr>
        <w:tc>
          <w:tcPr>
            <w:tcW w:type="dxa" w:w="2550"/>
            <w:tcMar>
              <w:top w:w="80" w:type="dxa"/>
              <w:start w:w="120" w:type="dxa"/>
              <w:bottom w:w="80" w:type="dxa"/>
              <w:end w:w="120" w:type="dxa"/>
            </w:tcMar>
            <w:vAlign w:val="top"/>
          </w:tcPr>
          <w:p>
            <w:pPr>
              <w:spacing w:after="0"/>
            </w:pPr>
            <w:r>
              <w:rPr>
                <w:sz w:val="16"/>
              </w:rPr>
              <w:t>Alarm Phone</w:t>
            </w:r>
          </w:p>
        </w:tc>
        <w:tc>
          <w:tcPr>
            <w:tcW w:type="dxa" w:w="2850"/>
            <w:tcMar>
              <w:top w:w="80" w:type="dxa"/>
              <w:start w:w="120" w:type="dxa"/>
              <w:bottom w:w="80" w:type="dxa"/>
              <w:end w:w="120" w:type="dxa"/>
            </w:tcMar>
            <w:vAlign w:val="top"/>
          </w:tcPr>
          <w:p>
            <w:pPr>
              <w:spacing w:after="0"/>
            </w:pPr>
            <w:r>
              <w:rPr>
                <w:sz w:val="16"/>
              </w:rPr>
              <w:t>+33 4 86 51 71 61</w:t>
            </w:r>
          </w:p>
        </w:tc>
        <w:tc>
          <w:tcPr>
            <w:tcW w:type="dxa" w:w="3960"/>
            <w:tcMar>
              <w:top w:w="80" w:type="dxa"/>
              <w:start w:w="120" w:type="dxa"/>
              <w:bottom w:w="80" w:type="dxa"/>
              <w:end w:w="120" w:type="dxa"/>
            </w:tcMar>
            <w:vAlign w:val="top"/>
          </w:tcPr>
          <w:p>
            <w:pPr>
              <w:spacing w:after="0"/>
            </w:pPr>
            <w:r>
              <w:rPr>
                <w:sz w:val="16"/>
              </w:rPr>
              <w:t>Communication support after coastguard has been called.</w:t>
            </w:r>
          </w:p>
        </w:tc>
      </w:tr>
      <w:tr>
        <w:trPr>
          <w:cantSplit/>
        </w:trPr>
        <w:tc>
          <w:tcPr>
            <w:tcW w:type="dxa" w:w="2550"/>
            <w:tcMar>
              <w:top w:w="80" w:type="dxa"/>
              <w:start w:w="120" w:type="dxa"/>
              <w:bottom w:w="80" w:type="dxa"/>
              <w:end w:w="120" w:type="dxa"/>
            </w:tcMar>
            <w:vAlign w:val="top"/>
          </w:tcPr>
          <w:p>
            <w:pPr>
              <w:spacing w:after="0"/>
            </w:pPr>
            <w:r>
              <w:rPr>
                <w:sz w:val="16"/>
              </w:rPr>
              <w:t>Utopia 56</w:t>
            </w:r>
          </w:p>
        </w:tc>
        <w:tc>
          <w:tcPr>
            <w:tcW w:type="dxa" w:w="2850"/>
            <w:tcMar>
              <w:top w:w="80" w:type="dxa"/>
              <w:start w:w="120" w:type="dxa"/>
              <w:bottom w:w="80" w:type="dxa"/>
              <w:end w:w="120" w:type="dxa"/>
            </w:tcMar>
            <w:vAlign w:val="top"/>
          </w:tcPr>
          <w:p>
            <w:pPr>
              <w:spacing w:after="0"/>
            </w:pPr>
            <w:r>
              <w:rPr>
                <w:sz w:val="16"/>
              </w:rPr>
              <w:t>+33 7 53 91 85 96</w:t>
            </w:r>
          </w:p>
        </w:tc>
        <w:tc>
          <w:tcPr>
            <w:tcW w:type="dxa" w:w="3960"/>
            <w:tcMar>
              <w:top w:w="80" w:type="dxa"/>
              <w:start w:w="120" w:type="dxa"/>
              <w:bottom w:w="80" w:type="dxa"/>
              <w:end w:w="120" w:type="dxa"/>
            </w:tcMar>
            <w:vAlign w:val="top"/>
          </w:tcPr>
          <w:p>
            <w:pPr>
              <w:spacing w:after="0"/>
            </w:pPr>
            <w:r>
              <w:rPr>
                <w:sz w:val="16"/>
              </w:rPr>
              <w:t>24/7 information/referral, emergency/crossing-risk and post-attempt support per source.</w:t>
            </w:r>
          </w:p>
        </w:tc>
      </w:tr>
      <w:tr>
        <w:trPr>
          <w:cantSplit/>
        </w:trPr>
        <w:tc>
          <w:tcPr>
            <w:tcW w:type="dxa" w:w="2550"/>
            <w:tcMar>
              <w:top w:w="80" w:type="dxa"/>
              <w:start w:w="120" w:type="dxa"/>
              <w:bottom w:w="80" w:type="dxa"/>
              <w:end w:w="120" w:type="dxa"/>
            </w:tcMar>
            <w:vAlign w:val="top"/>
          </w:tcPr>
          <w:p>
            <w:pPr>
              <w:spacing w:after="0"/>
            </w:pPr>
            <w:r>
              <w:rPr>
                <w:sz w:val="16"/>
              </w:rPr>
              <w:t>La Vie Active</w:t>
            </w:r>
          </w:p>
        </w:tc>
        <w:tc>
          <w:tcPr>
            <w:tcW w:type="dxa" w:w="2850"/>
            <w:tcMar>
              <w:top w:w="80" w:type="dxa"/>
              <w:start w:w="120" w:type="dxa"/>
              <w:bottom w:w="80" w:type="dxa"/>
              <w:end w:w="120" w:type="dxa"/>
            </w:tcMar>
            <w:vAlign w:val="top"/>
          </w:tcPr>
          <w:p>
            <w:pPr>
              <w:spacing w:after="0"/>
            </w:pPr>
            <w:r>
              <w:rPr>
                <w:sz w:val="16"/>
              </w:rPr>
              <w:t>On-site</w:t>
            </w:r>
          </w:p>
        </w:tc>
        <w:tc>
          <w:tcPr>
            <w:tcW w:type="dxa" w:w="3960"/>
            <w:tcMar>
              <w:top w:w="80" w:type="dxa"/>
              <w:start w:w="120" w:type="dxa"/>
              <w:bottom w:w="80" w:type="dxa"/>
              <w:end w:w="120" w:type="dxa"/>
            </w:tcMar>
            <w:vAlign w:val="top"/>
          </w:tcPr>
          <w:p>
            <w:pPr>
              <w:spacing w:after="0"/>
            </w:pPr>
            <w:r>
              <w:rPr>
                <w:sz w:val="16"/>
              </w:rPr>
              <w:t>Food, water and state shower shuttle operator named in guide.</w:t>
            </w:r>
          </w:p>
        </w:tc>
      </w:tr>
      <w:tr>
        <w:trPr>
          <w:cantSplit/>
        </w:trPr>
        <w:tc>
          <w:tcPr>
            <w:tcW w:type="dxa" w:w="2550"/>
            <w:tcMar>
              <w:top w:w="80" w:type="dxa"/>
              <w:start w:w="120" w:type="dxa"/>
              <w:bottom w:w="80" w:type="dxa"/>
              <w:end w:w="120" w:type="dxa"/>
            </w:tcMar>
            <w:vAlign w:val="top"/>
          </w:tcPr>
          <w:p>
            <w:pPr>
              <w:spacing w:after="0"/>
            </w:pPr>
            <w:r>
              <w:rPr>
                <w:sz w:val="16"/>
              </w:rPr>
              <w:t>Salam</w:t>
            </w:r>
          </w:p>
        </w:tc>
        <w:tc>
          <w:tcPr>
            <w:tcW w:type="dxa" w:w="2850"/>
            <w:tcMar>
              <w:top w:w="80" w:type="dxa"/>
              <w:start w:w="120" w:type="dxa"/>
              <w:bottom w:w="80" w:type="dxa"/>
              <w:end w:w="120" w:type="dxa"/>
            </w:tcMar>
            <w:vAlign w:val="top"/>
          </w:tcPr>
          <w:p>
            <w:pPr>
              <w:spacing w:after="0"/>
            </w:pPr>
            <w:r>
              <w:rPr>
                <w:sz w:val="16"/>
              </w:rPr>
              <w:t>On-site</w:t>
            </w:r>
          </w:p>
        </w:tc>
        <w:tc>
          <w:tcPr>
            <w:tcW w:type="dxa" w:w="3960"/>
            <w:tcMar>
              <w:top w:w="80" w:type="dxa"/>
              <w:start w:w="120" w:type="dxa"/>
              <w:bottom w:w="80" w:type="dxa"/>
              <w:end w:w="120" w:type="dxa"/>
            </w:tcMar>
            <w:vAlign w:val="top"/>
          </w:tcPr>
          <w:p>
            <w:pPr>
              <w:spacing w:after="0"/>
            </w:pPr>
            <w:r>
              <w:rPr>
                <w:sz w:val="16"/>
              </w:rPr>
              <w:t>Breakfast and requested blankets/hygiene at listed locations.</w:t>
            </w:r>
          </w:p>
        </w:tc>
      </w:tr>
      <w:tr>
        <w:trPr>
          <w:cantSplit/>
        </w:trPr>
        <w:tc>
          <w:tcPr>
            <w:tcW w:type="dxa" w:w="2550"/>
            <w:tcMar>
              <w:top w:w="80" w:type="dxa"/>
              <w:start w:w="120" w:type="dxa"/>
              <w:bottom w:w="80" w:type="dxa"/>
              <w:end w:w="120" w:type="dxa"/>
            </w:tcMar>
            <w:vAlign w:val="top"/>
          </w:tcPr>
          <w:p>
            <w:pPr>
              <w:spacing w:after="0"/>
            </w:pPr>
            <w:r>
              <w:rPr>
                <w:sz w:val="16"/>
              </w:rPr>
              <w:t>RCK</w:t>
            </w:r>
          </w:p>
        </w:tc>
        <w:tc>
          <w:tcPr>
            <w:tcW w:type="dxa" w:w="2850"/>
            <w:tcMar>
              <w:top w:w="80" w:type="dxa"/>
              <w:start w:w="120" w:type="dxa"/>
              <w:bottom w:w="80" w:type="dxa"/>
              <w:end w:w="120" w:type="dxa"/>
            </w:tcMar>
            <w:vAlign w:val="top"/>
          </w:tcPr>
          <w:p>
            <w:pPr>
              <w:spacing w:after="0"/>
            </w:pPr>
            <w:r>
              <w:rPr>
                <w:sz w:val="16"/>
              </w:rPr>
              <w:t>On-site</w:t>
            </w:r>
          </w:p>
        </w:tc>
        <w:tc>
          <w:tcPr>
            <w:tcW w:type="dxa" w:w="3960"/>
            <w:tcMar>
              <w:top w:w="80" w:type="dxa"/>
              <w:start w:w="120" w:type="dxa"/>
              <w:bottom w:w="80" w:type="dxa"/>
              <w:end w:w="120" w:type="dxa"/>
            </w:tcMar>
            <w:vAlign w:val="top"/>
          </w:tcPr>
          <w:p>
            <w:pPr>
              <w:spacing w:after="0"/>
            </w:pPr>
            <w:r>
              <w:rPr>
                <w:sz w:val="16"/>
              </w:rPr>
              <w:t>Meals at English Toilet and Quai de la Meuse.</w:t>
            </w:r>
          </w:p>
        </w:tc>
      </w:tr>
      <w:tr>
        <w:trPr>
          <w:cantSplit/>
        </w:trPr>
        <w:tc>
          <w:tcPr>
            <w:tcW w:type="dxa" w:w="2550"/>
            <w:tcMar>
              <w:top w:w="80" w:type="dxa"/>
              <w:start w:w="120" w:type="dxa"/>
              <w:bottom w:w="80" w:type="dxa"/>
              <w:end w:w="120" w:type="dxa"/>
            </w:tcMar>
            <w:vAlign w:val="top"/>
          </w:tcPr>
          <w:p>
            <w:pPr>
              <w:spacing w:after="0"/>
            </w:pPr>
            <w:r>
              <w:rPr>
                <w:sz w:val="16"/>
              </w:rPr>
              <w:t>CFC</w:t>
            </w:r>
          </w:p>
        </w:tc>
        <w:tc>
          <w:tcPr>
            <w:tcW w:type="dxa" w:w="2850"/>
            <w:tcMar>
              <w:top w:w="80" w:type="dxa"/>
              <w:start w:w="120" w:type="dxa"/>
              <w:bottom w:w="80" w:type="dxa"/>
              <w:end w:w="120" w:type="dxa"/>
            </w:tcMar>
            <w:vAlign w:val="top"/>
          </w:tcPr>
          <w:p>
            <w:pPr>
              <w:spacing w:after="0"/>
            </w:pPr>
            <w:r>
              <w:rPr>
                <w:sz w:val="16"/>
              </w:rPr>
              <w:t>+33 6 05 88 38 19</w:t>
            </w:r>
          </w:p>
        </w:tc>
        <w:tc>
          <w:tcPr>
            <w:tcW w:type="dxa" w:w="3960"/>
            <w:tcMar>
              <w:top w:w="80" w:type="dxa"/>
              <w:start w:w="120" w:type="dxa"/>
              <w:bottom w:w="80" w:type="dxa"/>
              <w:end w:w="120" w:type="dxa"/>
            </w:tcMar>
            <w:vAlign w:val="top"/>
          </w:tcPr>
          <w:p>
            <w:pPr>
              <w:spacing w:after="0"/>
            </w:pPr>
            <w:r>
              <w:rPr>
                <w:sz w:val="16"/>
              </w:rPr>
              <w:t>Water containers; call if empty; bring own jerry can.</w:t>
            </w:r>
          </w:p>
        </w:tc>
      </w:tr>
      <w:tr>
        <w:trPr>
          <w:cantSplit/>
        </w:trPr>
        <w:tc>
          <w:tcPr>
            <w:tcW w:type="dxa" w:w="2550"/>
            <w:tcMar>
              <w:top w:w="80" w:type="dxa"/>
              <w:start w:w="120" w:type="dxa"/>
              <w:bottom w:w="80" w:type="dxa"/>
              <w:end w:w="120" w:type="dxa"/>
            </w:tcMar>
            <w:vAlign w:val="top"/>
          </w:tcPr>
          <w:p>
            <w:pPr>
              <w:spacing w:after="0"/>
            </w:pPr>
            <w:r>
              <w:rPr>
                <w:sz w:val="16"/>
              </w:rPr>
              <w:t>Care4Calais</w:t>
            </w:r>
          </w:p>
        </w:tc>
        <w:tc>
          <w:tcPr>
            <w:tcW w:type="dxa" w:w="2850"/>
            <w:tcMar>
              <w:top w:w="80" w:type="dxa"/>
              <w:start w:w="120" w:type="dxa"/>
              <w:bottom w:w="80" w:type="dxa"/>
              <w:end w:w="120" w:type="dxa"/>
            </w:tcMar>
            <w:vAlign w:val="top"/>
          </w:tcPr>
          <w:p>
            <w:pPr>
              <w:spacing w:after="0"/>
            </w:pPr>
            <w:r>
              <w:rPr>
                <w:sz w:val="16"/>
              </w:rPr>
              <w:t>On-site / care4calais.org</w:t>
            </w:r>
          </w:p>
        </w:tc>
        <w:tc>
          <w:tcPr>
            <w:tcW w:type="dxa" w:w="3960"/>
            <w:tcMar>
              <w:top w:w="80" w:type="dxa"/>
              <w:start w:w="120" w:type="dxa"/>
              <w:bottom w:w="80" w:type="dxa"/>
              <w:end w:w="120" w:type="dxa"/>
            </w:tcMar>
            <w:vAlign w:val="top"/>
          </w:tcPr>
          <w:p>
            <w:pPr>
              <w:spacing w:after="0"/>
            </w:pPr>
            <w:r>
              <w:rPr>
                <w:sz w:val="16"/>
              </w:rPr>
              <w:t>Clothing distributions and charging/activities; UK support links also listed.</w:t>
            </w:r>
          </w:p>
        </w:tc>
      </w:tr>
      <w:tr>
        <w:trPr>
          <w:cantSplit/>
        </w:trPr>
        <w:tc>
          <w:tcPr>
            <w:tcW w:type="dxa" w:w="2550"/>
            <w:tcMar>
              <w:top w:w="80" w:type="dxa"/>
              <w:start w:w="120" w:type="dxa"/>
              <w:bottom w:w="80" w:type="dxa"/>
              <w:end w:w="120" w:type="dxa"/>
            </w:tcMar>
            <w:vAlign w:val="top"/>
          </w:tcPr>
          <w:p>
            <w:pPr>
              <w:spacing w:after="0"/>
            </w:pPr>
            <w:r>
              <w:rPr>
                <w:sz w:val="16"/>
              </w:rPr>
              <w:t>La Capuche</w:t>
            </w:r>
          </w:p>
        </w:tc>
        <w:tc>
          <w:tcPr>
            <w:tcW w:type="dxa" w:w="2850"/>
            <w:tcMar>
              <w:top w:w="80" w:type="dxa"/>
              <w:start w:w="120" w:type="dxa"/>
              <w:bottom w:w="80" w:type="dxa"/>
              <w:end w:w="120" w:type="dxa"/>
            </w:tcMar>
            <w:vAlign w:val="top"/>
          </w:tcPr>
          <w:p>
            <w:pPr>
              <w:spacing w:after="0"/>
            </w:pPr>
            <w:r>
              <w:rPr>
                <w:sz w:val="16"/>
              </w:rPr>
              <w:t>+33 6 20 35 52 50</w:t>
            </w:r>
          </w:p>
        </w:tc>
        <w:tc>
          <w:tcPr>
            <w:tcW w:type="dxa" w:w="3960"/>
            <w:tcMar>
              <w:top w:w="80" w:type="dxa"/>
              <w:start w:w="120" w:type="dxa"/>
              <w:bottom w:w="80" w:type="dxa"/>
              <w:end w:w="120" w:type="dxa"/>
            </w:tcMar>
            <w:vAlign w:val="top"/>
          </w:tcPr>
          <w:p>
            <w:pPr>
              <w:spacing w:after="0"/>
            </w:pPr>
            <w:r>
              <w:rPr>
                <w:sz w:val="16"/>
              </w:rPr>
              <w:t>Tent request by WhatsApp; phone available Mon/Wed/Fri; team at Secours Catholique.</w:t>
            </w:r>
          </w:p>
        </w:tc>
      </w:tr>
      <w:tr>
        <w:trPr>
          <w:cantSplit/>
        </w:trPr>
        <w:tc>
          <w:tcPr>
            <w:tcW w:type="dxa" w:w="2550"/>
            <w:tcMar>
              <w:top w:w="80" w:type="dxa"/>
              <w:start w:w="120" w:type="dxa"/>
              <w:bottom w:w="80" w:type="dxa"/>
              <w:end w:w="120" w:type="dxa"/>
            </w:tcMar>
            <w:vAlign w:val="top"/>
          </w:tcPr>
          <w:p>
            <w:pPr>
              <w:spacing w:after="0"/>
            </w:pPr>
            <w:r>
              <w:rPr>
                <w:sz w:val="16"/>
              </w:rPr>
              <w:t>CHIP</w:t>
            </w:r>
          </w:p>
        </w:tc>
        <w:tc>
          <w:tcPr>
            <w:tcW w:type="dxa" w:w="2850"/>
            <w:tcMar>
              <w:top w:w="80" w:type="dxa"/>
              <w:start w:w="120" w:type="dxa"/>
              <w:bottom w:w="80" w:type="dxa"/>
              <w:end w:w="120" w:type="dxa"/>
            </w:tcMar>
            <w:vAlign w:val="top"/>
          </w:tcPr>
          <w:p>
            <w:pPr>
              <w:spacing w:after="0"/>
            </w:pPr>
            <w:r>
              <w:rPr>
                <w:sz w:val="16"/>
              </w:rPr>
              <w:t>On-site</w:t>
            </w:r>
          </w:p>
        </w:tc>
        <w:tc>
          <w:tcPr>
            <w:tcW w:type="dxa" w:w="3960"/>
            <w:tcMar>
              <w:top w:w="80" w:type="dxa"/>
              <w:start w:w="120" w:type="dxa"/>
              <w:bottom w:w="80" w:type="dxa"/>
              <w:end w:w="120" w:type="dxa"/>
            </w:tcMar>
            <w:vAlign w:val="top"/>
          </w:tcPr>
          <w:p>
            <w:pPr>
              <w:spacing w:after="0"/>
            </w:pPr>
            <w:r>
              <w:rPr>
                <w:sz w:val="16"/>
              </w:rPr>
              <w:t>Charging sessions, Wi-Fi/information, English sessions; identity must be verified before publication.</w:t>
            </w:r>
          </w:p>
        </w:tc>
      </w:tr>
      <w:tr>
        <w:trPr>
          <w:cantSplit/>
        </w:trPr>
        <w:tc>
          <w:tcPr>
            <w:tcW w:type="dxa" w:w="2550"/>
            <w:tcMar>
              <w:top w:w="80" w:type="dxa"/>
              <w:start w:w="120" w:type="dxa"/>
              <w:bottom w:w="80" w:type="dxa"/>
              <w:end w:w="120" w:type="dxa"/>
            </w:tcMar>
            <w:vAlign w:val="top"/>
          </w:tcPr>
          <w:p>
            <w:pPr>
              <w:spacing w:after="0"/>
            </w:pPr>
            <w:r>
              <w:rPr>
                <w:sz w:val="16"/>
              </w:rPr>
              <w:t>Médecins Sans Frontières</w:t>
            </w:r>
          </w:p>
        </w:tc>
        <w:tc>
          <w:tcPr>
            <w:tcW w:type="dxa" w:w="2850"/>
            <w:tcMar>
              <w:top w:w="80" w:type="dxa"/>
              <w:start w:w="120" w:type="dxa"/>
              <w:bottom w:w="80" w:type="dxa"/>
              <w:end w:w="120" w:type="dxa"/>
            </w:tcMar>
            <w:vAlign w:val="top"/>
          </w:tcPr>
          <w:p>
            <w:pPr>
              <w:spacing w:after="0"/>
            </w:pPr>
            <w:r>
              <w:rPr>
                <w:sz w:val="16"/>
              </w:rPr>
              <w:t>Via outreach/centres</w:t>
            </w:r>
          </w:p>
        </w:tc>
        <w:tc>
          <w:tcPr>
            <w:tcW w:type="dxa" w:w="3960"/>
            <w:tcMar>
              <w:top w:w="80" w:type="dxa"/>
              <w:start w:w="120" w:type="dxa"/>
              <w:bottom w:w="80" w:type="dxa"/>
              <w:end w:w="120" w:type="dxa"/>
            </w:tcMar>
            <w:vAlign w:val="top"/>
          </w:tcPr>
          <w:p>
            <w:pPr>
              <w:spacing w:after="0"/>
            </w:pPr>
            <w:r>
              <w:rPr>
                <w:sz w:val="16"/>
              </w:rPr>
              <w:t>Medical/social referrals, psychology and psychosocial support.</w:t>
            </w:r>
          </w:p>
        </w:tc>
      </w:tr>
      <w:tr>
        <w:trPr>
          <w:cantSplit/>
        </w:trPr>
        <w:tc>
          <w:tcPr>
            <w:tcW w:type="dxa" w:w="2550"/>
            <w:tcMar>
              <w:top w:w="80" w:type="dxa"/>
              <w:start w:w="120" w:type="dxa"/>
              <w:bottom w:w="80" w:type="dxa"/>
              <w:end w:w="120" w:type="dxa"/>
            </w:tcMar>
            <w:vAlign w:val="top"/>
          </w:tcPr>
          <w:p>
            <w:pPr>
              <w:spacing w:after="0"/>
            </w:pPr>
            <w:r>
              <w:rPr>
                <w:sz w:val="16"/>
              </w:rPr>
              <w:t>First Aid Support Team (FAST)</w:t>
            </w:r>
          </w:p>
        </w:tc>
        <w:tc>
          <w:tcPr>
            <w:tcW w:type="dxa" w:w="2850"/>
            <w:tcMar>
              <w:top w:w="80" w:type="dxa"/>
              <w:start w:w="120" w:type="dxa"/>
              <w:bottom w:w="80" w:type="dxa"/>
              <w:end w:w="120" w:type="dxa"/>
            </w:tcMar>
            <w:vAlign w:val="top"/>
          </w:tcPr>
          <w:p>
            <w:pPr>
              <w:spacing w:after="0"/>
            </w:pPr>
            <w:r>
              <w:rPr>
                <w:sz w:val="16"/>
              </w:rPr>
              <w:t>+33 7 66 04 92 98</w:t>
            </w:r>
          </w:p>
        </w:tc>
        <w:tc>
          <w:tcPr>
            <w:tcW w:type="dxa" w:w="3960"/>
            <w:tcMar>
              <w:top w:w="80" w:type="dxa"/>
              <w:start w:w="120" w:type="dxa"/>
              <w:bottom w:w="80" w:type="dxa"/>
              <w:end w:w="120" w:type="dxa"/>
            </w:tcMar>
            <w:vAlign w:val="top"/>
          </w:tcPr>
          <w:p>
            <w:pPr>
              <w:spacing w:after="0"/>
            </w:pPr>
            <w:r>
              <w:rPr>
                <w:sz w:val="16"/>
              </w:rPr>
              <w:t>Basic treatment/referrals; outreach and fixed sessions.</w:t>
            </w:r>
          </w:p>
        </w:tc>
      </w:tr>
      <w:tr>
        <w:trPr>
          <w:cantSplit/>
        </w:trPr>
        <w:tc>
          <w:tcPr>
            <w:tcW w:type="dxa" w:w="2550"/>
            <w:tcMar>
              <w:top w:w="80" w:type="dxa"/>
              <w:start w:w="120" w:type="dxa"/>
              <w:bottom w:w="80" w:type="dxa"/>
              <w:end w:w="120" w:type="dxa"/>
            </w:tcMar>
            <w:vAlign w:val="top"/>
          </w:tcPr>
          <w:p>
            <w:pPr>
              <w:spacing w:after="0"/>
            </w:pPr>
            <w:r>
              <w:rPr>
                <w:sz w:val="16"/>
              </w:rPr>
              <w:t>Croix-Rouge Family Links</w:t>
            </w:r>
          </w:p>
        </w:tc>
        <w:tc>
          <w:tcPr>
            <w:tcW w:type="dxa" w:w="2850"/>
            <w:tcMar>
              <w:top w:w="80" w:type="dxa"/>
              <w:start w:w="120" w:type="dxa"/>
              <w:bottom w:w="80" w:type="dxa"/>
              <w:end w:w="120" w:type="dxa"/>
            </w:tcMar>
            <w:vAlign w:val="top"/>
          </w:tcPr>
          <w:p>
            <w:pPr>
              <w:spacing w:after="0"/>
            </w:pPr>
            <w:r>
              <w:rPr>
                <w:sz w:val="16"/>
              </w:rPr>
              <w:t>+33 6 45 46 39 93</w:t>
            </w:r>
          </w:p>
        </w:tc>
        <w:tc>
          <w:tcPr>
            <w:tcW w:type="dxa" w:w="3960"/>
            <w:tcMar>
              <w:top w:w="80" w:type="dxa"/>
              <w:start w:w="120" w:type="dxa"/>
              <w:bottom w:w="80" w:type="dxa"/>
              <w:end w:w="120" w:type="dxa"/>
            </w:tcMar>
            <w:vAlign w:val="top"/>
          </w:tcPr>
          <w:p>
            <w:pPr>
              <w:spacing w:after="0"/>
            </w:pPr>
            <w:r>
              <w:rPr>
                <w:sz w:val="16"/>
              </w:rPr>
              <w:t>International contact calls/Wi-Fi and family tracing.</w:t>
            </w:r>
          </w:p>
        </w:tc>
      </w:tr>
      <w:tr>
        <w:trPr>
          <w:cantSplit/>
        </w:trPr>
        <w:tc>
          <w:tcPr>
            <w:tcW w:type="dxa" w:w="2550"/>
            <w:tcMar>
              <w:top w:w="80" w:type="dxa"/>
              <w:start w:w="120" w:type="dxa"/>
              <w:bottom w:w="80" w:type="dxa"/>
              <w:end w:w="120" w:type="dxa"/>
            </w:tcMar>
            <w:vAlign w:val="top"/>
          </w:tcPr>
          <w:p>
            <w:pPr>
              <w:spacing w:after="0"/>
            </w:pPr>
            <w:r>
              <w:rPr>
                <w:sz w:val="16"/>
              </w:rPr>
              <w:t>FTDA</w:t>
            </w:r>
          </w:p>
        </w:tc>
        <w:tc>
          <w:tcPr>
            <w:tcW w:type="dxa" w:w="2850"/>
            <w:tcMar>
              <w:top w:w="80" w:type="dxa"/>
              <w:start w:w="120" w:type="dxa"/>
              <w:bottom w:w="80" w:type="dxa"/>
              <w:end w:w="120" w:type="dxa"/>
            </w:tcMar>
            <w:vAlign w:val="top"/>
          </w:tcPr>
          <w:p>
            <w:pPr>
              <w:spacing w:after="0"/>
            </w:pPr>
            <w:r>
              <w:rPr>
                <w:sz w:val="16"/>
              </w:rPr>
              <w:t>+33 7 61 44 79 29</w:t>
            </w:r>
          </w:p>
        </w:tc>
        <w:tc>
          <w:tcPr>
            <w:tcW w:type="dxa" w:w="3960"/>
            <w:tcMar>
              <w:top w:w="80" w:type="dxa"/>
              <w:start w:w="120" w:type="dxa"/>
              <w:bottom w:w="80" w:type="dxa"/>
              <w:end w:w="120" w:type="dxa"/>
            </w:tcMar>
            <w:vAlign w:val="top"/>
          </w:tcPr>
          <w:p>
            <w:pPr>
              <w:spacing w:after="0"/>
            </w:pPr>
            <w:r>
              <w:rPr>
                <w:sz w:val="16"/>
              </w:rPr>
              <w:t>Short-term housing route for minors, Arras/Saint-Omer, contact by WhatsApp.</w:t>
            </w:r>
          </w:p>
        </w:tc>
      </w:tr>
      <w:tr>
        <w:trPr>
          <w:cantSplit/>
        </w:trPr>
        <w:tc>
          <w:tcPr>
            <w:tcW w:type="dxa" w:w="2550"/>
            <w:tcMar>
              <w:top w:w="80" w:type="dxa"/>
              <w:start w:w="120" w:type="dxa"/>
              <w:bottom w:w="80" w:type="dxa"/>
              <w:end w:w="120" w:type="dxa"/>
            </w:tcMar>
            <w:vAlign w:val="top"/>
          </w:tcPr>
          <w:p>
            <w:pPr>
              <w:spacing w:after="0"/>
            </w:pPr>
            <w:r>
              <w:rPr>
                <w:sz w:val="16"/>
              </w:rPr>
              <w:t>ECPAT</w:t>
            </w:r>
          </w:p>
        </w:tc>
        <w:tc>
          <w:tcPr>
            <w:tcW w:type="dxa" w:w="2850"/>
            <w:tcMar>
              <w:top w:w="80" w:type="dxa"/>
              <w:start w:w="120" w:type="dxa"/>
              <w:bottom w:w="80" w:type="dxa"/>
              <w:end w:w="120" w:type="dxa"/>
            </w:tcMar>
            <w:vAlign w:val="top"/>
          </w:tcPr>
          <w:p>
            <w:pPr>
              <w:spacing w:after="0"/>
            </w:pPr>
            <w:r>
              <w:rPr>
                <w:sz w:val="16"/>
              </w:rPr>
              <w:t>+33 7 53 57 05 34</w:t>
            </w:r>
          </w:p>
        </w:tc>
        <w:tc>
          <w:tcPr>
            <w:tcW w:type="dxa" w:w="3960"/>
            <w:tcMar>
              <w:top w:w="80" w:type="dxa"/>
              <w:start w:w="120" w:type="dxa"/>
              <w:bottom w:w="80" w:type="dxa"/>
              <w:end w:w="120" w:type="dxa"/>
            </w:tcMar>
            <w:vAlign w:val="top"/>
          </w:tcPr>
          <w:p>
            <w:pPr>
              <w:spacing w:after="0"/>
            </w:pPr>
            <w:r>
              <w:rPr>
                <w:sz w:val="16"/>
              </w:rPr>
              <w:t>Protection/support for minors; Monday afternoon at Secours Catholique per source.</w:t>
            </w:r>
          </w:p>
        </w:tc>
      </w:tr>
      <w:tr>
        <w:trPr>
          <w:cantSplit/>
        </w:trPr>
        <w:tc>
          <w:tcPr>
            <w:tcW w:type="dxa" w:w="2550"/>
            <w:tcMar>
              <w:top w:w="80" w:type="dxa"/>
              <w:start w:w="120" w:type="dxa"/>
              <w:bottom w:w="80" w:type="dxa"/>
              <w:end w:w="120" w:type="dxa"/>
            </w:tcMar>
            <w:vAlign w:val="top"/>
          </w:tcPr>
          <w:p>
            <w:pPr>
              <w:spacing w:after="0"/>
            </w:pPr>
            <w:r>
              <w:rPr>
                <w:sz w:val="16"/>
              </w:rPr>
              <w:t>MSF Day Centre</w:t>
            </w:r>
          </w:p>
        </w:tc>
        <w:tc>
          <w:tcPr>
            <w:tcW w:type="dxa" w:w="2850"/>
            <w:tcMar>
              <w:top w:w="80" w:type="dxa"/>
              <w:start w:w="120" w:type="dxa"/>
              <w:bottom w:w="80" w:type="dxa"/>
              <w:end w:w="120" w:type="dxa"/>
            </w:tcMar>
            <w:vAlign w:val="top"/>
          </w:tcPr>
          <w:p>
            <w:pPr>
              <w:spacing w:after="0"/>
            </w:pPr>
            <w:r>
              <w:rPr>
                <w:sz w:val="16"/>
              </w:rPr>
              <w:t>+33 7 61 33 80 46</w:t>
            </w:r>
          </w:p>
        </w:tc>
        <w:tc>
          <w:tcPr>
            <w:tcW w:type="dxa" w:w="3960"/>
            <w:tcMar>
              <w:top w:w="80" w:type="dxa"/>
              <w:start w:w="120" w:type="dxa"/>
              <w:bottom w:w="80" w:type="dxa"/>
              <w:end w:w="120" w:type="dxa"/>
            </w:tcMar>
            <w:vAlign w:val="top"/>
          </w:tcPr>
          <w:p>
            <w:pPr>
              <w:spacing w:after="0"/>
            </w:pPr>
            <w:r>
              <w:rPr>
                <w:sz w:val="16"/>
              </w:rPr>
              <w:t>Day reception for under-18s only; no equipment distribution.</w:t>
            </w:r>
          </w:p>
        </w:tc>
      </w:tr>
      <w:tr>
        <w:trPr>
          <w:cantSplit/>
        </w:trPr>
        <w:tc>
          <w:tcPr>
            <w:tcW w:type="dxa" w:w="2550"/>
            <w:tcMar>
              <w:top w:w="80" w:type="dxa"/>
              <w:start w:w="120" w:type="dxa"/>
              <w:bottom w:w="80" w:type="dxa"/>
              <w:end w:w="120" w:type="dxa"/>
            </w:tcMar>
            <w:vAlign w:val="top"/>
          </w:tcPr>
          <w:p>
            <w:pPr>
              <w:spacing w:after="0"/>
            </w:pPr>
            <w:r>
              <w:rPr>
                <w:sz w:val="16"/>
              </w:rPr>
              <w:t>Kaleidoscope</w:t>
            </w:r>
          </w:p>
        </w:tc>
        <w:tc>
          <w:tcPr>
            <w:tcW w:type="dxa" w:w="2850"/>
            <w:tcMar>
              <w:top w:w="80" w:type="dxa"/>
              <w:start w:w="120" w:type="dxa"/>
              <w:bottom w:w="80" w:type="dxa"/>
              <w:end w:w="120" w:type="dxa"/>
            </w:tcMar>
            <w:vAlign w:val="top"/>
          </w:tcPr>
          <w:p>
            <w:pPr>
              <w:spacing w:after="0"/>
            </w:pPr>
            <w:r>
              <w:rPr>
                <w:sz w:val="16"/>
              </w:rPr>
              <w:t>At partner venues</w:t>
            </w:r>
          </w:p>
        </w:tc>
        <w:tc>
          <w:tcPr>
            <w:tcW w:type="dxa" w:w="3960"/>
            <w:tcMar>
              <w:top w:w="80" w:type="dxa"/>
              <w:start w:w="120" w:type="dxa"/>
              <w:bottom w:w="80" w:type="dxa"/>
              <w:end w:w="120" w:type="dxa"/>
            </w:tcMar>
            <w:vAlign w:val="top"/>
          </w:tcPr>
          <w:p>
            <w:pPr>
              <w:spacing w:after="0"/>
            </w:pPr>
            <w:r>
              <w:rPr>
                <w:sz w:val="16"/>
              </w:rPr>
              <w:t>Activities/psychosocial support for ages 12–18 at source-listed sessions.</w:t>
            </w:r>
          </w:p>
        </w:tc>
      </w:tr>
      <w:tr>
        <w:trPr>
          <w:cantSplit/>
        </w:trPr>
        <w:tc>
          <w:tcPr>
            <w:tcW w:type="dxa" w:w="2550"/>
            <w:tcMar>
              <w:top w:w="80" w:type="dxa"/>
              <w:start w:w="120" w:type="dxa"/>
              <w:bottom w:w="80" w:type="dxa"/>
              <w:end w:w="120" w:type="dxa"/>
            </w:tcMar>
            <w:vAlign w:val="top"/>
          </w:tcPr>
          <w:p>
            <w:pPr>
              <w:spacing w:after="0"/>
            </w:pPr>
            <w:r>
              <w:rPr>
                <w:sz w:val="16"/>
              </w:rPr>
              <w:t>Refugee Women's Centre</w:t>
            </w:r>
          </w:p>
        </w:tc>
        <w:tc>
          <w:tcPr>
            <w:tcW w:type="dxa" w:w="2850"/>
            <w:tcMar>
              <w:top w:w="80" w:type="dxa"/>
              <w:start w:w="120" w:type="dxa"/>
              <w:bottom w:w="80" w:type="dxa"/>
              <w:end w:w="120" w:type="dxa"/>
            </w:tcMar>
            <w:vAlign w:val="top"/>
          </w:tcPr>
          <w:p>
            <w:pPr>
              <w:spacing w:after="0"/>
            </w:pPr>
            <w:r>
              <w:rPr>
                <w:sz w:val="16"/>
              </w:rPr>
              <w:t>+33 6 71 51 18 15</w:t>
            </w:r>
          </w:p>
        </w:tc>
        <w:tc>
          <w:tcPr>
            <w:tcW w:type="dxa" w:w="3960"/>
            <w:tcMar>
              <w:top w:w="80" w:type="dxa"/>
              <w:start w:w="120" w:type="dxa"/>
              <w:bottom w:w="80" w:type="dxa"/>
              <w:end w:w="120" w:type="dxa"/>
            </w:tcMar>
            <w:vAlign w:val="top"/>
          </w:tcPr>
          <w:p>
            <w:pPr>
              <w:spacing w:after="0"/>
            </w:pPr>
            <w:r>
              <w:rPr>
                <w:sz w:val="16"/>
              </w:rPr>
              <w:t>Women/family material, accommodation, psychosocial, social and medical support; outreach schedule in source.</w:t>
            </w:r>
          </w:p>
        </w:tc>
      </w:tr>
      <w:tr>
        <w:trPr>
          <w:cantSplit/>
        </w:trPr>
        <w:tc>
          <w:tcPr>
            <w:tcW w:type="dxa" w:w="2550"/>
            <w:tcMar>
              <w:top w:w="80" w:type="dxa"/>
              <w:start w:w="120" w:type="dxa"/>
              <w:bottom w:w="80" w:type="dxa"/>
              <w:end w:w="120" w:type="dxa"/>
            </w:tcMar>
            <w:vAlign w:val="top"/>
          </w:tcPr>
          <w:p>
            <w:pPr>
              <w:spacing w:after="0"/>
            </w:pPr>
            <w:r>
              <w:rPr>
                <w:sz w:val="16"/>
              </w:rPr>
              <w:t>Project Play</w:t>
            </w:r>
          </w:p>
        </w:tc>
        <w:tc>
          <w:tcPr>
            <w:tcW w:type="dxa" w:w="2850"/>
            <w:tcMar>
              <w:top w:w="80" w:type="dxa"/>
              <w:start w:w="120" w:type="dxa"/>
              <w:bottom w:w="80" w:type="dxa"/>
              <w:end w:w="120" w:type="dxa"/>
            </w:tcMar>
            <w:vAlign w:val="top"/>
          </w:tcPr>
          <w:p>
            <w:pPr>
              <w:spacing w:after="0"/>
            </w:pPr>
            <w:r>
              <w:rPr>
                <w:sz w:val="16"/>
              </w:rPr>
              <w:t>+33 7 45 40 97 65</w:t>
            </w:r>
          </w:p>
        </w:tc>
        <w:tc>
          <w:tcPr>
            <w:tcW w:type="dxa" w:w="3960"/>
            <w:tcMar>
              <w:top w:w="80" w:type="dxa"/>
              <w:start w:w="120" w:type="dxa"/>
              <w:bottom w:w="80" w:type="dxa"/>
              <w:end w:w="120" w:type="dxa"/>
            </w:tcMar>
            <w:vAlign w:val="top"/>
          </w:tcPr>
          <w:p>
            <w:pPr>
              <w:spacing w:after="0"/>
            </w:pPr>
            <w:r>
              <w:rPr>
                <w:sz w:val="16"/>
              </w:rPr>
              <w:t>WhatsApp; play sessions for children and families, variable locations/times.</w:t>
            </w:r>
          </w:p>
        </w:tc>
      </w:tr>
      <w:tr>
        <w:trPr>
          <w:cantSplit/>
        </w:trPr>
        <w:tc>
          <w:tcPr>
            <w:tcW w:type="dxa" w:w="2550"/>
            <w:tcMar>
              <w:top w:w="80" w:type="dxa"/>
              <w:start w:w="120" w:type="dxa"/>
              <w:bottom w:w="80" w:type="dxa"/>
              <w:end w:w="120" w:type="dxa"/>
            </w:tcMar>
            <w:vAlign w:val="top"/>
          </w:tcPr>
          <w:p>
            <w:pPr>
              <w:spacing w:after="0"/>
            </w:pPr>
            <w:r>
              <w:rPr>
                <w:sz w:val="16"/>
              </w:rPr>
              <w:t>Human Rights Observers (HRO)</w:t>
            </w:r>
          </w:p>
        </w:tc>
        <w:tc>
          <w:tcPr>
            <w:tcW w:type="dxa" w:w="2850"/>
            <w:tcMar>
              <w:top w:w="80" w:type="dxa"/>
              <w:start w:w="120" w:type="dxa"/>
              <w:bottom w:w="80" w:type="dxa"/>
              <w:end w:w="120" w:type="dxa"/>
            </w:tcMar>
            <w:vAlign w:val="top"/>
          </w:tcPr>
          <w:p>
            <w:pPr>
              <w:spacing w:after="0"/>
            </w:pPr>
            <w:r>
              <w:rPr>
                <w:sz w:val="16"/>
              </w:rPr>
              <w:t>+33 6 51 46 68 81</w:t>
            </w:r>
          </w:p>
        </w:tc>
        <w:tc>
          <w:tcPr>
            <w:tcW w:type="dxa" w:w="3960"/>
            <w:tcMar>
              <w:top w:w="80" w:type="dxa"/>
              <w:start w:w="120" w:type="dxa"/>
              <w:bottom w:w="80" w:type="dxa"/>
              <w:end w:w="120" w:type="dxa"/>
            </w:tcMar>
            <w:vAlign w:val="top"/>
          </w:tcPr>
          <w:p>
            <w:pPr>
              <w:spacing w:after="0"/>
            </w:pPr>
            <w:r>
              <w:rPr>
                <w:sz w:val="16"/>
              </w:rPr>
              <w:t>WhatsApp/call/message Mon–Fri 05:30–18:00 per source; monitoring and anonymous testimony routes.</w:t>
            </w:r>
          </w:p>
        </w:tc>
      </w:tr>
      <w:tr>
        <w:trPr>
          <w:cantSplit/>
        </w:trPr>
        <w:tc>
          <w:tcPr>
            <w:tcW w:type="dxa" w:w="2550"/>
            <w:tcMar>
              <w:top w:w="80" w:type="dxa"/>
              <w:start w:w="120" w:type="dxa"/>
              <w:bottom w:w="80" w:type="dxa"/>
              <w:end w:w="120" w:type="dxa"/>
            </w:tcMar>
            <w:vAlign w:val="top"/>
          </w:tcPr>
          <w:p>
            <w:pPr>
              <w:spacing w:after="0"/>
            </w:pPr>
            <w:r>
              <w:rPr>
                <w:sz w:val="16"/>
              </w:rPr>
              <w:t>Captain Support Collective</w:t>
            </w:r>
          </w:p>
        </w:tc>
        <w:tc>
          <w:tcPr>
            <w:tcW w:type="dxa" w:w="2850"/>
            <w:tcMar>
              <w:top w:w="80" w:type="dxa"/>
              <w:start w:w="120" w:type="dxa"/>
              <w:bottom w:w="80" w:type="dxa"/>
              <w:end w:w="120" w:type="dxa"/>
            </w:tcMar>
            <w:vAlign w:val="top"/>
          </w:tcPr>
          <w:p>
            <w:pPr>
              <w:spacing w:after="0"/>
            </w:pPr>
            <w:r>
              <w:rPr>
                <w:sz w:val="16"/>
              </w:rPr>
              <w:t>captainsupportfrance@riseup.net</w:t>
            </w:r>
          </w:p>
        </w:tc>
        <w:tc>
          <w:tcPr>
            <w:tcW w:type="dxa" w:w="3960"/>
            <w:tcMar>
              <w:top w:w="80" w:type="dxa"/>
              <w:start w:w="120" w:type="dxa"/>
              <w:bottom w:w="80" w:type="dxa"/>
              <w:end w:w="120" w:type="dxa"/>
            </w:tcMar>
            <w:vAlign w:val="top"/>
          </w:tcPr>
          <w:p>
            <w:pPr>
              <w:spacing w:after="0"/>
            </w:pPr>
            <w:r>
              <w:rPr>
                <w:sz w:val="16"/>
              </w:rPr>
              <w:t>Support/link to lawyers for detainees after Channel-related arrest.</w:t>
            </w:r>
          </w:p>
        </w:tc>
      </w:tr>
      <w:tr>
        <w:trPr>
          <w:cantSplit/>
        </w:trPr>
        <w:tc>
          <w:tcPr>
            <w:tcW w:type="dxa" w:w="2550"/>
            <w:tcMar>
              <w:top w:w="80" w:type="dxa"/>
              <w:start w:w="120" w:type="dxa"/>
              <w:bottom w:w="80" w:type="dxa"/>
              <w:end w:w="120" w:type="dxa"/>
            </w:tcMar>
            <w:vAlign w:val="top"/>
          </w:tcPr>
          <w:p>
            <w:pPr>
              <w:spacing w:after="0"/>
            </w:pPr>
            <w:r>
              <w:rPr>
                <w:sz w:val="16"/>
              </w:rPr>
              <w:t>Calais Anti-CRA Collective</w:t>
            </w:r>
          </w:p>
        </w:tc>
        <w:tc>
          <w:tcPr>
            <w:tcW w:type="dxa" w:w="2850"/>
            <w:tcMar>
              <w:top w:w="80" w:type="dxa"/>
              <w:start w:w="120" w:type="dxa"/>
              <w:bottom w:w="80" w:type="dxa"/>
              <w:end w:w="120" w:type="dxa"/>
            </w:tcMar>
            <w:vAlign w:val="top"/>
          </w:tcPr>
          <w:p>
            <w:pPr>
              <w:spacing w:after="0"/>
            </w:pPr>
            <w:r>
              <w:rPr>
                <w:sz w:val="16"/>
              </w:rPr>
              <w:t>calaisanticra@anche.no</w:t>
            </w:r>
          </w:p>
        </w:tc>
        <w:tc>
          <w:tcPr>
            <w:tcW w:type="dxa" w:w="3960"/>
            <w:tcMar>
              <w:top w:w="80" w:type="dxa"/>
              <w:start w:w="120" w:type="dxa"/>
              <w:bottom w:w="80" w:type="dxa"/>
              <w:end w:w="120" w:type="dxa"/>
            </w:tcMar>
            <w:vAlign w:val="top"/>
          </w:tcPr>
          <w:p>
            <w:pPr>
              <w:spacing w:after="0"/>
            </w:pPr>
            <w:r>
              <w:rPr>
                <w:sz w:val="16"/>
              </w:rPr>
              <w:t>Contact route for locating/contacting people detained at Coquelles CRA.</w:t>
            </w:r>
          </w:p>
        </w:tc>
      </w:tr>
      <w:tr>
        <w:trPr>
          <w:cantSplit/>
        </w:trPr>
        <w:tc>
          <w:tcPr>
            <w:tcW w:type="dxa" w:w="2550"/>
            <w:tcMar>
              <w:top w:w="80" w:type="dxa"/>
              <w:start w:w="120" w:type="dxa"/>
              <w:bottom w:w="80" w:type="dxa"/>
              <w:end w:w="120" w:type="dxa"/>
            </w:tcMar>
            <w:vAlign w:val="top"/>
          </w:tcPr>
          <w:p>
            <w:pPr>
              <w:spacing w:after="0"/>
            </w:pPr>
            <w:r>
              <w:rPr>
                <w:sz w:val="16"/>
              </w:rPr>
              <w:t>OFII Calais</w:t>
            </w:r>
          </w:p>
        </w:tc>
        <w:tc>
          <w:tcPr>
            <w:tcW w:type="dxa" w:w="2850"/>
            <w:tcMar>
              <w:top w:w="80" w:type="dxa"/>
              <w:start w:w="120" w:type="dxa"/>
              <w:bottom w:w="80" w:type="dxa"/>
              <w:end w:w="120" w:type="dxa"/>
            </w:tcMar>
            <w:vAlign w:val="top"/>
          </w:tcPr>
          <w:p>
            <w:pPr>
              <w:spacing w:after="0"/>
            </w:pPr>
            <w:r>
              <w:rPr>
                <w:sz w:val="16"/>
              </w:rPr>
              <w:t>+33 3 61 11 70 20; asile.lille@ofii.fr; maraudes@ofii.fr</w:t>
            </w:r>
          </w:p>
        </w:tc>
        <w:tc>
          <w:tcPr>
            <w:tcW w:type="dxa" w:w="3960"/>
            <w:tcMar>
              <w:top w:w="80" w:type="dxa"/>
              <w:start w:w="120" w:type="dxa"/>
              <w:bottom w:w="80" w:type="dxa"/>
              <w:end w:w="120" w:type="dxa"/>
            </w:tcMar>
            <w:vAlign w:val="top"/>
          </w:tcPr>
          <w:p>
            <w:pPr>
              <w:spacing w:after="0"/>
            </w:pPr>
            <w:r>
              <w:rPr>
                <w:sz w:val="16"/>
              </w:rPr>
              <w:t>Asylum-related outreach/contact.</w:t>
            </w:r>
          </w:p>
        </w:tc>
      </w:tr>
      <w:tr>
        <w:trPr>
          <w:cantSplit/>
        </w:trPr>
        <w:tc>
          <w:tcPr>
            <w:tcW w:type="dxa" w:w="2550"/>
            <w:tcMar>
              <w:top w:w="80" w:type="dxa"/>
              <w:start w:w="120" w:type="dxa"/>
              <w:bottom w:w="80" w:type="dxa"/>
              <w:end w:w="120" w:type="dxa"/>
            </w:tcMar>
            <w:vAlign w:val="top"/>
          </w:tcPr>
          <w:p>
            <w:pPr>
              <w:spacing w:after="0"/>
            </w:pPr>
            <w:r>
              <w:rPr>
                <w:sz w:val="16"/>
              </w:rPr>
              <w:t>RLS / Refugee Legal Support</w:t>
            </w:r>
          </w:p>
        </w:tc>
        <w:tc>
          <w:tcPr>
            <w:tcW w:type="dxa" w:w="2850"/>
            <w:tcMar>
              <w:top w:w="80" w:type="dxa"/>
              <w:start w:w="120" w:type="dxa"/>
              <w:bottom w:w="80" w:type="dxa"/>
              <w:end w:w="120" w:type="dxa"/>
            </w:tcMar>
            <w:vAlign w:val="top"/>
          </w:tcPr>
          <w:p>
            <w:pPr>
              <w:spacing w:after="0"/>
            </w:pPr>
            <w:r>
              <w:rPr>
                <w:sz w:val="16"/>
              </w:rPr>
              <w:t>refugeelegalsupport.org</w:t>
            </w:r>
          </w:p>
        </w:tc>
        <w:tc>
          <w:tcPr>
            <w:tcW w:type="dxa" w:w="3960"/>
            <w:tcMar>
              <w:top w:w="80" w:type="dxa"/>
              <w:start w:w="120" w:type="dxa"/>
              <w:bottom w:w="80" w:type="dxa"/>
              <w:end w:w="120" w:type="dxa"/>
            </w:tcMar>
            <w:vAlign w:val="top"/>
          </w:tcPr>
          <w:p>
            <w:pPr>
              <w:spacing w:after="0"/>
            </w:pPr>
            <w:r>
              <w:rPr>
                <w:sz w:val="16"/>
              </w:rPr>
              <w:t>UK asylum information; source also lists a dated Secours Catholique session needing fresh verification.</w:t>
            </w:r>
          </w:p>
        </w:tc>
      </w:tr>
      <w:tr>
        <w:trPr>
          <w:cantSplit/>
        </w:trPr>
        <w:tc>
          <w:tcPr>
            <w:tcW w:type="dxa" w:w="2550"/>
            <w:tcMar>
              <w:top w:w="80" w:type="dxa"/>
              <w:start w:w="120" w:type="dxa"/>
              <w:bottom w:w="80" w:type="dxa"/>
              <w:end w:w="120" w:type="dxa"/>
            </w:tcMar>
            <w:vAlign w:val="top"/>
          </w:tcPr>
          <w:p>
            <w:pPr>
              <w:spacing w:after="0"/>
            </w:pPr>
            <w:r>
              <w:rPr>
                <w:sz w:val="16"/>
              </w:rPr>
              <w:t>Watizat</w:t>
            </w:r>
          </w:p>
        </w:tc>
        <w:tc>
          <w:tcPr>
            <w:tcW w:type="dxa" w:w="2850"/>
            <w:tcMar>
              <w:top w:w="80" w:type="dxa"/>
              <w:start w:w="120" w:type="dxa"/>
              <w:bottom w:w="80" w:type="dxa"/>
              <w:end w:w="120" w:type="dxa"/>
            </w:tcMar>
            <w:vAlign w:val="top"/>
          </w:tcPr>
          <w:p>
            <w:pPr>
              <w:spacing w:after="0"/>
            </w:pPr>
            <w:r>
              <w:rPr>
                <w:sz w:val="16"/>
              </w:rPr>
              <w:t>watizat.org/en</w:t>
            </w:r>
          </w:p>
        </w:tc>
        <w:tc>
          <w:tcPr>
            <w:tcW w:type="dxa" w:w="3960"/>
            <w:tcMar>
              <w:top w:w="80" w:type="dxa"/>
              <w:start w:w="120" w:type="dxa"/>
              <w:bottom w:w="80" w:type="dxa"/>
              <w:end w:w="120" w:type="dxa"/>
            </w:tcMar>
            <w:vAlign w:val="top"/>
          </w:tcPr>
          <w:p>
            <w:pPr>
              <w:spacing w:after="0"/>
            </w:pPr>
            <w:r>
              <w:rPr>
                <w:sz w:val="16"/>
              </w:rPr>
              <w:t>General information on asylum in France.</w:t>
            </w:r>
          </w:p>
        </w:tc>
      </w:tr>
      <w:tr>
        <w:trPr>
          <w:cantSplit/>
        </w:trPr>
        <w:tc>
          <w:tcPr>
            <w:tcW w:type="dxa" w:w="2550"/>
            <w:tcMar>
              <w:top w:w="80" w:type="dxa"/>
              <w:start w:w="120" w:type="dxa"/>
              <w:bottom w:w="80" w:type="dxa"/>
              <w:end w:w="120" w:type="dxa"/>
            </w:tcMar>
            <w:vAlign w:val="top"/>
          </w:tcPr>
          <w:p>
            <w:pPr>
              <w:spacing w:after="0"/>
            </w:pPr>
            <w:r>
              <w:rPr>
                <w:sz w:val="16"/>
              </w:rPr>
              <w:t>Welcome to Europe</w:t>
            </w:r>
          </w:p>
        </w:tc>
        <w:tc>
          <w:tcPr>
            <w:tcW w:type="dxa" w:w="2850"/>
            <w:tcMar>
              <w:top w:w="80" w:type="dxa"/>
              <w:start w:w="120" w:type="dxa"/>
              <w:bottom w:w="80" w:type="dxa"/>
              <w:end w:w="120" w:type="dxa"/>
            </w:tcMar>
            <w:vAlign w:val="top"/>
          </w:tcPr>
          <w:p>
            <w:pPr>
              <w:spacing w:after="0"/>
            </w:pPr>
            <w:r>
              <w:rPr>
                <w:sz w:val="16"/>
              </w:rPr>
              <w:t>w2eu.info</w:t>
            </w:r>
          </w:p>
        </w:tc>
        <w:tc>
          <w:tcPr>
            <w:tcW w:type="dxa" w:w="3960"/>
            <w:tcMar>
              <w:top w:w="80" w:type="dxa"/>
              <w:start w:w="120" w:type="dxa"/>
              <w:bottom w:w="80" w:type="dxa"/>
              <w:end w:w="120" w:type="dxa"/>
            </w:tcMar>
            <w:vAlign w:val="top"/>
          </w:tcPr>
          <w:p>
            <w:pPr>
              <w:spacing w:after="0"/>
            </w:pPr>
            <w:r>
              <w:rPr>
                <w:sz w:val="16"/>
              </w:rPr>
              <w:t>Multilingual impartial information for people entering Europe.</w:t>
            </w:r>
          </w:p>
        </w:tc>
      </w:tr>
      <w:tr>
        <w:trPr>
          <w:cantSplit/>
        </w:trPr>
        <w:tc>
          <w:tcPr>
            <w:tcW w:type="dxa" w:w="2550"/>
            <w:tcMar>
              <w:top w:w="80" w:type="dxa"/>
              <w:start w:w="120" w:type="dxa"/>
              <w:bottom w:w="80" w:type="dxa"/>
              <w:end w:w="120" w:type="dxa"/>
            </w:tcMar>
            <w:vAlign w:val="top"/>
          </w:tcPr>
          <w:p>
            <w:pPr>
              <w:spacing w:after="0"/>
            </w:pPr>
            <w:r>
              <w:rPr>
                <w:sz w:val="16"/>
              </w:rPr>
              <w:t>Right to Remain</w:t>
            </w:r>
          </w:p>
        </w:tc>
        <w:tc>
          <w:tcPr>
            <w:tcW w:type="dxa" w:w="2850"/>
            <w:tcMar>
              <w:top w:w="80" w:type="dxa"/>
              <w:start w:w="120" w:type="dxa"/>
              <w:bottom w:w="80" w:type="dxa"/>
              <w:end w:w="120" w:type="dxa"/>
            </w:tcMar>
            <w:vAlign w:val="top"/>
          </w:tcPr>
          <w:p>
            <w:pPr>
              <w:spacing w:after="0"/>
            </w:pPr>
            <w:r>
              <w:rPr>
                <w:sz w:val="16"/>
              </w:rPr>
              <w:t>righttoremain.org.uk/toolkit</w:t>
            </w:r>
          </w:p>
        </w:tc>
        <w:tc>
          <w:tcPr>
            <w:tcW w:type="dxa" w:w="3960"/>
            <w:tcMar>
              <w:top w:w="80" w:type="dxa"/>
              <w:start w:w="120" w:type="dxa"/>
              <w:bottom w:w="80" w:type="dxa"/>
              <w:end w:w="120" w:type="dxa"/>
            </w:tcMar>
            <w:vAlign w:val="top"/>
          </w:tcPr>
          <w:p>
            <w:pPr>
              <w:spacing w:after="0"/>
            </w:pPr>
            <w:r>
              <w:rPr>
                <w:sz w:val="16"/>
              </w:rPr>
              <w:t>UK asylum/immigration toolkit.</w:t>
            </w:r>
          </w:p>
        </w:tc>
      </w:tr>
      <w:tr>
        <w:trPr>
          <w:cantSplit/>
        </w:trPr>
        <w:tc>
          <w:tcPr>
            <w:tcW w:type="dxa" w:w="2550"/>
            <w:tcMar>
              <w:top w:w="80" w:type="dxa"/>
              <w:start w:w="120" w:type="dxa"/>
              <w:bottom w:w="80" w:type="dxa"/>
              <w:end w:w="120" w:type="dxa"/>
            </w:tcMar>
            <w:vAlign w:val="top"/>
          </w:tcPr>
          <w:p>
            <w:pPr>
              <w:spacing w:after="0"/>
            </w:pPr>
            <w:r>
              <w:rPr>
                <w:sz w:val="16"/>
              </w:rPr>
              <w:t>Alarm Phone safety at sea</w:t>
            </w:r>
          </w:p>
        </w:tc>
        <w:tc>
          <w:tcPr>
            <w:tcW w:type="dxa" w:w="2850"/>
            <w:tcMar>
              <w:top w:w="80" w:type="dxa"/>
              <w:start w:w="120" w:type="dxa"/>
              <w:bottom w:w="80" w:type="dxa"/>
              <w:end w:w="120" w:type="dxa"/>
            </w:tcMar>
            <w:vAlign w:val="top"/>
          </w:tcPr>
          <w:p>
            <w:pPr>
              <w:spacing w:after="0"/>
            </w:pPr>
            <w:r>
              <w:rPr>
                <w:sz w:val="16"/>
              </w:rPr>
              <w:t>alarmphone.org/en/safety-at-sea/channel</w:t>
            </w:r>
          </w:p>
        </w:tc>
        <w:tc>
          <w:tcPr>
            <w:tcW w:type="dxa" w:w="3960"/>
            <w:tcMar>
              <w:top w:w="80" w:type="dxa"/>
              <w:start w:w="120" w:type="dxa"/>
              <w:bottom w:w="80" w:type="dxa"/>
              <w:end w:w="120" w:type="dxa"/>
            </w:tcMar>
            <w:vAlign w:val="top"/>
          </w:tcPr>
          <w:p>
            <w:pPr>
              <w:spacing w:after="0"/>
            </w:pPr>
            <w:r>
              <w:rPr>
                <w:sz w:val="16"/>
              </w:rPr>
              <w:t>Risk-reduction information.</w:t>
            </w:r>
          </w:p>
        </w:tc>
      </w:tr>
      <w:tr>
        <w:trPr>
          <w:cantSplit/>
        </w:trPr>
        <w:tc>
          <w:tcPr>
            <w:tcW w:type="dxa" w:w="2550"/>
            <w:tcMar>
              <w:top w:w="80" w:type="dxa"/>
              <w:start w:w="120" w:type="dxa"/>
              <w:bottom w:w="80" w:type="dxa"/>
              <w:end w:w="120" w:type="dxa"/>
            </w:tcMar>
            <w:vAlign w:val="top"/>
          </w:tcPr>
          <w:p>
            <w:pPr>
              <w:spacing w:after="0"/>
            </w:pPr>
            <w:r>
              <w:rPr>
                <w:sz w:val="16"/>
              </w:rPr>
              <w:t>SITAC</w:t>
            </w:r>
          </w:p>
        </w:tc>
        <w:tc>
          <w:tcPr>
            <w:tcW w:type="dxa" w:w="2850"/>
            <w:tcMar>
              <w:top w:w="80" w:type="dxa"/>
              <w:start w:w="120" w:type="dxa"/>
              <w:bottom w:w="80" w:type="dxa"/>
              <w:end w:w="120" w:type="dxa"/>
            </w:tcMar>
            <w:vAlign w:val="top"/>
          </w:tcPr>
          <w:p>
            <w:pPr>
              <w:spacing w:after="0"/>
            </w:pPr>
            <w:r>
              <w:rPr>
                <w:sz w:val="16"/>
              </w:rPr>
              <w:t>sitac-calais-opale-bus.fr</w:t>
            </w:r>
          </w:p>
        </w:tc>
        <w:tc>
          <w:tcPr>
            <w:tcW w:type="dxa" w:w="3960"/>
            <w:tcMar>
              <w:top w:w="80" w:type="dxa"/>
              <w:start w:w="120" w:type="dxa"/>
              <w:bottom w:w="80" w:type="dxa"/>
              <w:end w:w="120" w:type="dxa"/>
            </w:tcMar>
            <w:vAlign w:val="top"/>
          </w:tcPr>
          <w:p>
            <w:pPr>
              <w:spacing w:after="0"/>
            </w:pPr>
            <w:r>
              <w:rPr>
                <w:sz w:val="16"/>
              </w:rPr>
              <w:t>Calais bus routes/times; guide states buses are free.</w:t>
            </w:r>
          </w:p>
        </w:tc>
      </w:tr>
    </w:tbl>
    <w:p>
      <w:pPr>
        <w:pStyle w:val="TableSource"/>
      </w:pPr>
    </w:p>
    <w:p>
      <w:pPr>
        <w:pStyle w:val="Heading1"/>
      </w:pPr>
      <w:r>
        <w:t>Appendix B — Sponsor sales kit</w:t>
      </w:r>
    </w:p>
    <w:p>
      <w:pPr>
        <w:pStyle w:val="Heading2"/>
      </w:pPr>
      <w:r>
        <w:t>B1. French outreach email</w:t>
      </w: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4F6F9"/>
          </w:tcPr>
          <w:p>
            <w:pPr>
              <w:spacing w:after="40"/>
            </w:pPr>
            <w:r>
              <w:rPr>
                <w:b/>
                <w:color w:val="0B2545"/>
              </w:rPr>
              <w:t>Objet : Une information locale fiable, gratuite et utile à Calais</w:t>
              <w:br/>
            </w:r>
            <w:r>
              <w:rPr>
                <w:sz w:val="19"/>
              </w:rPr>
              <w:t>Bonjour [Prénom], nous lançons Calais Open Commons Protocol, un répertoire mobile gratuit et ouvert qui aide les personnes nouvellement arrivées et les acteurs locaux à trouver des services vérifiés sans compte ni traçage. Nous cherchons trois entreprises fondatrices à partir de 79 € pour financer la vérification et la traduction. Vous pouvez payer par carte, virement SEPA ou actif numérique accepté sur Base. Chaque paiement est rapproché dans un registre commun ; la majorité nette est affectée à une association choisie, et le sponsor n'achète ni données, ni classement, ni accès aux bénéficiaires. Puis-je vous montrer le prototype et son reçu public pendant dix minutes cette semaine ?</w:t>
            </w:r>
          </w:p>
        </w:tc>
      </w:tr>
    </w:tbl>
    <w:p>
      <w:pPr>
        <w:pStyle w:val="TableSource"/>
      </w:pPr>
    </w:p>
    <w:p>
      <w:pPr>
        <w:pStyle w:val="Heading2"/>
      </w:pPr>
      <w:r>
        <w:t>B2. English outreach email</w:t>
      </w: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F4F6F9"/>
          </w:tcPr>
          <w:p>
            <w:pPr>
              <w:spacing w:after="40"/>
            </w:pPr>
            <w:r>
              <w:rPr>
                <w:b/>
                <w:color w:val="0B2545"/>
              </w:rPr>
              <w:t>Subject: Fund reliable, free local information in Calais</w:t>
              <w:br/>
            </w:r>
            <w:r>
              <w:rPr>
                <w:sz w:val="19"/>
              </w:rPr>
              <w:t>Hello [Name], we are launching Calais Open Commons Protocol, a free and open mobile directory that helps newly arrived people and local organisations find verified services without accounts or tracking. We are seeking three founding businesses from €79 to fund verification and translation. Sponsors can pay by card, SEPA transfer or an accepted digital asset on Base. Every payment is reconciled in one ledger; the majority of net proceeds is allocated to a selected charity, and sponsors receive no beneficiary data, ranking or access. May I show you the prototype and public receipt in a ten-minute call this week?</w:t>
            </w:r>
          </w:p>
        </w:tc>
      </w:tr>
    </w:tbl>
    <w:p>
      <w:pPr>
        <w:pStyle w:val="TableSource"/>
      </w:pPr>
    </w:p>
    <w:p>
      <w:pPr>
        <w:pStyle w:val="Heading2"/>
      </w:pPr>
      <w:r>
        <w:t>B3. Objection handling</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top"/>
          </w:tcPr>
          <w:p>
            <w:pPr>
              <w:spacing w:after="0"/>
            </w:pPr>
            <w:r>
              <w:rPr>
                <w:b/>
                <w:color w:val="0B2545"/>
                <w:sz w:val="18"/>
              </w:rPr>
              <w:t>Objection</w:t>
            </w:r>
          </w:p>
        </w:tc>
        <w:tc>
          <w:tcPr>
            <w:tcW w:type="dxa" w:w="6860"/>
            <w:shd w:fill="E8EEF5"/>
            <w:tcMar>
              <w:top w:w="80" w:type="dxa"/>
              <w:start w:w="120" w:type="dxa"/>
              <w:bottom w:w="80" w:type="dxa"/>
              <w:end w:w="120" w:type="dxa"/>
            </w:tcMar>
            <w:vAlign w:val="top"/>
          </w:tcPr>
          <w:p>
            <w:pPr>
              <w:spacing w:after="0"/>
            </w:pPr>
            <w:r>
              <w:rPr>
                <w:b/>
                <w:color w:val="0B2545"/>
                <w:sz w:val="18"/>
              </w:rPr>
              <w:t>Answer</w:t>
            </w:r>
          </w:p>
        </w:tc>
      </w:tr>
      <w:tr>
        <w:trPr>
          <w:cantSplit/>
        </w:trPr>
        <w:tc>
          <w:tcPr>
            <w:tcW w:type="dxa" w:w="2500"/>
            <w:tcMar>
              <w:top w:w="80" w:type="dxa"/>
              <w:start w:w="120" w:type="dxa"/>
              <w:bottom w:w="80" w:type="dxa"/>
              <w:end w:w="120" w:type="dxa"/>
            </w:tcMar>
            <w:vAlign w:val="top"/>
          </w:tcPr>
          <w:p>
            <w:pPr>
              <w:spacing w:after="0"/>
            </w:pPr>
            <w:r>
              <w:rPr>
                <w:sz w:val="17"/>
              </w:rPr>
              <w:t>Is this political?</w:t>
            </w:r>
          </w:p>
        </w:tc>
        <w:tc>
          <w:tcPr>
            <w:tcW w:type="dxa" w:w="6860"/>
            <w:tcMar>
              <w:top w:w="80" w:type="dxa"/>
              <w:start w:w="120" w:type="dxa"/>
              <w:bottom w:w="80" w:type="dxa"/>
              <w:end w:w="120" w:type="dxa"/>
            </w:tcMar>
            <w:vAlign w:val="top"/>
          </w:tcPr>
          <w:p>
            <w:pPr>
              <w:spacing w:after="0"/>
            </w:pPr>
            <w:r>
              <w:rPr>
                <w:sz w:val="17"/>
              </w:rPr>
              <w:t>It is a neutral public-information and civic-participation service with explicit safeguarding and no party advocacy.</w:t>
            </w:r>
          </w:p>
        </w:tc>
      </w:tr>
      <w:tr>
        <w:trPr>
          <w:cantSplit/>
        </w:trPr>
        <w:tc>
          <w:tcPr>
            <w:tcW w:type="dxa" w:w="2500"/>
            <w:tcMar>
              <w:top w:w="80" w:type="dxa"/>
              <w:start w:w="120" w:type="dxa"/>
              <w:bottom w:w="80" w:type="dxa"/>
              <w:end w:w="120" w:type="dxa"/>
            </w:tcMar>
            <w:vAlign w:val="top"/>
          </w:tcPr>
          <w:p>
            <w:pPr>
              <w:spacing w:after="0"/>
            </w:pPr>
            <w:r>
              <w:rPr>
                <w:sz w:val="17"/>
              </w:rPr>
              <w:t>What do we receive?</w:t>
            </w:r>
          </w:p>
        </w:tc>
        <w:tc>
          <w:tcPr>
            <w:tcW w:type="dxa" w:w="6860"/>
            <w:tcMar>
              <w:top w:w="80" w:type="dxa"/>
              <w:start w:w="120" w:type="dxa"/>
              <w:bottom w:w="80" w:type="dxa"/>
              <w:end w:w="120" w:type="dxa"/>
            </w:tcMar>
            <w:vAlign w:val="top"/>
          </w:tcPr>
          <w:p>
            <w:pPr>
              <w:spacing w:after="0"/>
            </w:pPr>
            <w:r>
              <w:rPr>
                <w:sz w:val="17"/>
              </w:rPr>
              <w:t>A proof URL, evidence pack, time-limited sponsor-wall recognition and optional supporter badge—never beneficiary data.</w:t>
            </w:r>
          </w:p>
        </w:tc>
      </w:tr>
      <w:tr>
        <w:trPr>
          <w:cantSplit/>
        </w:trPr>
        <w:tc>
          <w:tcPr>
            <w:tcW w:type="dxa" w:w="2500"/>
            <w:tcMar>
              <w:top w:w="80" w:type="dxa"/>
              <w:start w:w="120" w:type="dxa"/>
              <w:bottom w:w="80" w:type="dxa"/>
              <w:end w:w="120" w:type="dxa"/>
            </w:tcMar>
            <w:vAlign w:val="top"/>
          </w:tcPr>
          <w:p>
            <w:pPr>
              <w:spacing w:after="0"/>
            </w:pPr>
            <w:r>
              <w:rPr>
                <w:sz w:val="17"/>
              </w:rPr>
              <w:t>Why pay if the guide is free?</w:t>
            </w:r>
          </w:p>
        </w:tc>
        <w:tc>
          <w:tcPr>
            <w:tcW w:type="dxa" w:w="6860"/>
            <w:tcMar>
              <w:top w:w="80" w:type="dxa"/>
              <w:start w:w="120" w:type="dxa"/>
              <w:bottom w:w="80" w:type="dxa"/>
              <w:end w:w="120" w:type="dxa"/>
            </w:tcMar>
            <w:vAlign w:val="top"/>
          </w:tcPr>
          <w:p>
            <w:pPr>
              <w:spacing w:after="0"/>
            </w:pPr>
            <w:r>
              <w:rPr>
                <w:sz w:val="17"/>
              </w:rPr>
              <w:t>Free access is the point; sponsorship funds verification, translation and distribution.</w:t>
            </w:r>
          </w:p>
        </w:tc>
      </w:tr>
      <w:tr>
        <w:trPr>
          <w:cantSplit/>
        </w:trPr>
        <w:tc>
          <w:tcPr>
            <w:tcW w:type="dxa" w:w="2500"/>
            <w:tcMar>
              <w:top w:w="80" w:type="dxa"/>
              <w:start w:w="120" w:type="dxa"/>
              <w:bottom w:w="80" w:type="dxa"/>
              <w:end w:w="120" w:type="dxa"/>
            </w:tcMar>
            <w:vAlign w:val="top"/>
          </w:tcPr>
          <w:p>
            <w:pPr>
              <w:spacing w:after="0"/>
            </w:pPr>
            <w:r>
              <w:rPr>
                <w:sz w:val="17"/>
              </w:rPr>
              <w:t>Can we advertise an offer?</w:t>
            </w:r>
          </w:p>
        </w:tc>
        <w:tc>
          <w:tcPr>
            <w:tcW w:type="dxa" w:w="6860"/>
            <w:tcMar>
              <w:top w:w="80" w:type="dxa"/>
              <w:start w:w="120" w:type="dxa"/>
              <w:bottom w:w="80" w:type="dxa"/>
              <w:end w:w="120" w:type="dxa"/>
            </w:tcMar>
            <w:vAlign w:val="top"/>
          </w:tcPr>
          <w:p>
            <w:pPr>
              <w:spacing w:after="0"/>
            </w:pPr>
            <w:r>
              <w:rPr>
                <w:sz w:val="17"/>
              </w:rPr>
              <w:t>Only if it is lawful, dignified and separately reviewed; never inside emergency/service results or targeted using personal data.</w:t>
            </w:r>
          </w:p>
        </w:tc>
      </w:tr>
      <w:tr>
        <w:trPr>
          <w:cantSplit/>
        </w:trPr>
        <w:tc>
          <w:tcPr>
            <w:tcW w:type="dxa" w:w="2500"/>
            <w:tcMar>
              <w:top w:w="80" w:type="dxa"/>
              <w:start w:w="120" w:type="dxa"/>
              <w:bottom w:w="80" w:type="dxa"/>
              <w:end w:w="120" w:type="dxa"/>
            </w:tcMar>
            <w:vAlign w:val="top"/>
          </w:tcPr>
          <w:p>
            <w:pPr>
              <w:spacing w:after="0"/>
            </w:pPr>
            <w:r>
              <w:rPr>
                <w:sz w:val="17"/>
              </w:rPr>
              <w:t>Is our payment a donation?</w:t>
            </w:r>
          </w:p>
        </w:tc>
        <w:tc>
          <w:tcPr>
            <w:tcW w:type="dxa" w:w="6860"/>
            <w:tcMar>
              <w:top w:w="80" w:type="dxa"/>
              <w:start w:w="120" w:type="dxa"/>
              <w:bottom w:w="80" w:type="dxa"/>
              <w:end w:w="120" w:type="dxa"/>
            </w:tcMar>
            <w:vAlign w:val="top"/>
          </w:tcPr>
          <w:p>
            <w:pPr>
              <w:spacing w:after="0"/>
            </w:pPr>
            <w:r>
              <w:rPr>
                <w:sz w:val="17"/>
              </w:rPr>
              <w:t>No. Sponsorship includes consideration and is invoiced. Pure donations go directly to the partner under its rules.</w:t>
            </w:r>
          </w:p>
        </w:tc>
      </w:tr>
    </w:tbl>
    <w:p>
      <w:pPr>
        <w:pStyle w:val="TableSource"/>
      </w:pPr>
    </w:p>
    <w:p>
      <w:pPr>
        <w:pStyle w:val="Heading2"/>
      </w:pPr>
      <w:r>
        <w:t>B4. Approval-ready sponsor package</w:t>
      </w:r>
    </w:p>
    <w:tbl>
      <w:tblPr>
        <w:tblStyle w:val="TableGrid"/>
        <w:tblW w:type="dxa" w:w="9360"/>
        <w:jc w:val="center"/>
        <w:tblLayout w:type="fixed"/>
        <w:tblLook w:firstColumn="1" w:firstRow="1" w:lastColumn="0" w:lastRow="0" w:noHBand="0" w:noVBand="1" w:val="04A0"/>
        <w:tblInd w:w="120" w:type="dxa"/>
      </w:tblPr>
      <w:tblGrid>
        <w:gridCol w:w="1900"/>
        <w:gridCol w:w="4860"/>
        <w:gridCol w:w="2600"/>
      </w:tblGrid>
      <w:tr>
        <w:trPr>
          <w:tblHeader w:val="true"/>
          <w:cantSplit/>
        </w:trPr>
        <w:tc>
          <w:tcPr>
            <w:tcW w:type="dxa" w:w="1900"/>
            <w:shd w:fill="E8EEF5"/>
            <w:tcMar>
              <w:top w:w="80" w:type="dxa"/>
              <w:start w:w="120" w:type="dxa"/>
              <w:bottom w:w="80" w:type="dxa"/>
              <w:end w:w="120" w:type="dxa"/>
            </w:tcMar>
            <w:vAlign w:val="top"/>
          </w:tcPr>
          <w:p>
            <w:pPr>
              <w:spacing w:after="0"/>
            </w:pPr>
            <w:r>
              <w:rPr>
                <w:b/>
                <w:color w:val="0B2545"/>
                <w:sz w:val="17"/>
              </w:rPr>
              <w:t>Asset</w:t>
            </w:r>
          </w:p>
        </w:tc>
        <w:tc>
          <w:tcPr>
            <w:tcW w:type="dxa" w:w="4860"/>
            <w:shd w:fill="E8EEF5"/>
            <w:tcMar>
              <w:top w:w="80" w:type="dxa"/>
              <w:start w:w="120" w:type="dxa"/>
              <w:bottom w:w="80" w:type="dxa"/>
              <w:end w:w="120" w:type="dxa"/>
            </w:tcMar>
            <w:vAlign w:val="top"/>
          </w:tcPr>
          <w:p>
            <w:pPr>
              <w:spacing w:after="0"/>
            </w:pPr>
            <w:r>
              <w:rPr>
                <w:b/>
                <w:color w:val="0B2545"/>
                <w:sz w:val="17"/>
              </w:rPr>
              <w:t>Required content</w:t>
            </w:r>
          </w:p>
        </w:tc>
        <w:tc>
          <w:tcPr>
            <w:tcW w:type="dxa" w:w="2600"/>
            <w:shd w:fill="E8EEF5"/>
            <w:tcMar>
              <w:top w:w="80" w:type="dxa"/>
              <w:start w:w="120" w:type="dxa"/>
              <w:bottom w:w="80" w:type="dxa"/>
              <w:end w:w="120" w:type="dxa"/>
            </w:tcMar>
            <w:vAlign w:val="top"/>
          </w:tcPr>
          <w:p>
            <w:pPr>
              <w:spacing w:after="0"/>
            </w:pPr>
            <w:r>
              <w:rPr>
                <w:b/>
                <w:color w:val="0B2545"/>
                <w:sz w:val="17"/>
              </w:rPr>
              <w:t>Conversion purpose</w:t>
            </w:r>
          </w:p>
        </w:tc>
      </w:tr>
      <w:tr>
        <w:trPr>
          <w:cantSplit/>
        </w:trPr>
        <w:tc>
          <w:tcPr>
            <w:tcW w:type="dxa" w:w="1900"/>
            <w:tcMar>
              <w:top w:w="80" w:type="dxa"/>
              <w:start w:w="120" w:type="dxa"/>
              <w:bottom w:w="80" w:type="dxa"/>
              <w:end w:w="120" w:type="dxa"/>
            </w:tcMar>
            <w:vAlign w:val="top"/>
          </w:tcPr>
          <w:p>
            <w:pPr>
              <w:spacing w:after="0"/>
            </w:pPr>
            <w:r>
              <w:rPr>
                <w:sz w:val="16"/>
              </w:rPr>
              <w:t>90-second landing page</w:t>
            </w:r>
          </w:p>
        </w:tc>
        <w:tc>
          <w:tcPr>
            <w:tcW w:type="dxa" w:w="4860"/>
            <w:tcMar>
              <w:top w:w="80" w:type="dxa"/>
              <w:start w:w="120" w:type="dxa"/>
              <w:bottom w:w="80" w:type="dxa"/>
              <w:end w:w="120" w:type="dxa"/>
            </w:tcMar>
            <w:vAlign w:val="top"/>
          </w:tcPr>
          <w:p>
            <w:pPr>
              <w:spacing w:after="0"/>
            </w:pPr>
            <w:r>
              <w:rPr>
                <w:sz w:val="16"/>
              </w:rPr>
              <w:t>Problem, funded result, fixed price, 90/10 policy, payment choices, boundaries and one CTA</w:t>
            </w:r>
          </w:p>
        </w:tc>
        <w:tc>
          <w:tcPr>
            <w:tcW w:type="dxa" w:w="2600"/>
            <w:tcMar>
              <w:top w:w="80" w:type="dxa"/>
              <w:start w:w="120" w:type="dxa"/>
              <w:bottom w:w="80" w:type="dxa"/>
              <w:end w:w="120" w:type="dxa"/>
            </w:tcMar>
            <w:vAlign w:val="top"/>
          </w:tcPr>
          <w:p>
            <w:pPr>
              <w:spacing w:after="0"/>
            </w:pPr>
            <w:r>
              <w:rPr>
                <w:sz w:val="16"/>
              </w:rPr>
              <w:t>Makes the first decision simple</w:t>
            </w:r>
          </w:p>
        </w:tc>
      </w:tr>
      <w:tr>
        <w:trPr>
          <w:cantSplit/>
        </w:trPr>
        <w:tc>
          <w:tcPr>
            <w:tcW w:type="dxa" w:w="1900"/>
            <w:tcMar>
              <w:top w:w="80" w:type="dxa"/>
              <w:start w:w="120" w:type="dxa"/>
              <w:bottom w:w="80" w:type="dxa"/>
              <w:end w:w="120" w:type="dxa"/>
            </w:tcMar>
            <w:vAlign w:val="top"/>
          </w:tcPr>
          <w:p>
            <w:pPr>
              <w:spacing w:after="0"/>
            </w:pPr>
            <w:r>
              <w:rPr>
                <w:sz w:val="16"/>
              </w:rPr>
              <w:t>Order summary</w:t>
            </w:r>
          </w:p>
        </w:tc>
        <w:tc>
          <w:tcPr>
            <w:tcW w:type="dxa" w:w="4860"/>
            <w:tcMar>
              <w:top w:w="80" w:type="dxa"/>
              <w:start w:w="120" w:type="dxa"/>
              <w:bottom w:w="80" w:type="dxa"/>
              <w:end w:w="120" w:type="dxa"/>
            </w:tcMar>
            <w:vAlign w:val="top"/>
          </w:tcPr>
          <w:p>
            <w:pPr>
              <w:spacing w:after="0"/>
            </w:pPr>
            <w:r>
              <w:rPr>
                <w:sz w:val="16"/>
              </w:rPr>
              <w:t>Legal seller/operator, sponsor identity fields, deliverable, recognition term, VAT/tax position, cancellation/refund terms</w:t>
            </w:r>
          </w:p>
        </w:tc>
        <w:tc>
          <w:tcPr>
            <w:tcW w:type="dxa" w:w="2600"/>
            <w:tcMar>
              <w:top w:w="80" w:type="dxa"/>
              <w:start w:w="120" w:type="dxa"/>
              <w:bottom w:w="80" w:type="dxa"/>
              <w:end w:w="120" w:type="dxa"/>
            </w:tcMar>
            <w:vAlign w:val="top"/>
          </w:tcPr>
          <w:p>
            <w:pPr>
              <w:spacing w:after="0"/>
            </w:pPr>
            <w:r>
              <w:rPr>
                <w:sz w:val="16"/>
              </w:rPr>
              <w:t>Can be forwarded to manager or accounting</w:t>
            </w:r>
          </w:p>
        </w:tc>
      </w:tr>
      <w:tr>
        <w:trPr>
          <w:cantSplit/>
        </w:trPr>
        <w:tc>
          <w:tcPr>
            <w:tcW w:type="dxa" w:w="1900"/>
            <w:tcMar>
              <w:top w:w="80" w:type="dxa"/>
              <w:start w:w="120" w:type="dxa"/>
              <w:bottom w:w="80" w:type="dxa"/>
              <w:end w:w="120" w:type="dxa"/>
            </w:tcMar>
            <w:vAlign w:val="top"/>
          </w:tcPr>
          <w:p>
            <w:pPr>
              <w:spacing w:after="0"/>
            </w:pPr>
            <w:r>
              <w:rPr>
                <w:sz w:val="16"/>
              </w:rPr>
              <w:t>Proof-page preview</w:t>
            </w:r>
          </w:p>
        </w:tc>
        <w:tc>
          <w:tcPr>
            <w:tcW w:type="dxa" w:w="4860"/>
            <w:tcMar>
              <w:top w:w="80" w:type="dxa"/>
              <w:start w:w="120" w:type="dxa"/>
              <w:bottom w:w="80" w:type="dxa"/>
              <w:end w:w="120" w:type="dxa"/>
            </w:tcMar>
            <w:vAlign w:val="top"/>
          </w:tcPr>
          <w:p>
            <w:pPr>
              <w:spacing w:after="0"/>
            </w:pPr>
            <w:r>
              <w:rPr>
                <w:sz w:val="16"/>
              </w:rPr>
              <w:t>Example receipt ID, allocation, milestones, aggregate metrics and expiry</w:t>
            </w:r>
          </w:p>
        </w:tc>
        <w:tc>
          <w:tcPr>
            <w:tcW w:type="dxa" w:w="2600"/>
            <w:tcMar>
              <w:top w:w="80" w:type="dxa"/>
              <w:start w:w="120" w:type="dxa"/>
              <w:bottom w:w="80" w:type="dxa"/>
              <w:end w:w="120" w:type="dxa"/>
            </w:tcMar>
            <w:vAlign w:val="top"/>
          </w:tcPr>
          <w:p>
            <w:pPr>
              <w:spacing w:after="0"/>
            </w:pPr>
            <w:r>
              <w:rPr>
                <w:sz w:val="16"/>
              </w:rPr>
              <w:t>Shows evidence before purchase</w:t>
            </w:r>
          </w:p>
        </w:tc>
      </w:tr>
      <w:tr>
        <w:trPr>
          <w:cantSplit/>
        </w:trPr>
        <w:tc>
          <w:tcPr>
            <w:tcW w:type="dxa" w:w="1900"/>
            <w:tcMar>
              <w:top w:w="80" w:type="dxa"/>
              <w:start w:w="120" w:type="dxa"/>
              <w:bottom w:w="80" w:type="dxa"/>
              <w:end w:w="120" w:type="dxa"/>
            </w:tcMar>
            <w:vAlign w:val="top"/>
          </w:tcPr>
          <w:p>
            <w:pPr>
              <w:spacing w:after="0"/>
            </w:pPr>
            <w:r>
              <w:rPr>
                <w:sz w:val="16"/>
              </w:rPr>
              <w:t>Evidence pack</w:t>
            </w:r>
          </w:p>
        </w:tc>
        <w:tc>
          <w:tcPr>
            <w:tcW w:type="dxa" w:w="4860"/>
            <w:tcMar>
              <w:top w:w="80" w:type="dxa"/>
              <w:start w:w="120" w:type="dxa"/>
              <w:bottom w:w="80" w:type="dxa"/>
              <w:end w:w="120" w:type="dxa"/>
            </w:tcMar>
            <w:vAlign w:val="top"/>
          </w:tcPr>
          <w:p>
            <w:pPr>
              <w:spacing w:after="0"/>
            </w:pPr>
            <w:r>
              <w:rPr>
                <w:sz w:val="16"/>
              </w:rPr>
              <w:t>Invoice/receipt, reconciliation, approved wording, metrics, charity allocation/payout evidence and contact</w:t>
            </w:r>
          </w:p>
        </w:tc>
        <w:tc>
          <w:tcPr>
            <w:tcW w:type="dxa" w:w="2600"/>
            <w:tcMar>
              <w:top w:w="80" w:type="dxa"/>
              <w:start w:w="120" w:type="dxa"/>
              <w:bottom w:w="80" w:type="dxa"/>
              <w:end w:w="120" w:type="dxa"/>
            </w:tcMar>
            <w:vAlign w:val="top"/>
          </w:tcPr>
          <w:p>
            <w:pPr>
              <w:spacing w:after="0"/>
            </w:pPr>
            <w:r>
              <w:rPr>
                <w:sz w:val="16"/>
              </w:rPr>
              <w:t>Supports CSR/ESG files without overclaiming</w:t>
            </w:r>
          </w:p>
        </w:tc>
      </w:tr>
      <w:tr>
        <w:trPr>
          <w:cantSplit/>
        </w:trPr>
        <w:tc>
          <w:tcPr>
            <w:tcW w:type="dxa" w:w="1900"/>
            <w:tcMar>
              <w:top w:w="80" w:type="dxa"/>
              <w:start w:w="120" w:type="dxa"/>
              <w:bottom w:w="80" w:type="dxa"/>
              <w:end w:w="120" w:type="dxa"/>
            </w:tcMar>
            <w:vAlign w:val="top"/>
          </w:tcPr>
          <w:p>
            <w:pPr>
              <w:spacing w:after="0"/>
            </w:pPr>
            <w:r>
              <w:rPr>
                <w:sz w:val="16"/>
              </w:rPr>
              <w:t>Badge kit</w:t>
            </w:r>
          </w:p>
        </w:tc>
        <w:tc>
          <w:tcPr>
            <w:tcW w:type="dxa" w:w="4860"/>
            <w:tcMar>
              <w:top w:w="80" w:type="dxa"/>
              <w:start w:w="120" w:type="dxa"/>
              <w:bottom w:w="80" w:type="dxa"/>
              <w:end w:w="120" w:type="dxa"/>
            </w:tcMar>
            <w:vAlign w:val="top"/>
          </w:tcPr>
          <w:p>
            <w:pPr>
              <w:spacing w:after="0"/>
            </w:pPr>
            <w:r>
              <w:rPr>
                <w:sz w:val="16"/>
              </w:rPr>
              <w:t>Accessible light/dark SVG, alt text, embed snippet, proof URL and usage rules</w:t>
            </w:r>
          </w:p>
        </w:tc>
        <w:tc>
          <w:tcPr>
            <w:tcW w:type="dxa" w:w="2600"/>
            <w:tcMar>
              <w:top w:w="80" w:type="dxa"/>
              <w:start w:w="120" w:type="dxa"/>
              <w:bottom w:w="80" w:type="dxa"/>
              <w:end w:w="120" w:type="dxa"/>
            </w:tcMar>
            <w:vAlign w:val="top"/>
          </w:tcPr>
          <w:p>
            <w:pPr>
              <w:spacing w:after="0"/>
            </w:pPr>
            <w:r>
              <w:rPr>
                <w:sz w:val="16"/>
              </w:rPr>
              <w:t>Gives useful recognition outside the directory</w:t>
            </w:r>
          </w:p>
        </w:tc>
      </w:tr>
      <w:tr>
        <w:trPr>
          <w:cantSplit/>
        </w:trPr>
        <w:tc>
          <w:tcPr>
            <w:tcW w:type="dxa" w:w="1900"/>
            <w:tcMar>
              <w:top w:w="80" w:type="dxa"/>
              <w:start w:w="120" w:type="dxa"/>
              <w:bottom w:w="80" w:type="dxa"/>
              <w:end w:w="120" w:type="dxa"/>
            </w:tcMar>
            <w:vAlign w:val="top"/>
          </w:tcPr>
          <w:p>
            <w:pPr>
              <w:spacing w:after="0"/>
            </w:pPr>
            <w:r>
              <w:rPr>
                <w:sz w:val="16"/>
              </w:rPr>
              <w:t>Renewal note</w:t>
            </w:r>
          </w:p>
        </w:tc>
        <w:tc>
          <w:tcPr>
            <w:tcW w:type="dxa" w:w="4860"/>
            <w:tcMar>
              <w:top w:w="80" w:type="dxa"/>
              <w:start w:w="120" w:type="dxa"/>
              <w:bottom w:w="80" w:type="dxa"/>
              <w:end w:w="120" w:type="dxa"/>
            </w:tcMar>
            <w:vAlign w:val="top"/>
          </w:tcPr>
          <w:p>
            <w:pPr>
              <w:spacing w:after="0"/>
            </w:pPr>
            <w:r>
              <w:rPr>
                <w:sz w:val="16"/>
              </w:rPr>
              <w:t>Results since purchase, freshness status, next fundable result, same three payment choices and opt-out</w:t>
            </w:r>
          </w:p>
        </w:tc>
        <w:tc>
          <w:tcPr>
            <w:tcW w:type="dxa" w:w="2600"/>
            <w:tcMar>
              <w:top w:w="80" w:type="dxa"/>
              <w:start w:w="120" w:type="dxa"/>
              <w:bottom w:w="80" w:type="dxa"/>
              <w:end w:w="120" w:type="dxa"/>
            </w:tcMar>
            <w:vAlign w:val="top"/>
          </w:tcPr>
          <w:p>
            <w:pPr>
              <w:spacing w:after="0"/>
            </w:pPr>
            <w:r>
              <w:rPr>
                <w:sz w:val="16"/>
              </w:rPr>
              <w:t>Creates a respectful repeat-revenue path</w:t>
            </w:r>
          </w:p>
        </w:tc>
      </w:tr>
    </w:tbl>
    <w:p>
      <w:pPr>
        <w:pStyle w:val="TableSource"/>
      </w:pPr>
    </w:p>
    <w:tbl>
      <w:tblPr>
        <w:tblStyle w:val="TableGrid"/>
        <w:tblW w:type="dxa" w:w="9360"/>
        <w:jc w:val="center"/>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top"/>
            <w:shd w:fill="E6F2EA"/>
          </w:tcPr>
          <w:p>
            <w:pPr>
              <w:spacing w:after="40"/>
            </w:pPr>
            <w:r>
              <w:rPr>
                <w:b/>
                <w:color w:val="0B2545"/>
              </w:rPr>
              <w:t>Five-minute sponsor demo</w:t>
              <w:br/>
            </w:r>
            <w:r>
              <w:rPr>
                <w:sz w:val="19"/>
              </w:rPr>
              <w:t>Minute 1: show the public problem and live directory. Minute 2: show exactly what €79 or €149 funds. Minute 3: preview the proof page and evidence pack. Minute 4: explain the 90/10 policy, privacy boundaries and payment choices. Minute 5: select a funded result and send the approval-ready order summary. Record the objection and next decision date; do not pressure the prospect.</w:t>
            </w:r>
          </w:p>
        </w:tc>
      </w:tr>
    </w:tbl>
    <w:p>
      <w:pPr>
        <w:pStyle w:val="TableSource"/>
      </w:pPr>
    </w:p>
    <w:p>
      <w:pPr>
        <w:pStyle w:val="Heading1"/>
      </w:pPr>
      <w:r>
        <w:t>Appendix C — Risk register</w:t>
      </w:r>
    </w:p>
    <w:tbl>
      <w:tblPr>
        <w:tblStyle w:val="TableGrid"/>
        <w:tblW w:type="dxa" w:w="9360"/>
        <w:jc w:val="center"/>
        <w:tblLayout w:type="fixed"/>
        <w:tblLook w:firstColumn="1" w:firstRow="1" w:lastColumn="0" w:lastRow="0" w:noHBand="0" w:noVBand="1" w:val="04A0"/>
        <w:tblInd w:w="120" w:type="dxa"/>
      </w:tblPr>
      <w:tblGrid>
        <w:gridCol w:w="1900"/>
        <w:gridCol w:w="1600"/>
        <w:gridCol w:w="3860"/>
        <w:gridCol w:w="2000"/>
      </w:tblGrid>
      <w:tr>
        <w:trPr>
          <w:tblHeader w:val="true"/>
          <w:cantSplit/>
        </w:trPr>
        <w:tc>
          <w:tcPr>
            <w:tcW w:type="dxa" w:w="1900"/>
            <w:shd w:fill="E8EEF5"/>
            <w:tcMar>
              <w:top w:w="80" w:type="dxa"/>
              <w:start w:w="120" w:type="dxa"/>
              <w:bottom w:w="80" w:type="dxa"/>
              <w:end w:w="120" w:type="dxa"/>
            </w:tcMar>
            <w:vAlign w:val="top"/>
          </w:tcPr>
          <w:p>
            <w:pPr>
              <w:spacing w:after="0"/>
            </w:pPr>
            <w:r>
              <w:rPr>
                <w:b/>
                <w:color w:val="0B2545"/>
                <w:sz w:val="13"/>
              </w:rPr>
              <w:t>Risk</w:t>
            </w:r>
          </w:p>
        </w:tc>
        <w:tc>
          <w:tcPr>
            <w:tcW w:type="dxa" w:w="1600"/>
            <w:shd w:fill="E8EEF5"/>
            <w:tcMar>
              <w:top w:w="80" w:type="dxa"/>
              <w:start w:w="120" w:type="dxa"/>
              <w:bottom w:w="80" w:type="dxa"/>
              <w:end w:w="120" w:type="dxa"/>
            </w:tcMar>
            <w:vAlign w:val="top"/>
          </w:tcPr>
          <w:p>
            <w:pPr>
              <w:spacing w:after="0"/>
            </w:pPr>
            <w:r>
              <w:rPr>
                <w:b/>
                <w:color w:val="0B2545"/>
                <w:sz w:val="13"/>
              </w:rPr>
              <w:t>Likelihood / impact</w:t>
            </w:r>
          </w:p>
        </w:tc>
        <w:tc>
          <w:tcPr>
            <w:tcW w:type="dxa" w:w="3860"/>
            <w:shd w:fill="E8EEF5"/>
            <w:tcMar>
              <w:top w:w="80" w:type="dxa"/>
              <w:start w:w="120" w:type="dxa"/>
              <w:bottom w:w="80" w:type="dxa"/>
              <w:end w:w="120" w:type="dxa"/>
            </w:tcMar>
            <w:vAlign w:val="top"/>
          </w:tcPr>
          <w:p>
            <w:pPr>
              <w:spacing w:after="0"/>
            </w:pPr>
            <w:r>
              <w:rPr>
                <w:b/>
                <w:color w:val="0B2545"/>
                <w:sz w:val="13"/>
              </w:rPr>
              <w:t>Control</w:t>
            </w:r>
          </w:p>
        </w:tc>
        <w:tc>
          <w:tcPr>
            <w:tcW w:type="dxa" w:w="2000"/>
            <w:shd w:fill="E8EEF5"/>
            <w:tcMar>
              <w:top w:w="80" w:type="dxa"/>
              <w:start w:w="120" w:type="dxa"/>
              <w:bottom w:w="80" w:type="dxa"/>
              <w:end w:w="120" w:type="dxa"/>
            </w:tcMar>
            <w:vAlign w:val="top"/>
          </w:tcPr>
          <w:p>
            <w:pPr>
              <w:spacing w:after="0"/>
            </w:pPr>
            <w:r>
              <w:rPr>
                <w:b/>
                <w:color w:val="0B2545"/>
                <w:sz w:val="13"/>
              </w:rPr>
              <w:t>Trigger to stop</w:t>
            </w:r>
          </w:p>
        </w:tc>
      </w:tr>
      <w:tr>
        <w:trPr>
          <w:cantSplit/>
        </w:trPr>
        <w:tc>
          <w:tcPr>
            <w:tcW w:type="dxa" w:w="1900"/>
            <w:tcMar>
              <w:top w:w="80" w:type="dxa"/>
              <w:start w:w="120" w:type="dxa"/>
              <w:bottom w:w="80" w:type="dxa"/>
              <w:end w:w="120" w:type="dxa"/>
            </w:tcMar>
            <w:vAlign w:val="top"/>
          </w:tcPr>
          <w:p>
            <w:pPr>
              <w:spacing w:after="0"/>
            </w:pPr>
            <w:r>
              <w:rPr>
                <w:sz w:val="13"/>
              </w:rPr>
              <w:t>Outdated schedule causes harm</w:t>
            </w:r>
          </w:p>
        </w:tc>
        <w:tc>
          <w:tcPr>
            <w:tcW w:type="dxa" w:w="1600"/>
            <w:tcMar>
              <w:top w:w="80" w:type="dxa"/>
              <w:start w:w="120" w:type="dxa"/>
              <w:bottom w:w="80" w:type="dxa"/>
              <w:end w:w="120" w:type="dxa"/>
            </w:tcMar>
            <w:vAlign w:val="top"/>
          </w:tcPr>
          <w:p>
            <w:pPr>
              <w:spacing w:after="0"/>
            </w:pPr>
            <w:r>
              <w:rPr>
                <w:sz w:val="13"/>
              </w:rPr>
              <w:t>High / High</w:t>
            </w:r>
          </w:p>
        </w:tc>
        <w:tc>
          <w:tcPr>
            <w:tcW w:type="dxa" w:w="3860"/>
            <w:tcMar>
              <w:top w:w="80" w:type="dxa"/>
              <w:start w:w="120" w:type="dxa"/>
              <w:bottom w:w="80" w:type="dxa"/>
              <w:end w:w="120" w:type="dxa"/>
            </w:tcMar>
            <w:vAlign w:val="top"/>
          </w:tcPr>
          <w:p>
            <w:pPr>
              <w:spacing w:after="0"/>
            </w:pPr>
            <w:r>
              <w:rPr>
                <w:sz w:val="13"/>
              </w:rPr>
              <w:t>Provider owner, last-check, 14-day expiry, warning, rapid correction</w:t>
            </w:r>
          </w:p>
        </w:tc>
        <w:tc>
          <w:tcPr>
            <w:tcW w:type="dxa" w:w="2000"/>
            <w:tcMar>
              <w:top w:w="80" w:type="dxa"/>
              <w:start w:w="120" w:type="dxa"/>
              <w:bottom w:w="80" w:type="dxa"/>
              <w:end w:w="120" w:type="dxa"/>
            </w:tcMar>
            <w:vAlign w:val="top"/>
          </w:tcPr>
          <w:p>
            <w:pPr>
              <w:spacing w:after="0"/>
            </w:pPr>
            <w:r>
              <w:rPr>
                <w:sz w:val="13"/>
              </w:rPr>
              <w:t>Critical listing cannot be verified</w:t>
            </w:r>
          </w:p>
        </w:tc>
      </w:tr>
      <w:tr>
        <w:trPr>
          <w:cantSplit/>
        </w:trPr>
        <w:tc>
          <w:tcPr>
            <w:tcW w:type="dxa" w:w="1900"/>
            <w:tcMar>
              <w:top w:w="80" w:type="dxa"/>
              <w:start w:w="120" w:type="dxa"/>
              <w:bottom w:w="80" w:type="dxa"/>
              <w:end w:w="120" w:type="dxa"/>
            </w:tcMar>
            <w:vAlign w:val="top"/>
          </w:tcPr>
          <w:p>
            <w:pPr>
              <w:spacing w:after="0"/>
            </w:pPr>
            <w:r>
              <w:rPr>
                <w:sz w:val="13"/>
              </w:rPr>
              <w:t>Exploitation/unlawful work</w:t>
            </w:r>
          </w:p>
        </w:tc>
        <w:tc>
          <w:tcPr>
            <w:tcW w:type="dxa" w:w="1600"/>
            <w:tcMar>
              <w:top w:w="80" w:type="dxa"/>
              <w:start w:w="120" w:type="dxa"/>
              <w:bottom w:w="80" w:type="dxa"/>
              <w:end w:w="120" w:type="dxa"/>
            </w:tcMar>
            <w:vAlign w:val="top"/>
          </w:tcPr>
          <w:p>
            <w:pPr>
              <w:spacing w:after="0"/>
            </w:pPr>
            <w:r>
              <w:rPr>
                <w:sz w:val="13"/>
              </w:rPr>
              <w:t>Medium / Critical</w:t>
            </w:r>
          </w:p>
        </w:tc>
        <w:tc>
          <w:tcPr>
            <w:tcW w:type="dxa" w:w="3860"/>
            <w:tcMar>
              <w:top w:w="80" w:type="dxa"/>
              <w:start w:w="120" w:type="dxa"/>
              <w:bottom w:w="80" w:type="dxa"/>
              <w:end w:w="120" w:type="dxa"/>
            </w:tcMar>
            <w:vAlign w:val="top"/>
          </w:tcPr>
          <w:p>
            <w:pPr>
              <w:spacing w:after="0"/>
            </w:pPr>
            <w:r>
              <w:rPr>
                <w:sz w:val="13"/>
              </w:rPr>
              <w:t>No work marketplace; per-person rights check; partner oversight</w:t>
            </w:r>
          </w:p>
        </w:tc>
        <w:tc>
          <w:tcPr>
            <w:tcW w:type="dxa" w:w="2000"/>
            <w:tcMar>
              <w:top w:w="80" w:type="dxa"/>
              <w:start w:w="120" w:type="dxa"/>
              <w:bottom w:w="80" w:type="dxa"/>
              <w:end w:w="120" w:type="dxa"/>
            </w:tcMar>
            <w:vAlign w:val="top"/>
          </w:tcPr>
          <w:p>
            <w:pPr>
              <w:spacing w:after="0"/>
            </w:pPr>
            <w:r>
              <w:rPr>
                <w:sz w:val="13"/>
              </w:rPr>
              <w:t>Any task offered without verified entitlement</w:t>
            </w:r>
          </w:p>
        </w:tc>
      </w:tr>
      <w:tr>
        <w:trPr>
          <w:cantSplit/>
        </w:trPr>
        <w:tc>
          <w:tcPr>
            <w:tcW w:type="dxa" w:w="1900"/>
            <w:tcMar>
              <w:top w:w="80" w:type="dxa"/>
              <w:start w:w="120" w:type="dxa"/>
              <w:bottom w:w="80" w:type="dxa"/>
              <w:end w:w="120" w:type="dxa"/>
            </w:tcMar>
            <w:vAlign w:val="top"/>
          </w:tcPr>
          <w:p>
            <w:pPr>
              <w:spacing w:after="0"/>
            </w:pPr>
            <w:r>
              <w:rPr>
                <w:sz w:val="13"/>
              </w:rPr>
              <w:t>Sensitive data leakage</w:t>
            </w:r>
          </w:p>
        </w:tc>
        <w:tc>
          <w:tcPr>
            <w:tcW w:type="dxa" w:w="1600"/>
            <w:tcMar>
              <w:top w:w="80" w:type="dxa"/>
              <w:start w:w="120" w:type="dxa"/>
              <w:bottom w:w="80" w:type="dxa"/>
              <w:end w:w="120" w:type="dxa"/>
            </w:tcMar>
            <w:vAlign w:val="top"/>
          </w:tcPr>
          <w:p>
            <w:pPr>
              <w:spacing w:after="0"/>
            </w:pPr>
            <w:r>
              <w:rPr>
                <w:sz w:val="13"/>
              </w:rPr>
              <w:t>Medium / Critical</w:t>
            </w:r>
          </w:p>
        </w:tc>
        <w:tc>
          <w:tcPr>
            <w:tcW w:type="dxa" w:w="3860"/>
            <w:tcMar>
              <w:top w:w="80" w:type="dxa"/>
              <w:start w:w="120" w:type="dxa"/>
              <w:bottom w:w="80" w:type="dxa"/>
              <w:end w:w="120" w:type="dxa"/>
            </w:tcMar>
            <w:vAlign w:val="top"/>
          </w:tcPr>
          <w:p>
            <w:pPr>
              <w:spacing w:after="0"/>
            </w:pPr>
            <w:r>
              <w:rPr>
                <w:sz w:val="13"/>
              </w:rPr>
              <w:t>No accounts/status/location; minimal forms; short retention</w:t>
            </w:r>
          </w:p>
        </w:tc>
        <w:tc>
          <w:tcPr>
            <w:tcW w:type="dxa" w:w="2000"/>
            <w:tcMar>
              <w:top w:w="80" w:type="dxa"/>
              <w:start w:w="120" w:type="dxa"/>
              <w:bottom w:w="80" w:type="dxa"/>
              <w:end w:w="120" w:type="dxa"/>
            </w:tcMar>
            <w:vAlign w:val="top"/>
          </w:tcPr>
          <w:p>
            <w:pPr>
              <w:spacing w:after="0"/>
            </w:pPr>
            <w:r>
              <w:rPr>
                <w:sz w:val="13"/>
              </w:rPr>
              <w:t>Personal case data enters public repo/logs</w:t>
            </w:r>
          </w:p>
        </w:tc>
      </w:tr>
      <w:tr>
        <w:trPr>
          <w:cantSplit/>
        </w:trPr>
        <w:tc>
          <w:tcPr>
            <w:tcW w:type="dxa" w:w="1900"/>
            <w:tcMar>
              <w:top w:w="80" w:type="dxa"/>
              <w:start w:w="120" w:type="dxa"/>
              <w:bottom w:w="80" w:type="dxa"/>
              <w:end w:w="120" w:type="dxa"/>
            </w:tcMar>
            <w:vAlign w:val="top"/>
          </w:tcPr>
          <w:p>
            <w:pPr>
              <w:spacing w:after="0"/>
            </w:pPr>
            <w:r>
              <w:rPr>
                <w:sz w:val="13"/>
              </w:rPr>
              <w:t>Sponsor capture</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Separate page, fixed recognition, public policy, no ranking</w:t>
            </w:r>
          </w:p>
        </w:tc>
        <w:tc>
          <w:tcPr>
            <w:tcW w:type="dxa" w:w="2000"/>
            <w:tcMar>
              <w:top w:w="80" w:type="dxa"/>
              <w:start w:w="120" w:type="dxa"/>
              <w:bottom w:w="80" w:type="dxa"/>
              <w:end w:w="120" w:type="dxa"/>
            </w:tcMar>
            <w:vAlign w:val="top"/>
          </w:tcPr>
          <w:p>
            <w:pPr>
              <w:spacing w:after="0"/>
            </w:pPr>
            <w:r>
              <w:rPr>
                <w:sz w:val="13"/>
              </w:rPr>
              <w:t>Sponsor requests beneficiary access or content control</w:t>
            </w:r>
          </w:p>
        </w:tc>
      </w:tr>
      <w:tr>
        <w:trPr>
          <w:cantSplit/>
        </w:trPr>
        <w:tc>
          <w:tcPr>
            <w:tcW w:type="dxa" w:w="1900"/>
            <w:tcMar>
              <w:top w:w="80" w:type="dxa"/>
              <w:start w:w="120" w:type="dxa"/>
              <w:bottom w:w="80" w:type="dxa"/>
              <w:end w:w="120" w:type="dxa"/>
            </w:tcMar>
            <w:vAlign w:val="top"/>
          </w:tcPr>
          <w:p>
            <w:pPr>
              <w:spacing w:after="0"/>
            </w:pPr>
            <w:r>
              <w:rPr>
                <w:sz w:val="13"/>
              </w:rPr>
              <w:t>Tax/invoice error</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Fiscal host/accountant gate; separate sponsorship and donation</w:t>
            </w:r>
          </w:p>
        </w:tc>
        <w:tc>
          <w:tcPr>
            <w:tcW w:type="dxa" w:w="2000"/>
            <w:tcMar>
              <w:top w:w="80" w:type="dxa"/>
              <w:start w:w="120" w:type="dxa"/>
              <w:bottom w:w="80" w:type="dxa"/>
              <w:end w:w="120" w:type="dxa"/>
            </w:tcMar>
            <w:vAlign w:val="top"/>
          </w:tcPr>
          <w:p>
            <w:pPr>
              <w:spacing w:after="0"/>
            </w:pPr>
            <w:r>
              <w:rPr>
                <w:sz w:val="13"/>
              </w:rPr>
              <w:t>No accountable legal entity</w:t>
            </w:r>
          </w:p>
        </w:tc>
      </w:tr>
      <w:tr>
        <w:trPr>
          <w:cantSplit/>
        </w:trPr>
        <w:tc>
          <w:tcPr>
            <w:tcW w:type="dxa" w:w="1900"/>
            <w:tcMar>
              <w:top w:w="80" w:type="dxa"/>
              <w:start w:w="120" w:type="dxa"/>
              <w:bottom w:w="80" w:type="dxa"/>
              <w:end w:w="120" w:type="dxa"/>
            </w:tcMar>
            <w:vAlign w:val="top"/>
          </w:tcPr>
          <w:p>
            <w:pPr>
              <w:spacing w:after="0"/>
            </w:pPr>
            <w:r>
              <w:rPr>
                <w:sz w:val="13"/>
              </w:rPr>
              <w:t>Contract loss/exploit</w:t>
            </w:r>
          </w:p>
        </w:tc>
        <w:tc>
          <w:tcPr>
            <w:tcW w:type="dxa" w:w="1600"/>
            <w:tcMar>
              <w:top w:w="80" w:type="dxa"/>
              <w:start w:w="120" w:type="dxa"/>
              <w:bottom w:w="80" w:type="dxa"/>
              <w:end w:w="120" w:type="dxa"/>
            </w:tcMar>
            <w:vAlign w:val="top"/>
          </w:tcPr>
          <w:p>
            <w:pPr>
              <w:spacing w:after="0"/>
            </w:pPr>
            <w:r>
              <w:rPr>
                <w:sz w:val="13"/>
              </w:rPr>
              <w:t>Low / Critical</w:t>
            </w:r>
          </w:p>
        </w:tc>
        <w:tc>
          <w:tcPr>
            <w:tcW w:type="dxa" w:w="3860"/>
            <w:tcMar>
              <w:top w:w="80" w:type="dxa"/>
              <w:start w:w="120" w:type="dxa"/>
              <w:bottom w:w="80" w:type="dxa"/>
              <w:end w:w="120" w:type="dxa"/>
            </w:tcMar>
            <w:vAlign w:val="top"/>
          </w:tcPr>
          <w:p>
            <w:pPr>
              <w:spacing w:after="0"/>
            </w:pPr>
            <w:r>
              <w:rPr>
                <w:sz w:val="13"/>
              </w:rPr>
              <w:t>Minimal immutable code, exact-token support, fuzz/invariant tests, independent review</w:t>
            </w:r>
          </w:p>
        </w:tc>
        <w:tc>
          <w:tcPr>
            <w:tcW w:type="dxa" w:w="2000"/>
            <w:tcMar>
              <w:top w:w="80" w:type="dxa"/>
              <w:start w:w="120" w:type="dxa"/>
              <w:bottom w:w="80" w:type="dxa"/>
              <w:end w:w="120" w:type="dxa"/>
            </w:tcMar>
            <w:vAlign w:val="top"/>
          </w:tcPr>
          <w:p>
            <w:pPr>
              <w:spacing w:after="0"/>
            </w:pPr>
            <w:r>
              <w:rPr>
                <w:sz w:val="13"/>
              </w:rPr>
              <w:t>Any unresolved critical/high finding</w:t>
            </w:r>
          </w:p>
        </w:tc>
      </w:tr>
      <w:tr>
        <w:trPr>
          <w:cantSplit/>
        </w:trPr>
        <w:tc>
          <w:tcPr>
            <w:tcW w:type="dxa" w:w="1900"/>
            <w:tcMar>
              <w:top w:w="80" w:type="dxa"/>
              <w:start w:w="120" w:type="dxa"/>
              <w:bottom w:w="80" w:type="dxa"/>
              <w:end w:w="120" w:type="dxa"/>
            </w:tcMar>
            <w:vAlign w:val="top"/>
          </w:tcPr>
          <w:p>
            <w:pPr>
              <w:spacing w:after="0"/>
            </w:pPr>
            <w:r>
              <w:rPr>
                <w:sz w:val="13"/>
              </w:rPr>
              <w:t>Wrong admin wallet</w:t>
            </w:r>
          </w:p>
        </w:tc>
        <w:tc>
          <w:tcPr>
            <w:tcW w:type="dxa" w:w="1600"/>
            <w:tcMar>
              <w:top w:w="80" w:type="dxa"/>
              <w:start w:w="120" w:type="dxa"/>
              <w:bottom w:w="80" w:type="dxa"/>
              <w:end w:w="120" w:type="dxa"/>
            </w:tcMar>
            <w:vAlign w:val="top"/>
          </w:tcPr>
          <w:p>
            <w:pPr>
              <w:spacing w:after="0"/>
            </w:pPr>
            <w:r>
              <w:rPr>
                <w:sz w:val="13"/>
              </w:rPr>
              <w:t>Low / Critical</w:t>
            </w:r>
          </w:p>
        </w:tc>
        <w:tc>
          <w:tcPr>
            <w:tcW w:type="dxa" w:w="3860"/>
            <w:tcMar>
              <w:top w:w="80" w:type="dxa"/>
              <w:start w:w="120" w:type="dxa"/>
              <w:bottom w:w="80" w:type="dxa"/>
              <w:end w:w="120" w:type="dxa"/>
            </w:tcMar>
            <w:vAlign w:val="top"/>
          </w:tcPr>
          <w:p>
            <w:pPr>
              <w:spacing w:after="0"/>
            </w:pPr>
            <w:r>
              <w:rPr>
                <w:sz w:val="13"/>
              </w:rPr>
              <w:t>Checksum, signed proof, two-person review, testnet and manifest confirmation</w:t>
            </w:r>
          </w:p>
        </w:tc>
        <w:tc>
          <w:tcPr>
            <w:tcW w:type="dxa" w:w="2000"/>
            <w:tcMar>
              <w:top w:w="80" w:type="dxa"/>
              <w:start w:w="120" w:type="dxa"/>
              <w:bottom w:w="80" w:type="dxa"/>
              <w:end w:w="120" w:type="dxa"/>
            </w:tcMar>
            <w:vAlign w:val="top"/>
          </w:tcPr>
          <w:p>
            <w:pPr>
              <w:spacing w:after="0"/>
            </w:pPr>
            <w:r>
              <w:rPr>
                <w:sz w:val="13"/>
              </w:rPr>
              <w:t>Address or ownership mismatch</w:t>
            </w:r>
          </w:p>
        </w:tc>
      </w:tr>
      <w:tr>
        <w:trPr>
          <w:cantSplit/>
        </w:trPr>
        <w:tc>
          <w:tcPr>
            <w:tcW w:type="dxa" w:w="1900"/>
            <w:tcMar>
              <w:top w:w="80" w:type="dxa"/>
              <w:start w:w="120" w:type="dxa"/>
              <w:bottom w:w="80" w:type="dxa"/>
              <w:end w:w="120" w:type="dxa"/>
            </w:tcMar>
            <w:vAlign w:val="top"/>
          </w:tcPr>
          <w:p>
            <w:pPr>
              <w:spacing w:after="0"/>
            </w:pPr>
            <w:r>
              <w:rPr>
                <w:sz w:val="13"/>
              </w:rPr>
              <w:t>Wrong beneficiary</w:t>
            </w:r>
          </w:p>
        </w:tc>
        <w:tc>
          <w:tcPr>
            <w:tcW w:type="dxa" w:w="1600"/>
            <w:tcMar>
              <w:top w:w="80" w:type="dxa"/>
              <w:start w:w="120" w:type="dxa"/>
              <w:bottom w:w="80" w:type="dxa"/>
              <w:end w:w="120" w:type="dxa"/>
            </w:tcMar>
            <w:vAlign w:val="top"/>
          </w:tcPr>
          <w:p>
            <w:pPr>
              <w:spacing w:after="0"/>
            </w:pPr>
            <w:r>
              <w:rPr>
                <w:sz w:val="13"/>
              </w:rPr>
              <w:t>Medium / Critical</w:t>
            </w:r>
          </w:p>
        </w:tc>
        <w:tc>
          <w:tcPr>
            <w:tcW w:type="dxa" w:w="3860"/>
            <w:tcMar>
              <w:top w:w="80" w:type="dxa"/>
              <w:start w:w="120" w:type="dxa"/>
              <w:bottom w:w="80" w:type="dxa"/>
              <w:end w:w="120" w:type="dxa"/>
            </w:tcMar>
            <w:vAlign w:val="top"/>
          </w:tcPr>
          <w:p>
            <w:pPr>
              <w:spacing w:after="0"/>
            </w:pPr>
            <w:r>
              <w:rPr>
                <w:sz w:val="13"/>
              </w:rPr>
              <w:t>Sponsor confirmation, public attestations and transaction preview</w:t>
            </w:r>
          </w:p>
        </w:tc>
        <w:tc>
          <w:tcPr>
            <w:tcW w:type="dxa" w:w="2000"/>
            <w:tcMar>
              <w:top w:w="80" w:type="dxa"/>
              <w:start w:w="120" w:type="dxa"/>
              <w:bottom w:w="80" w:type="dxa"/>
              <w:end w:w="120" w:type="dxa"/>
            </w:tcMar>
            <w:vAlign w:val="top"/>
          </w:tcPr>
          <w:p>
            <w:pPr>
              <w:spacing w:after="0"/>
            </w:pPr>
            <w:r>
              <w:rPr>
                <w:sz w:val="13"/>
              </w:rPr>
              <w:t>Unverified or conflicting wallet claim</w:t>
            </w:r>
          </w:p>
        </w:tc>
      </w:tr>
      <w:tr>
        <w:trPr>
          <w:cantSplit/>
        </w:trPr>
        <w:tc>
          <w:tcPr>
            <w:tcW w:type="dxa" w:w="1900"/>
            <w:tcMar>
              <w:top w:w="80" w:type="dxa"/>
              <w:start w:w="120" w:type="dxa"/>
              <w:bottom w:w="80" w:type="dxa"/>
              <w:end w:w="120" w:type="dxa"/>
            </w:tcMar>
            <w:vAlign w:val="top"/>
          </w:tcPr>
          <w:p>
            <w:pPr>
              <w:spacing w:after="0"/>
            </w:pPr>
            <w:r>
              <w:rPr>
                <w:sz w:val="13"/>
              </w:rPr>
              <w:t>Card-data exposure</w:t>
            </w:r>
          </w:p>
        </w:tc>
        <w:tc>
          <w:tcPr>
            <w:tcW w:type="dxa" w:w="1600"/>
            <w:tcMar>
              <w:top w:w="80" w:type="dxa"/>
              <w:start w:w="120" w:type="dxa"/>
              <w:bottom w:w="80" w:type="dxa"/>
              <w:end w:w="120" w:type="dxa"/>
            </w:tcMar>
            <w:vAlign w:val="top"/>
          </w:tcPr>
          <w:p>
            <w:pPr>
              <w:spacing w:after="0"/>
            </w:pPr>
            <w:r>
              <w:rPr>
                <w:sz w:val="13"/>
              </w:rPr>
              <w:t>Low / Critical</w:t>
            </w:r>
          </w:p>
        </w:tc>
        <w:tc>
          <w:tcPr>
            <w:tcW w:type="dxa" w:w="3860"/>
            <w:tcMar>
              <w:top w:w="80" w:type="dxa"/>
              <w:start w:w="120" w:type="dxa"/>
              <w:bottom w:w="80" w:type="dxa"/>
              <w:end w:w="120" w:type="dxa"/>
            </w:tcMar>
            <w:vAlign w:val="top"/>
          </w:tcPr>
          <w:p>
            <w:pPr>
              <w:spacing w:after="0"/>
            </w:pPr>
            <w:r>
              <w:rPr>
                <w:sz w:val="13"/>
              </w:rPr>
              <w:t>Hosted checkout only; no PAN/CVC logging; PCI responsibility review</w:t>
            </w:r>
          </w:p>
        </w:tc>
        <w:tc>
          <w:tcPr>
            <w:tcW w:type="dxa" w:w="2000"/>
            <w:tcMar>
              <w:top w:w="80" w:type="dxa"/>
              <w:start w:w="120" w:type="dxa"/>
              <w:bottom w:w="80" w:type="dxa"/>
              <w:end w:w="120" w:type="dxa"/>
            </w:tcMar>
            <w:vAlign w:val="top"/>
          </w:tcPr>
          <w:p>
            <w:pPr>
              <w:spacing w:after="0"/>
            </w:pPr>
            <w:r>
              <w:rPr>
                <w:sz w:val="13"/>
              </w:rPr>
              <w:t>Card data reaches project server or logs</w:t>
            </w:r>
          </w:p>
        </w:tc>
      </w:tr>
      <w:tr>
        <w:trPr>
          <w:cantSplit/>
        </w:trPr>
        <w:tc>
          <w:tcPr>
            <w:tcW w:type="dxa" w:w="1900"/>
            <w:tcMar>
              <w:top w:w="80" w:type="dxa"/>
              <w:start w:w="120" w:type="dxa"/>
              <w:bottom w:w="80" w:type="dxa"/>
              <w:end w:w="120" w:type="dxa"/>
            </w:tcMar>
            <w:vAlign w:val="top"/>
          </w:tcPr>
          <w:p>
            <w:pPr>
              <w:spacing w:after="0"/>
            </w:pPr>
            <w:r>
              <w:rPr>
                <w:sz w:val="13"/>
              </w:rPr>
              <w:t>Forged/replayed webhook</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Signature and timestamp validation, idempotency and event allowlist</w:t>
            </w:r>
          </w:p>
        </w:tc>
        <w:tc>
          <w:tcPr>
            <w:tcW w:type="dxa" w:w="2000"/>
            <w:tcMar>
              <w:top w:w="80" w:type="dxa"/>
              <w:start w:w="120" w:type="dxa"/>
              <w:bottom w:w="80" w:type="dxa"/>
              <w:end w:w="120" w:type="dxa"/>
            </w:tcMar>
            <w:vAlign w:val="top"/>
          </w:tcPr>
          <w:p>
            <w:pPr>
              <w:spacing w:after="0"/>
            </w:pPr>
            <w:r>
              <w:rPr>
                <w:sz w:val="13"/>
              </w:rPr>
              <w:t>Unverified event changes payment state</w:t>
            </w:r>
          </w:p>
        </w:tc>
      </w:tr>
      <w:tr>
        <w:trPr>
          <w:cantSplit/>
        </w:trPr>
        <w:tc>
          <w:tcPr>
            <w:tcW w:type="dxa" w:w="1900"/>
            <w:tcMar>
              <w:top w:w="80" w:type="dxa"/>
              <w:start w:w="120" w:type="dxa"/>
              <w:bottom w:w="80" w:type="dxa"/>
              <w:end w:w="120" w:type="dxa"/>
            </w:tcMar>
            <w:vAlign w:val="top"/>
          </w:tcPr>
          <w:p>
            <w:pPr>
              <w:spacing w:after="0"/>
            </w:pPr>
            <w:r>
              <w:rPr>
                <w:sz w:val="13"/>
              </w:rPr>
              <w:t>Chargeback after allocation</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Settlement reserve, delayed fiat charity payout and exact reversal ledger</w:t>
            </w:r>
          </w:p>
        </w:tc>
        <w:tc>
          <w:tcPr>
            <w:tcW w:type="dxa" w:w="2000"/>
            <w:tcMar>
              <w:top w:w="80" w:type="dxa"/>
              <w:start w:w="120" w:type="dxa"/>
              <w:bottom w:w="80" w:type="dxa"/>
              <w:end w:w="120" w:type="dxa"/>
            </w:tcMar>
            <w:vAlign w:val="top"/>
          </w:tcPr>
          <w:p>
            <w:pPr>
              <w:spacing w:after="0"/>
            </w:pPr>
            <w:r>
              <w:rPr>
                <w:sz w:val="13"/>
              </w:rPr>
              <w:t>Reserve cannot cover reversal</w:t>
            </w:r>
          </w:p>
        </w:tc>
      </w:tr>
      <w:tr>
        <w:trPr>
          <w:cantSplit/>
        </w:trPr>
        <w:tc>
          <w:tcPr>
            <w:tcW w:type="dxa" w:w="1900"/>
            <w:tcMar>
              <w:top w:w="80" w:type="dxa"/>
              <w:start w:w="120" w:type="dxa"/>
              <w:bottom w:w="80" w:type="dxa"/>
              <w:end w:w="120" w:type="dxa"/>
            </w:tcMar>
            <w:vAlign w:val="top"/>
          </w:tcPr>
          <w:p>
            <w:pPr>
              <w:spacing w:after="0"/>
            </w:pPr>
            <w:r>
              <w:rPr>
                <w:sz w:val="13"/>
              </w:rPr>
              <w:t>Unmatched SEPA transfer</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Unique reference, exact matching and two-person exception review</w:t>
            </w:r>
          </w:p>
        </w:tc>
        <w:tc>
          <w:tcPr>
            <w:tcW w:type="dxa" w:w="2000"/>
            <w:tcMar>
              <w:top w:w="80" w:type="dxa"/>
              <w:start w:w="120" w:type="dxa"/>
              <w:bottom w:w="80" w:type="dxa"/>
              <w:end w:w="120" w:type="dxa"/>
            </w:tcMar>
            <w:vAlign w:val="top"/>
          </w:tcPr>
          <w:p>
            <w:pPr>
              <w:spacing w:after="0"/>
            </w:pPr>
            <w:r>
              <w:rPr>
                <w:sz w:val="13"/>
              </w:rPr>
              <w:t>Payment cannot be identified lawfully</w:t>
            </w:r>
          </w:p>
        </w:tc>
      </w:tr>
      <w:tr>
        <w:trPr>
          <w:cantSplit/>
        </w:trPr>
        <w:tc>
          <w:tcPr>
            <w:tcW w:type="dxa" w:w="1900"/>
            <w:tcMar>
              <w:top w:w="80" w:type="dxa"/>
              <w:start w:w="120" w:type="dxa"/>
              <w:bottom w:w="80" w:type="dxa"/>
              <w:end w:w="120" w:type="dxa"/>
            </w:tcMar>
            <w:vAlign w:val="top"/>
          </w:tcPr>
          <w:p>
            <w:pPr>
              <w:spacing w:after="0"/>
            </w:pPr>
            <w:r>
              <w:rPr>
                <w:sz w:val="13"/>
              </w:rPr>
              <w:t>Unauthorized/tokenized work</w:t>
            </w:r>
          </w:p>
        </w:tc>
        <w:tc>
          <w:tcPr>
            <w:tcW w:type="dxa" w:w="1600"/>
            <w:tcMar>
              <w:top w:w="80" w:type="dxa"/>
              <w:start w:w="120" w:type="dxa"/>
              <w:bottom w:w="80" w:type="dxa"/>
              <w:end w:w="120" w:type="dxa"/>
            </w:tcMar>
            <w:vAlign w:val="top"/>
          </w:tcPr>
          <w:p>
            <w:pPr>
              <w:spacing w:after="0"/>
            </w:pPr>
            <w:r>
              <w:rPr>
                <w:sz w:val="13"/>
              </w:rPr>
              <w:t>High / Critical</w:t>
            </w:r>
          </w:p>
        </w:tc>
        <w:tc>
          <w:tcPr>
            <w:tcW w:type="dxa" w:w="3860"/>
            <w:tcMar>
              <w:top w:w="80" w:type="dxa"/>
              <w:start w:w="120" w:type="dxa"/>
              <w:bottom w:w="80" w:type="dxa"/>
              <w:end w:w="120" w:type="dxa"/>
            </w:tcMar>
            <w:vAlign w:val="top"/>
          </w:tcPr>
          <w:p>
            <w:pPr>
              <w:spacing w:after="0"/>
            </w:pPr>
            <w:r>
              <w:rPr>
                <w:sz w:val="13"/>
              </w:rPr>
              <w:t>Operator eligibility attestation; EUR wage/invoice only; no work-conditioned token/voucher</w:t>
            </w:r>
          </w:p>
        </w:tc>
        <w:tc>
          <w:tcPr>
            <w:tcW w:type="dxa" w:w="2000"/>
            <w:tcMar>
              <w:top w:w="80" w:type="dxa"/>
              <w:start w:w="120" w:type="dxa"/>
              <w:bottom w:w="80" w:type="dxa"/>
              <w:end w:w="120" w:type="dxa"/>
            </w:tcMar>
            <w:vAlign w:val="top"/>
          </w:tcPr>
          <w:p>
            <w:pPr>
              <w:spacing w:after="0"/>
            </w:pPr>
            <w:r>
              <w:rPr>
                <w:sz w:val="13"/>
              </w:rPr>
              <w:t>Missing/expired authorization or non-EUR substitute offered</w:t>
            </w:r>
          </w:p>
        </w:tc>
      </w:tr>
      <w:tr>
        <w:trPr>
          <w:cantSplit/>
        </w:trPr>
        <w:tc>
          <w:tcPr>
            <w:tcW w:type="dxa" w:w="1900"/>
            <w:tcMar>
              <w:top w:w="80" w:type="dxa"/>
              <w:start w:w="120" w:type="dxa"/>
              <w:bottom w:w="80" w:type="dxa"/>
              <w:end w:w="120" w:type="dxa"/>
            </w:tcMar>
            <w:vAlign w:val="top"/>
          </w:tcPr>
          <w:p>
            <w:pPr>
              <w:spacing w:after="0"/>
            </w:pPr>
            <w:r>
              <w:rPr>
                <w:sz w:val="13"/>
              </w:rPr>
              <w:t>Activity injury or exploitation</w:t>
            </w:r>
          </w:p>
        </w:tc>
        <w:tc>
          <w:tcPr>
            <w:tcW w:type="dxa" w:w="1600"/>
            <w:tcMar>
              <w:top w:w="80" w:type="dxa"/>
              <w:start w:w="120" w:type="dxa"/>
              <w:bottom w:w="80" w:type="dxa"/>
              <w:end w:w="120" w:type="dxa"/>
            </w:tcMar>
            <w:vAlign w:val="top"/>
          </w:tcPr>
          <w:p>
            <w:pPr>
              <w:spacing w:after="0"/>
            </w:pPr>
            <w:r>
              <w:rPr>
                <w:sz w:val="13"/>
              </w:rPr>
              <w:t>Medium / Critical</w:t>
            </w:r>
          </w:p>
        </w:tc>
        <w:tc>
          <w:tcPr>
            <w:tcW w:type="dxa" w:w="3860"/>
            <w:tcMar>
              <w:top w:w="80" w:type="dxa"/>
              <w:start w:w="120" w:type="dxa"/>
              <w:bottom w:w="80" w:type="dxa"/>
              <w:end w:w="120" w:type="dxa"/>
            </w:tcMar>
            <w:vAlign w:val="top"/>
          </w:tcPr>
          <w:p>
            <w:pPr>
              <w:spacing w:after="0"/>
            </w:pPr>
            <w:r>
              <w:rPr>
                <w:sz w:val="13"/>
              </w:rPr>
              <w:t>Sector gate, price/contract, insurance, PPE, supervision, complaint and immediate pause</w:t>
            </w:r>
          </w:p>
        </w:tc>
        <w:tc>
          <w:tcPr>
            <w:tcW w:type="dxa" w:w="2000"/>
            <w:tcMar>
              <w:top w:w="80" w:type="dxa"/>
              <w:start w:w="120" w:type="dxa"/>
              <w:bottom w:w="80" w:type="dxa"/>
              <w:end w:w="120" w:type="dxa"/>
            </w:tcMar>
            <w:vAlign w:val="top"/>
          </w:tcPr>
          <w:p>
            <w:pPr>
              <w:spacing w:after="0"/>
            </w:pPr>
            <w:r>
              <w:rPr>
                <w:sz w:val="13"/>
              </w:rPr>
              <w:t>Unsafe conditions, coercion, non-payment or retaliation</w:t>
            </w:r>
          </w:p>
        </w:tc>
      </w:tr>
      <w:tr>
        <w:trPr>
          <w:cantSplit/>
        </w:trPr>
        <w:tc>
          <w:tcPr>
            <w:tcW w:type="dxa" w:w="1900"/>
            <w:tcMar>
              <w:top w:w="80" w:type="dxa"/>
              <w:start w:w="120" w:type="dxa"/>
              <w:bottom w:w="80" w:type="dxa"/>
              <w:end w:w="120" w:type="dxa"/>
            </w:tcMar>
            <w:vAlign w:val="top"/>
          </w:tcPr>
          <w:p>
            <w:pPr>
              <w:spacing w:after="0"/>
            </w:pPr>
            <w:r>
              <w:rPr>
                <w:sz w:val="13"/>
              </w:rPr>
              <w:t>Unauthorized SIM/device retail</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Approved retailer, inventory/receipt, identity and warranty controls</w:t>
            </w:r>
          </w:p>
        </w:tc>
        <w:tc>
          <w:tcPr>
            <w:tcW w:type="dxa" w:w="2000"/>
            <w:tcMar>
              <w:top w:w="80" w:type="dxa"/>
              <w:start w:w="120" w:type="dxa"/>
              <w:bottom w:w="80" w:type="dxa"/>
              <w:end w:w="120" w:type="dxa"/>
            </w:tcMar>
            <w:vAlign w:val="top"/>
          </w:tcPr>
          <w:p>
            <w:pPr>
              <w:spacing w:after="0"/>
            </w:pPr>
            <w:r>
              <w:rPr>
                <w:sz w:val="13"/>
              </w:rPr>
              <w:t>Informal SIM activation or untraceable device offered</w:t>
            </w:r>
          </w:p>
        </w:tc>
      </w:tr>
      <w:tr>
        <w:trPr>
          <w:cantSplit/>
        </w:trPr>
        <w:tc>
          <w:tcPr>
            <w:tcW w:type="dxa" w:w="1900"/>
            <w:tcMar>
              <w:top w:w="80" w:type="dxa"/>
              <w:start w:w="120" w:type="dxa"/>
              <w:bottom w:w="80" w:type="dxa"/>
              <w:end w:w="120" w:type="dxa"/>
            </w:tcMar>
            <w:vAlign w:val="top"/>
          </w:tcPr>
          <w:p>
            <w:pPr>
              <w:spacing w:after="0"/>
            </w:pPr>
            <w:r>
              <w:rPr>
                <w:sz w:val="13"/>
              </w:rPr>
              <w:t>Voucher fraud/wage substitution</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Separate sponsor funding, fixed value, merchant allowlist, no transfer/cash-out, reconciliation</w:t>
            </w:r>
          </w:p>
        </w:tc>
        <w:tc>
          <w:tcPr>
            <w:tcW w:type="dxa" w:w="2000"/>
            <w:tcMar>
              <w:top w:w="80" w:type="dxa"/>
              <w:start w:w="120" w:type="dxa"/>
              <w:bottom w:w="80" w:type="dxa"/>
              <w:end w:w="120" w:type="dxa"/>
            </w:tcMar>
            <w:vAlign w:val="top"/>
          </w:tcPr>
          <w:p>
            <w:pPr>
              <w:spacing w:after="0"/>
            </w:pPr>
            <w:r>
              <w:rPr>
                <w:sz w:val="13"/>
              </w:rPr>
              <w:t>Voucher tied to unauthorized work or secondary trading</w:t>
            </w:r>
          </w:p>
        </w:tc>
      </w:tr>
      <w:tr>
        <w:trPr>
          <w:cantSplit/>
        </w:trPr>
        <w:tc>
          <w:tcPr>
            <w:tcW w:type="dxa" w:w="1900"/>
            <w:tcMar>
              <w:top w:w="80" w:type="dxa"/>
              <w:start w:w="120" w:type="dxa"/>
              <w:bottom w:w="80" w:type="dxa"/>
              <w:end w:w="120" w:type="dxa"/>
            </w:tcMar>
            <w:vAlign w:val="top"/>
          </w:tcPr>
          <w:p>
            <w:pPr>
              <w:spacing w:after="0"/>
            </w:pPr>
            <w:r>
              <w:rPr>
                <w:sz w:val="13"/>
              </w:rPr>
              <w:t>Sensitive idea submission</w:t>
            </w:r>
          </w:p>
        </w:tc>
        <w:tc>
          <w:tcPr>
            <w:tcW w:type="dxa" w:w="1600"/>
            <w:tcMar>
              <w:top w:w="80" w:type="dxa"/>
              <w:start w:w="120" w:type="dxa"/>
              <w:bottom w:w="80" w:type="dxa"/>
              <w:end w:w="120" w:type="dxa"/>
            </w:tcMar>
            <w:vAlign w:val="top"/>
          </w:tcPr>
          <w:p>
            <w:pPr>
              <w:spacing w:after="0"/>
            </w:pPr>
            <w:r>
              <w:rPr>
                <w:sz w:val="13"/>
              </w:rPr>
              <w:t>Medium / High</w:t>
            </w:r>
          </w:p>
        </w:tc>
        <w:tc>
          <w:tcPr>
            <w:tcW w:type="dxa" w:w="3860"/>
            <w:tcMar>
              <w:top w:w="80" w:type="dxa"/>
              <w:start w:w="120" w:type="dxa"/>
              <w:bottom w:w="80" w:type="dxa"/>
              <w:end w:w="120" w:type="dxa"/>
            </w:tcMar>
            <w:vAlign w:val="top"/>
          </w:tcPr>
          <w:p>
            <w:pPr>
              <w:spacing w:after="0"/>
            </w:pPr>
            <w:r>
              <w:rPr>
                <w:sz w:val="13"/>
              </w:rPr>
              <w:t>Warnings, field minimization, moderation, redaction and short retention</w:t>
            </w:r>
          </w:p>
        </w:tc>
        <w:tc>
          <w:tcPr>
            <w:tcW w:type="dxa" w:w="2000"/>
            <w:tcMar>
              <w:top w:w="80" w:type="dxa"/>
              <w:start w:w="120" w:type="dxa"/>
              <w:bottom w:w="80" w:type="dxa"/>
              <w:end w:w="120" w:type="dxa"/>
            </w:tcMar>
            <w:vAlign w:val="top"/>
          </w:tcPr>
          <w:p>
            <w:pPr>
              <w:spacing w:after="0"/>
            </w:pPr>
            <w:r>
              <w:rPr>
                <w:sz w:val="13"/>
              </w:rPr>
              <w:t>Names, cases or sensitive locations enter public record</w:t>
            </w:r>
          </w:p>
        </w:tc>
      </w:tr>
      <w:tr>
        <w:trPr>
          <w:cantSplit/>
        </w:trPr>
        <w:tc>
          <w:tcPr>
            <w:tcW w:type="dxa" w:w="1900"/>
            <w:tcMar>
              <w:top w:w="80" w:type="dxa"/>
              <w:start w:w="120" w:type="dxa"/>
              <w:bottom w:w="80" w:type="dxa"/>
              <w:end w:w="120" w:type="dxa"/>
            </w:tcMar>
            <w:vAlign w:val="top"/>
          </w:tcPr>
          <w:p>
            <w:pPr>
              <w:spacing w:after="0"/>
            </w:pPr>
            <w:r>
              <w:rPr>
                <w:sz w:val="13"/>
              </w:rPr>
              <w:t>Token/speculation pressure</w:t>
            </w:r>
          </w:p>
        </w:tc>
        <w:tc>
          <w:tcPr>
            <w:tcW w:type="dxa" w:w="1600"/>
            <w:tcMar>
              <w:top w:w="80" w:type="dxa"/>
              <w:start w:w="120" w:type="dxa"/>
              <w:bottom w:w="80" w:type="dxa"/>
              <w:end w:w="120" w:type="dxa"/>
            </w:tcMar>
            <w:vAlign w:val="top"/>
          </w:tcPr>
          <w:p>
            <w:pPr>
              <w:spacing w:after="0"/>
            </w:pPr>
            <w:r>
              <w:rPr>
                <w:sz w:val="13"/>
              </w:rPr>
              <w:t>Medium / Critical</w:t>
            </w:r>
          </w:p>
        </w:tc>
        <w:tc>
          <w:tcPr>
            <w:tcW w:type="dxa" w:w="3860"/>
            <w:tcMar>
              <w:top w:w="80" w:type="dxa"/>
              <w:start w:w="120" w:type="dxa"/>
              <w:bottom w:w="80" w:type="dxa"/>
              <w:end w:w="120" w:type="dxa"/>
            </w:tcMar>
            <w:vAlign w:val="top"/>
          </w:tcPr>
          <w:p>
            <w:pPr>
              <w:spacing w:after="0"/>
            </w:pPr>
            <w:r>
              <w:rPr>
                <w:sz w:val="13"/>
              </w:rPr>
              <w:t>No issued asset; prohibited-feature tests</w:t>
            </w:r>
          </w:p>
        </w:tc>
        <w:tc>
          <w:tcPr>
            <w:tcW w:type="dxa" w:w="2000"/>
            <w:tcMar>
              <w:top w:w="80" w:type="dxa"/>
              <w:start w:w="120" w:type="dxa"/>
              <w:bottom w:w="80" w:type="dxa"/>
              <w:end w:w="120" w:type="dxa"/>
            </w:tcMar>
            <w:vAlign w:val="top"/>
          </w:tcPr>
          <w:p>
            <w:pPr>
              <w:spacing w:after="0"/>
            </w:pPr>
            <w:r>
              <w:rPr>
                <w:sz w:val="13"/>
              </w:rPr>
              <w:t>Any project token sale, airdrop, yield or wealth claim</w:t>
            </w:r>
          </w:p>
        </w:tc>
      </w:tr>
      <w:tr>
        <w:trPr>
          <w:cantSplit/>
        </w:trPr>
        <w:tc>
          <w:tcPr>
            <w:tcW w:type="dxa" w:w="1900"/>
            <w:tcMar>
              <w:top w:w="80" w:type="dxa"/>
              <w:start w:w="120" w:type="dxa"/>
              <w:bottom w:w="80" w:type="dxa"/>
              <w:end w:w="120" w:type="dxa"/>
            </w:tcMar>
            <w:vAlign w:val="top"/>
          </w:tcPr>
          <w:p>
            <w:pPr>
              <w:spacing w:after="0"/>
            </w:pPr>
            <w:r>
              <w:rPr>
                <w:sz w:val="13"/>
              </w:rPr>
              <w:t>Harassment/hate recruitment</w:t>
            </w:r>
          </w:p>
        </w:tc>
        <w:tc>
          <w:tcPr>
            <w:tcW w:type="dxa" w:w="1600"/>
            <w:tcMar>
              <w:top w:w="80" w:type="dxa"/>
              <w:start w:w="120" w:type="dxa"/>
              <w:bottom w:w="80" w:type="dxa"/>
              <w:end w:w="120" w:type="dxa"/>
            </w:tcMar>
            <w:vAlign w:val="top"/>
          </w:tcPr>
          <w:p>
            <w:pPr>
              <w:spacing w:after="0"/>
            </w:pPr>
            <w:r>
              <w:rPr>
                <w:sz w:val="13"/>
              </w:rPr>
              <w:t>Low / Critical</w:t>
            </w:r>
          </w:p>
        </w:tc>
        <w:tc>
          <w:tcPr>
            <w:tcW w:type="dxa" w:w="3860"/>
            <w:tcMar>
              <w:top w:w="80" w:type="dxa"/>
              <w:start w:w="120" w:type="dxa"/>
              <w:bottom w:w="80" w:type="dxa"/>
              <w:end w:w="120" w:type="dxa"/>
            </w:tcMar>
            <w:vAlign w:val="top"/>
          </w:tcPr>
          <w:p>
            <w:pPr>
              <w:spacing w:after="0"/>
            </w:pPr>
            <w:r>
              <w:rPr>
                <w:sz w:val="13"/>
              </w:rPr>
              <w:t>Code of conduct, no hierarchy, revoke referrals, moderation</w:t>
            </w:r>
          </w:p>
        </w:tc>
        <w:tc>
          <w:tcPr>
            <w:tcW w:type="dxa" w:w="2000"/>
            <w:tcMar>
              <w:top w:w="80" w:type="dxa"/>
              <w:start w:w="120" w:type="dxa"/>
              <w:bottom w:w="80" w:type="dxa"/>
              <w:end w:w="120" w:type="dxa"/>
            </w:tcMar>
            <w:vAlign w:val="top"/>
          </w:tcPr>
          <w:p>
            <w:pPr>
              <w:spacing w:after="0"/>
            </w:pPr>
            <w:r>
              <w:rPr>
                <w:sz w:val="13"/>
              </w:rPr>
              <w:t>Intimidation, exclusion or extremist branding</w:t>
            </w:r>
          </w:p>
        </w:tc>
      </w:tr>
      <w:tr>
        <w:trPr>
          <w:cantSplit/>
        </w:trPr>
        <w:tc>
          <w:tcPr>
            <w:tcW w:type="dxa" w:w="1900"/>
            <w:tcMar>
              <w:top w:w="80" w:type="dxa"/>
              <w:start w:w="120" w:type="dxa"/>
              <w:bottom w:w="80" w:type="dxa"/>
              <w:end w:w="120" w:type="dxa"/>
            </w:tcMar>
            <w:vAlign w:val="top"/>
          </w:tcPr>
          <w:p>
            <w:pPr>
              <w:spacing w:after="0"/>
            </w:pPr>
            <w:r>
              <w:rPr>
                <w:sz w:val="13"/>
              </w:rPr>
              <w:t>Revenue misses target</w:t>
            </w:r>
          </w:p>
        </w:tc>
        <w:tc>
          <w:tcPr>
            <w:tcW w:type="dxa" w:w="1600"/>
            <w:tcMar>
              <w:top w:w="80" w:type="dxa"/>
              <w:start w:w="120" w:type="dxa"/>
              <w:bottom w:w="80" w:type="dxa"/>
              <w:end w:w="120" w:type="dxa"/>
            </w:tcMar>
            <w:vAlign w:val="top"/>
          </w:tcPr>
          <w:p>
            <w:pPr>
              <w:spacing w:after="0"/>
            </w:pPr>
            <w:r>
              <w:rPr>
                <w:sz w:val="13"/>
              </w:rPr>
              <w:t>Medium / Medium</w:t>
            </w:r>
          </w:p>
        </w:tc>
        <w:tc>
          <w:tcPr>
            <w:tcW w:type="dxa" w:w="3860"/>
            <w:tcMar>
              <w:top w:w="80" w:type="dxa"/>
              <w:start w:w="120" w:type="dxa"/>
              <w:bottom w:w="80" w:type="dxa"/>
              <w:end w:w="120" w:type="dxa"/>
            </w:tcMar>
            <w:vAlign w:val="top"/>
          </w:tcPr>
          <w:p>
            <w:pPr>
              <w:spacing w:after="0"/>
            </w:pPr>
            <w:r>
              <w:rPr>
                <w:sz w:val="13"/>
              </w:rPr>
              <w:t>Interview-led sales, day-7 pivot, free public-good fallback</w:t>
            </w:r>
          </w:p>
        </w:tc>
        <w:tc>
          <w:tcPr>
            <w:tcW w:type="dxa" w:w="2000"/>
            <w:tcMar>
              <w:top w:w="80" w:type="dxa"/>
              <w:start w:w="120" w:type="dxa"/>
              <w:bottom w:w="80" w:type="dxa"/>
              <w:end w:w="120" w:type="dxa"/>
            </w:tcMar>
            <w:vAlign w:val="top"/>
          </w:tcPr>
          <w:p>
            <w:pPr>
              <w:spacing w:after="0"/>
            </w:pPr>
            <w:r>
              <w:rPr>
                <w:sz w:val="13"/>
              </w:rPr>
              <w:t>No two commitments by day 7</w:t>
            </w:r>
          </w:p>
        </w:tc>
      </w:tr>
    </w:tbl>
    <w:p>
      <w:pPr>
        <w:pStyle w:val="TableSource"/>
      </w:pPr>
    </w:p>
    <w:p>
      <w:pPr>
        <w:pStyle w:val="Heading1"/>
      </w:pPr>
      <w:r>
        <w:t>Appendix D — Official references and assumptions</w:t>
      </w:r>
    </w:p>
    <w:p>
      <w:pPr>
        <w:spacing w:after="20"/>
      </w:pPr>
      <w:r>
        <w:rPr>
          <w:b/>
          <w:sz w:val="17"/>
        </w:rPr>
        <w:t xml:space="preserve">French work access for asylum applicants: </w:t>
      </w:r>
      <w:hyperlink r:id="rId11">
        <w:r>
          <w:rPr>
            <w:color w:val="2E74B5"/>
            <w:u w:val="single"/>
            <w:sz w:val="19"/>
          </w:rPr>
          <w:t>Service-Public: Accès au travail du demandeur d'asile</w:t>
        </w:r>
      </w:hyperlink>
    </w:p>
    <w:p>
      <w:pPr>
        <w:spacing w:after="20"/>
      </w:pPr>
      <w:r>
        <w:rPr>
          <w:b/>
          <w:sz w:val="17"/>
        </w:rPr>
        <w:t xml:space="preserve">Employment authorization: </w:t>
      </w:r>
      <w:hyperlink r:id="rId12">
        <w:r>
          <w:rPr>
            <w:color w:val="2E74B5"/>
            <w:u w:val="single"/>
            <w:sz w:val="19"/>
          </w:rPr>
          <w:t>Service-Public: Autorisation de travail d'un salarié étranger</w:t>
        </w:r>
      </w:hyperlink>
    </w:p>
    <w:p>
      <w:pPr>
        <w:spacing w:after="20"/>
      </w:pPr>
      <w:r>
        <w:rPr>
          <w:b/>
          <w:sz w:val="17"/>
        </w:rPr>
        <w:t xml:space="preserve">Association administration: </w:t>
      </w:r>
      <w:hyperlink r:id="rId13">
        <w:r>
          <w:rPr>
            <w:color w:val="2E74B5"/>
            <w:u w:val="single"/>
            <w:sz w:val="19"/>
          </w:rPr>
          <w:t>Service-Public: Associations, fondations et fonds de dotation</w:t>
        </w:r>
      </w:hyperlink>
    </w:p>
    <w:p>
      <w:pPr>
        <w:spacing w:after="20"/>
      </w:pPr>
      <w:r>
        <w:rPr>
          <w:b/>
          <w:sz w:val="17"/>
        </w:rPr>
        <w:t xml:space="preserve">Association compliance warning: </w:t>
      </w:r>
      <w:hyperlink r:id="rId14">
        <w:r>
          <w:rPr>
            <w:color w:val="2E74B5"/>
            <w:u w:val="single"/>
            <w:sz w:val="19"/>
          </w:rPr>
          <w:t>Associations.gouv.fr: Dissolution</w:t>
        </w:r>
      </w:hyperlink>
    </w:p>
    <w:p>
      <w:pPr>
        <w:spacing w:after="20"/>
      </w:pPr>
      <w:r>
        <w:rPr>
          <w:b/>
          <w:sz w:val="17"/>
        </w:rPr>
        <w:t xml:space="preserve">Base deployment: </w:t>
      </w:r>
      <w:hyperlink r:id="rId15">
        <w:r>
          <w:rPr>
            <w:color w:val="2E74B5"/>
            <w:u w:val="single"/>
            <w:sz w:val="19"/>
          </w:rPr>
          <w:t>Base documentation: Deploy smart contracts</w:t>
        </w:r>
      </w:hyperlink>
    </w:p>
    <w:p>
      <w:pPr>
        <w:spacing w:after="20"/>
      </w:pPr>
      <w:r>
        <w:rPr>
          <w:b/>
          <w:sz w:val="17"/>
        </w:rPr>
        <w:t xml:space="preserve">Typed signatures: </w:t>
      </w:r>
      <w:hyperlink r:id="rId16">
        <w:r>
          <w:rPr>
            <w:color w:val="2E74B5"/>
            <w:u w:val="single"/>
            <w:sz w:val="19"/>
          </w:rPr>
          <w:t>Base documentation: Sign and verify typed data</w:t>
        </w:r>
      </w:hyperlink>
    </w:p>
    <w:p>
      <w:pPr>
        <w:spacing w:after="20"/>
      </w:pPr>
      <w:r>
        <w:rPr>
          <w:b/>
          <w:sz w:val="17"/>
        </w:rPr>
        <w:t xml:space="preserve">Content addressing: </w:t>
      </w:r>
      <w:hyperlink r:id="rId17">
        <w:r>
          <w:rPr>
            <w:color w:val="2E74B5"/>
            <w:u w:val="single"/>
            <w:sz w:val="19"/>
          </w:rPr>
          <w:t>IPFS documentation: Pin a file and understand CIDs</w:t>
        </w:r>
      </w:hyperlink>
    </w:p>
    <w:p>
      <w:pPr>
        <w:spacing w:after="20"/>
      </w:pPr>
      <w:r>
        <w:rPr>
          <w:b/>
          <w:sz w:val="17"/>
        </w:rPr>
        <w:t xml:space="preserve">Card-data security: </w:t>
      </w:r>
      <w:hyperlink r:id="rId18">
        <w:r>
          <w:rPr>
            <w:color w:val="2E74B5"/>
            <w:u w:val="single"/>
            <w:sz w:val="19"/>
          </w:rPr>
          <w:t>PCI Security Standards Council: PCI DSS</w:t>
        </w:r>
      </w:hyperlink>
    </w:p>
    <w:p>
      <w:pPr>
        <w:spacing w:after="20"/>
      </w:pPr>
      <w:r>
        <w:rPr>
          <w:b/>
          <w:sz w:val="17"/>
        </w:rPr>
        <w:t xml:space="preserve">Unauthorized foreign work: </w:t>
      </w:r>
      <w:hyperlink r:id="rId19">
        <w:r>
          <w:rPr>
            <w:color w:val="2E74B5"/>
            <w:u w:val="single"/>
            <w:sz w:val="19"/>
          </w:rPr>
          <w:t>French Ministry of Labour: L'emploi d'étranger sans titre</w:t>
        </w:r>
      </w:hyperlink>
    </w:p>
    <w:p>
      <w:pPr>
        <w:spacing w:after="20"/>
      </w:pPr>
      <w:r>
        <w:rPr>
          <w:b/>
          <w:sz w:val="17"/>
        </w:rPr>
        <w:t xml:space="preserve">Crypto-asset perimeter: </w:t>
      </w:r>
      <w:hyperlink r:id="rId20">
        <w:r>
          <w:rPr>
            <w:color w:val="2E74B5"/>
            <w:u w:val="single"/>
            <w:sz w:val="19"/>
          </w:rPr>
          <w:t>EUR-Lex: Regulation (EU) 2023/1114 on markets in crypto-assets</w:t>
        </w:r>
      </w:hyperlink>
    </w:p>
    <w:p>
      <w:pPr>
        <w:spacing w:after="20"/>
      </w:pPr>
      <w:r>
        <w:rPr>
          <w:b/>
          <w:sz w:val="17"/>
        </w:rPr>
        <w:t xml:space="preserve">Source directory: </w:t>
      </w:r>
      <w:r>
        <w:rPr>
          <w:sz w:val="17"/>
        </w:rPr>
        <w:t>New Arrival Guide, English, August 2026, Calais — Attached file: refugee paper.pdf, pages 1–2</w:t>
      </w:r>
    </w:p>
    <w:sectPr w:rsidR="00FC693F" w:rsidRPr="0006063C" w:rsidSect="00034616">
      <w:headerReference w:type="default" r:id="rId9"/>
      <w:footerReference w:type="default" r:id="rId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requirements • 4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573"/>
        <w:sz w:val="16"/>
      </w:rPr>
      <w:t>CALAIS OPEN COMMONS PROTOCOL  /  MASTER BUILD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pPr>
    <w:rPr>
      <w:rFonts w:ascii="Calibri" w:hAnsi="Calibri"/>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rvice-public.fr/particuliers/vosdroits/F2741" TargetMode="External"/><Relationship Id="rId12" Type="http://schemas.openxmlformats.org/officeDocument/2006/relationships/hyperlink" Target="https://www.service-public.fr/particuliers/vosdroits/F2728" TargetMode="External"/><Relationship Id="rId13" Type="http://schemas.openxmlformats.org/officeDocument/2006/relationships/hyperlink" Target="https://www.service-public.fr/associations" TargetMode="External"/><Relationship Id="rId14" Type="http://schemas.openxmlformats.org/officeDocument/2006/relationships/hyperlink" Target="https://associations.gouv.fr/dissolution" TargetMode="External"/><Relationship Id="rId15" Type="http://schemas.openxmlformats.org/officeDocument/2006/relationships/hyperlink" Target="https://docs.base.org/get-started/deploy-smart-contracts" TargetMode="External"/><Relationship Id="rId16" Type="http://schemas.openxmlformats.org/officeDocument/2006/relationships/hyperlink" Target="https://docs.base.org/base-account/guides/sign-and-verify-typed-data" TargetMode="External"/><Relationship Id="rId17" Type="http://schemas.openxmlformats.org/officeDocument/2006/relationships/hyperlink" Target="https://docs.ipfs.tech/quickstart/pin/" TargetMode="External"/><Relationship Id="rId18" Type="http://schemas.openxmlformats.org/officeDocument/2006/relationships/hyperlink" Target="https://www.pcisecuritystandards.org/standards/pci-dss/" TargetMode="External"/><Relationship Id="rId19" Type="http://schemas.openxmlformats.org/officeDocument/2006/relationships/hyperlink" Target="https://travail-emploi.gouv.fr/lemploi-detranger-sans-titre" TargetMode="External"/><Relationship Id="rId20" Type="http://schemas.openxmlformats.org/officeDocument/2006/relationships/hyperlink" Target="https://eur-lex.europa.eu/legal-content/EN/TXT/?uri=CELEX:32023R1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Calais Open Commons Protocol — Master Codex Requirements</dc:title>
  <dc:subject>Decentralised 14-day ethical launch plan under €49</dc:subject>
  <dc:creator>OpenAI Codex</dc:creator>
  <cp:keywords>Calais, refugees, decentralised protocol, Base, admin wallet, service directory, sponsor, requirements, safeguarding</cp:keywords>
  <dc:description>generated by python-docx</dc:description>
  <cp:lastModifiedBy/>
  <cp:revision>1</cp:revision>
  <dcterms:created xsi:type="dcterms:W3CDTF">2013-12-23T23:15:00Z</dcterms:created>
  <dcterms:modified xsi:type="dcterms:W3CDTF">2013-12-23T23:15:00Z</dcterms:modified>
  <cp:category/>
</cp:coreProperties>
</file>