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pet-match-ai"/>
    <w:p>
      <w:pPr>
        <w:pStyle w:val="Heading1"/>
      </w:pPr>
      <w:r>
        <w:t xml:space="preserve">Pet Match AI</w:t>
      </w:r>
    </w:p>
    <w:bookmarkStart w:id="9" w:name="X5f6c79f36a89b4b16c311763e67a8a465492508"/>
    <w:p>
      <w:pPr>
        <w:pStyle w:val="Heading2"/>
      </w:pPr>
      <w:r>
        <w:t xml:space="preserve">Flutter · Android-first · Архитектура и соответствие ТЗ</w:t>
      </w:r>
    </w:p>
    <w:p>
      <w:pPr>
        <w:pStyle w:val="FirstParagraph"/>
      </w:pPr>
      <w:r>
        <w:t xml:space="preserve">Краткий документ для проверки: что реализовано, как устроен проект и за счёт чего обеспечивается качество.</w:t>
      </w:r>
    </w:p>
    <w:bookmarkEnd w:id="9"/>
    <w:bookmarkStart w:id="10" w:name="реализация-требований-тз"/>
    <w:p>
      <w:pPr>
        <w:pStyle w:val="Heading2"/>
      </w:pPr>
      <w:r>
        <w:t xml:space="preserve">1. Реализация требований ТЗ</w:t>
      </w:r>
    </w:p>
    <w:p>
      <w:pPr>
        <w:pStyle w:val="Compact"/>
        <w:numPr>
          <w:ilvl w:val="0"/>
          <w:numId w:val="1001"/>
        </w:numPr>
      </w:pPr>
      <w:r>
        <w:t xml:space="preserve">Экранный flow реализован:</w:t>
      </w:r>
      <w:r>
        <w:t xml:space="preserve"> </w:t>
      </w:r>
      <w:r>
        <w:rPr>
          <w:rStyle w:val="VerbatimChar"/>
        </w:rPr>
        <w:t xml:space="preserve">Welcome -&gt; Intro -&gt; Questionnaire -&gt; Result -&gt; Breed Details -&gt; Gallery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Анкета поддерживает все типы вопросов:</w:t>
      </w:r>
      <w:r>
        <w:t xml:space="preserve"> </w:t>
      </w:r>
      <w:r>
        <w:rPr>
          <w:rStyle w:val="VerbatimChar"/>
        </w:rPr>
        <w:t xml:space="preserve">single_choice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multiple_choice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dynamic_options/search_select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Для сессии реализован resume-flow: повторный вход продолжает текущий прогресс.</w:t>
      </w:r>
    </w:p>
    <w:p>
      <w:pPr>
        <w:pStyle w:val="Compact"/>
        <w:numPr>
          <w:ilvl w:val="0"/>
          <w:numId w:val="1001"/>
        </w:numPr>
      </w:pPr>
      <w:r>
        <w:t xml:space="preserve">Реализованы состояния загрузки, ошибок и повтора действия.</w:t>
      </w:r>
    </w:p>
    <w:p>
      <w:pPr>
        <w:pStyle w:val="Compact"/>
        <w:numPr>
          <w:ilvl w:val="0"/>
          <w:numId w:val="1001"/>
        </w:numPr>
      </w:pPr>
      <w:r>
        <w:t xml:space="preserve">Результаты совместимости отображаются полноценно: основная рекомендация и альтернативы.</w:t>
      </w:r>
    </w:p>
    <w:bookmarkEnd w:id="10"/>
    <w:bookmarkStart w:id="11" w:name="архитектура-проекта"/>
    <w:p>
      <w:pPr>
        <w:pStyle w:val="Heading2"/>
      </w:pPr>
      <w:r>
        <w:t xml:space="preserve">2. Архитектура проекта</w:t>
      </w:r>
    </w:p>
    <w:p>
      <w:pPr>
        <w:pStyle w:val="Compact"/>
        <w:numPr>
          <w:ilvl w:val="0"/>
          <w:numId w:val="1002"/>
        </w:numPr>
      </w:pPr>
      <w:r>
        <w:t xml:space="preserve">Применена Clean Architecture: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data</w:t>
      </w:r>
      <w:r>
        <w:t xml:space="preserve"> </w:t>
      </w:r>
      <w:r>
        <w:t xml:space="preserve">— источники, DTO, мапперы, репозитории;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domain</w:t>
      </w:r>
      <w:r>
        <w:t xml:space="preserve"> </w:t>
      </w:r>
      <w:r>
        <w:t xml:space="preserve">— сущности, use-cases, контракты;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presentation</w:t>
      </w:r>
      <w:r>
        <w:t xml:space="preserve"> </w:t>
      </w:r>
      <w:r>
        <w:t xml:space="preserve">— экраны, виджеты, Cubit.</w:t>
      </w:r>
    </w:p>
    <w:p>
      <w:pPr>
        <w:pStyle w:val="Compact"/>
        <w:numPr>
          <w:ilvl w:val="0"/>
          <w:numId w:val="1002"/>
        </w:numPr>
      </w:pPr>
      <w:r>
        <w:t xml:space="preserve">Слой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содержит общую инфраструктуру: DI, сеть, токены UI, компоненты дизайн-системы.</w:t>
      </w:r>
    </w:p>
    <w:p>
      <w:pPr>
        <w:pStyle w:val="Compact"/>
        <w:numPr>
          <w:ilvl w:val="0"/>
          <w:numId w:val="1002"/>
        </w:numPr>
      </w:pPr>
      <w:r>
        <w:t xml:space="preserve">Навигация централизована через</w:t>
      </w:r>
      <w:r>
        <w:t xml:space="preserve"> </w:t>
      </w:r>
      <w:r>
        <w:rPr>
          <w:rStyle w:val="VerbatimChar"/>
        </w:rPr>
        <w:t xml:space="preserve">go_router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Внедрение зависимостей —</w:t>
      </w:r>
      <w:r>
        <w:t xml:space="preserve"> </w:t>
      </w:r>
      <w:r>
        <w:rPr>
          <w:rStyle w:val="VerbatimChar"/>
        </w:rPr>
        <w:t xml:space="preserve">get_it</w:t>
      </w:r>
      <w:r>
        <w:t xml:space="preserve">.</w:t>
      </w:r>
    </w:p>
    <w:bookmarkEnd w:id="11"/>
    <w:bookmarkStart w:id="12" w:name="технологический-стек"/>
    <w:p>
      <w:pPr>
        <w:pStyle w:val="Heading2"/>
      </w:pPr>
      <w:r>
        <w:t xml:space="preserve">3. Технологический стек</w:t>
      </w:r>
    </w:p>
    <w:p>
      <w:pPr>
        <w:pStyle w:val="Compact"/>
        <w:numPr>
          <w:ilvl w:val="0"/>
          <w:numId w:val="1004"/>
        </w:numPr>
      </w:pPr>
      <w:r>
        <w:t xml:space="preserve">Flutter 3.x / Dart 3.x.</w:t>
      </w:r>
    </w:p>
    <w:p>
      <w:pPr>
        <w:pStyle w:val="Compact"/>
        <w:numPr>
          <w:ilvl w:val="0"/>
          <w:numId w:val="1004"/>
        </w:numPr>
      </w:pPr>
      <w:r>
        <w:t xml:space="preserve">State management:</w:t>
      </w:r>
      <w:r>
        <w:t xml:space="preserve"> </w:t>
      </w:r>
      <w:r>
        <w:rPr>
          <w:rStyle w:val="VerbatimChar"/>
        </w:rPr>
        <w:t xml:space="preserve">flutter_bloc</w:t>
      </w:r>
      <w:r>
        <w:t xml:space="preserve"> </w:t>
      </w:r>
      <w:r>
        <w:t xml:space="preserve">(Cubit).</w:t>
      </w:r>
    </w:p>
    <w:p>
      <w:pPr>
        <w:pStyle w:val="Compact"/>
        <w:numPr>
          <w:ilvl w:val="0"/>
          <w:numId w:val="1004"/>
        </w:numPr>
      </w:pPr>
      <w:r>
        <w:t xml:space="preserve">Сеть:</w:t>
      </w:r>
      <w:r>
        <w:t xml:space="preserve"> </w:t>
      </w:r>
      <w:r>
        <w:rPr>
          <w:rStyle w:val="VerbatimChar"/>
        </w:rPr>
        <w:t xml:space="preserve">dio</w:t>
      </w:r>
      <w:r>
        <w:t xml:space="preserve"> </w:t>
      </w:r>
      <w:r>
        <w:t xml:space="preserve">+ interceptors.</w:t>
      </w:r>
    </w:p>
    <w:p>
      <w:pPr>
        <w:pStyle w:val="Compact"/>
        <w:numPr>
          <w:ilvl w:val="0"/>
          <w:numId w:val="1004"/>
        </w:numPr>
      </w:pPr>
      <w:r>
        <w:t xml:space="preserve">Навигация:</w:t>
      </w:r>
      <w:r>
        <w:t xml:space="preserve"> </w:t>
      </w:r>
      <w:r>
        <w:rPr>
          <w:rStyle w:val="VerbatimChar"/>
        </w:rPr>
        <w:t xml:space="preserve">go_router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DI:</w:t>
      </w:r>
      <w:r>
        <w:t xml:space="preserve"> </w:t>
      </w:r>
      <w:r>
        <w:rPr>
          <w:rStyle w:val="VerbatimChar"/>
        </w:rPr>
        <w:t xml:space="preserve">get_it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Локальное хранение сессии:</w:t>
      </w:r>
      <w:r>
        <w:t xml:space="preserve"> </w:t>
      </w:r>
      <w:r>
        <w:rPr>
          <w:rStyle w:val="VerbatimChar"/>
        </w:rPr>
        <w:t xml:space="preserve">SharedPreferences</w:t>
      </w:r>
      <w:r>
        <w:t xml:space="preserve">.</w:t>
      </w:r>
    </w:p>
    <w:bookmarkEnd w:id="12"/>
    <w:bookmarkStart w:id="13" w:name="качество-ui-и-ux"/>
    <w:p>
      <w:pPr>
        <w:pStyle w:val="Heading2"/>
      </w:pPr>
      <w:r>
        <w:t xml:space="preserve">4. Качество UI и UX</w:t>
      </w:r>
    </w:p>
    <w:p>
      <w:pPr>
        <w:pStyle w:val="Compact"/>
        <w:numPr>
          <w:ilvl w:val="0"/>
          <w:numId w:val="1005"/>
        </w:numPr>
      </w:pPr>
      <w:r>
        <w:t xml:space="preserve">Введена единая дизайн-система: токены + shared-компоненты (</w:t>
      </w:r>
      <w:r>
        <w:rPr>
          <w:rStyle w:val="VerbatimChar"/>
        </w:rPr>
        <w:t xml:space="preserve">UiButton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UiCard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UiStateView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CTA-поведение унифицировано между ключевыми экранами.</w:t>
      </w:r>
    </w:p>
    <w:p>
      <w:pPr>
        <w:pStyle w:val="Compact"/>
        <w:numPr>
          <w:ilvl w:val="0"/>
          <w:numId w:val="1005"/>
        </w:numPr>
      </w:pPr>
      <w:r>
        <w:t xml:space="preserve">В анкете реализован предсказуемый submit-flow с явной индикацией загрузки.</w:t>
      </w:r>
    </w:p>
    <w:p>
      <w:pPr>
        <w:pStyle w:val="Compact"/>
        <w:numPr>
          <w:ilvl w:val="0"/>
          <w:numId w:val="1005"/>
        </w:numPr>
      </w:pPr>
      <w:r>
        <w:t xml:space="preserve">Переходы между экранами плавные и единообразные.</w:t>
      </w:r>
    </w:p>
    <w:p>
      <w:pPr>
        <w:pStyle w:val="Compact"/>
        <w:numPr>
          <w:ilvl w:val="0"/>
          <w:numId w:val="1005"/>
        </w:numPr>
      </w:pPr>
      <w:r>
        <w:t xml:space="preserve">Верхние панели и базовые отступы выровнены для визуальной консистентности.</w:t>
      </w:r>
    </w:p>
    <w:bookmarkEnd w:id="13"/>
    <w:bookmarkStart w:id="14" w:name="надёжность-и-обработка-ошибок"/>
    <w:p>
      <w:pPr>
        <w:pStyle w:val="Heading2"/>
      </w:pPr>
      <w:r>
        <w:t xml:space="preserve">5. Надёжность и обработка ошибок</w:t>
      </w:r>
    </w:p>
    <w:p>
      <w:pPr>
        <w:pStyle w:val="Compact"/>
        <w:numPr>
          <w:ilvl w:val="0"/>
          <w:numId w:val="1006"/>
        </w:numPr>
      </w:pPr>
      <w:r>
        <w:t xml:space="preserve">Ошибки типизированы (</w:t>
      </w:r>
      <w:r>
        <w:rPr>
          <w:rStyle w:val="VerbatimChar"/>
        </w:rPr>
        <w:t xml:space="preserve">AppFailure</w:t>
      </w:r>
      <w:r>
        <w:t xml:space="preserve">) и корректно отображаются в UI.</w:t>
      </w:r>
    </w:p>
    <w:p>
      <w:pPr>
        <w:pStyle w:val="Compact"/>
        <w:numPr>
          <w:ilvl w:val="0"/>
          <w:numId w:val="1006"/>
        </w:numPr>
      </w:pPr>
      <w:r>
        <w:t xml:space="preserve">Добавлены таймауты на критические сетевые операции.</w:t>
      </w:r>
    </w:p>
    <w:p>
      <w:pPr>
        <w:pStyle w:val="Compact"/>
        <w:numPr>
          <w:ilvl w:val="0"/>
          <w:numId w:val="1006"/>
        </w:numPr>
      </w:pPr>
      <w:r>
        <w:t xml:space="preserve">Реализован retry-поток для пользовательских сценариев ошибок.</w:t>
      </w:r>
    </w:p>
    <w:p>
      <w:pPr>
        <w:pStyle w:val="Compact"/>
        <w:numPr>
          <w:ilvl w:val="0"/>
          <w:numId w:val="1006"/>
        </w:numPr>
      </w:pPr>
      <w:r>
        <w:t xml:space="preserve">Обработка неожиданных исключений не оставляет экран в бесконечной загрузке.</w:t>
      </w:r>
    </w:p>
    <w:bookmarkEnd w:id="14"/>
    <w:bookmarkStart w:id="15" w:name="тестирование"/>
    <w:p>
      <w:pPr>
        <w:pStyle w:val="Heading2"/>
      </w:pPr>
      <w:r>
        <w:t xml:space="preserve">6. Тестирование</w:t>
      </w:r>
    </w:p>
    <w:p>
      <w:pPr>
        <w:pStyle w:val="Compact"/>
        <w:numPr>
          <w:ilvl w:val="0"/>
          <w:numId w:val="1007"/>
        </w:numPr>
      </w:pPr>
      <w:r>
        <w:t xml:space="preserve">Покрыты ключевые слои:</w:t>
      </w:r>
    </w:p>
    <w:p>
      <w:pPr>
        <w:pStyle w:val="Compact"/>
        <w:numPr>
          <w:ilvl w:val="1"/>
          <w:numId w:val="1008"/>
        </w:numPr>
      </w:pPr>
      <w:r>
        <w:t xml:space="preserve">роутер;</w:t>
      </w:r>
    </w:p>
    <w:p>
      <w:pPr>
        <w:pStyle w:val="Compact"/>
        <w:numPr>
          <w:ilvl w:val="1"/>
          <w:numId w:val="1008"/>
        </w:numPr>
      </w:pPr>
      <w:r>
        <w:t xml:space="preserve">shared UI-компоненты;</w:t>
      </w:r>
    </w:p>
    <w:p>
      <w:pPr>
        <w:pStyle w:val="Compact"/>
        <w:numPr>
          <w:ilvl w:val="1"/>
          <w:numId w:val="1008"/>
        </w:numPr>
      </w:pPr>
      <w:r>
        <w:t xml:space="preserve">Cubit анкеты;</w:t>
      </w:r>
    </w:p>
    <w:p>
      <w:pPr>
        <w:pStyle w:val="Compact"/>
        <w:numPr>
          <w:ilvl w:val="1"/>
          <w:numId w:val="1008"/>
        </w:numPr>
      </w:pPr>
      <w:r>
        <w:t xml:space="preserve">use-cases и мапперы.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flutter analyze</w:t>
      </w:r>
      <w:r>
        <w:t xml:space="preserve"> </w:t>
      </w:r>
      <w:r>
        <w:t xml:space="preserve">— без замечаний.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flutter test</w:t>
      </w:r>
      <w:r>
        <w:t xml:space="preserve"> </w:t>
      </w:r>
      <w:r>
        <w:t xml:space="preserve">— зелёный прогон по затронутым и регрессионным наборам.</w:t>
      </w:r>
    </w:p>
    <w:bookmarkEnd w:id="15"/>
    <w:bookmarkStart w:id="16" w:name="итог"/>
    <w:p>
      <w:pPr>
        <w:pStyle w:val="Heading2"/>
      </w:pPr>
      <w:r>
        <w:t xml:space="preserve">7. Итог</w:t>
      </w:r>
    </w:p>
    <w:p>
      <w:pPr>
        <w:pStyle w:val="FirstParagraph"/>
      </w:pPr>
      <w:r>
        <w:t xml:space="preserve">Проект соответствует целям тестового задания: чистая архитектура, последовательный пользовательский сценарий, качественная обработка состояний и ошибок, а также подтверждённая стабильность через анализатор и автоматические тесты.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2026-05-21T13:20:31Z</dcterms:created>
  <dcterms:modified xsi:type="dcterms:W3CDTF">2026-05-21T13:20:31Z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