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</w:t>
      </w:r>
      <w:r w:rsidRPr="00F14FBD">
        <w:rPr>
          <w:rFonts w:ascii="Arial" w:hAnsi="Arial" w:cs="Arial"/>
          <w:u w:val="single"/>
        </w:rPr>
        <w:t xml:space="preserve">  </w:t>
      </w:r>
      <w:r w:rsidR="00F14FBD" w:rsidRPr="00F14FBD">
        <w:rPr>
          <w:rFonts w:ascii="Arial" w:hAnsi="Arial" w:cs="Arial"/>
          <w:u w:val="single"/>
        </w:rPr>
        <w:t>Juan Pablo Fiaga Rodriguez</w:t>
      </w:r>
      <w:r w:rsidR="00F14FBD">
        <w:rPr>
          <w:rFonts w:ascii="Arial" w:hAnsi="Arial" w:cs="Arial"/>
          <w:u w:val="single"/>
        </w:rPr>
        <w:t>____</w:t>
      </w:r>
      <w:r w:rsidR="00D22CED">
        <w:rPr>
          <w:rFonts w:ascii="Arial" w:hAnsi="Arial" w:cs="Arial"/>
          <w:u w:val="single"/>
        </w:rPr>
        <w:t>___________________________________________________</w:t>
      </w:r>
      <w:bookmarkStart w:id="0" w:name="_GoBack"/>
      <w:bookmarkEnd w:id="0"/>
      <w:r w:rsidR="00F14FBD">
        <w:rPr>
          <w:rFonts w:ascii="Arial" w:hAnsi="Arial" w:cs="Arial"/>
          <w:u w:val="single"/>
        </w:rPr>
        <w:t>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</w:t>
      </w:r>
      <w:r w:rsidR="00F14FBD">
        <w:rPr>
          <w:rFonts w:ascii="Arial" w:hAnsi="Arial" w:cs="Arial"/>
        </w:rPr>
        <w:t xml:space="preserve"> </w:t>
      </w:r>
      <w:r w:rsidR="00F14FBD" w:rsidRPr="00F14FBD">
        <w:rPr>
          <w:rFonts w:ascii="Arial" w:hAnsi="Arial" w:cs="Arial"/>
          <w:u w:val="single"/>
        </w:rPr>
        <w:t xml:space="preserve">2019 </w:t>
      </w:r>
      <w:r w:rsidR="00F14FBD">
        <w:rPr>
          <w:rFonts w:ascii="Arial" w:hAnsi="Arial" w:cs="Arial"/>
          <w:u w:val="single"/>
        </w:rPr>
        <w:t>–</w:t>
      </w:r>
      <w:r w:rsidR="00F14FBD" w:rsidRPr="00F14FBD">
        <w:rPr>
          <w:rFonts w:ascii="Arial" w:hAnsi="Arial" w:cs="Arial"/>
          <w:u w:val="single"/>
        </w:rPr>
        <w:t xml:space="preserve"> 02</w:t>
      </w:r>
      <w:r w:rsidR="00F14FBD">
        <w:rPr>
          <w:rFonts w:ascii="Arial" w:hAnsi="Arial" w:cs="Arial"/>
          <w:u w:val="single"/>
        </w:rPr>
        <w:t>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</w:t>
            </w:r>
            <w:proofErr w:type="gramStart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(</w:t>
            </w:r>
            <w:proofErr w:type="gramEnd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</w:t>
            </w:r>
            <w:proofErr w:type="gramStart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(</w:t>
            </w:r>
            <w:proofErr w:type="gramEnd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161CA" w:rsidRDefault="009161CA" w:rsidP="009161C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9161CA" w:rsidRDefault="009161CA" w:rsidP="009161C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9161CA" w:rsidRDefault="009161CA" w:rsidP="009161C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352C86" w:rsidRPr="009161CA" w:rsidRDefault="009161CA" w:rsidP="009161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161CA">
              <w:rPr>
                <w:rFonts w:ascii="Calibri" w:hAnsi="Calibri" w:cs="Calibri"/>
                <w:b/>
                <w:bCs/>
                <w:color w:val="000000"/>
              </w:rPr>
              <w:t>0,7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</w:t>
            </w:r>
            <w:proofErr w:type="gramStart"/>
            <w:r w:rsidR="002C71B6">
              <w:rPr>
                <w:rFonts w:ascii="Calibri" w:hAnsi="Calibri" w:cs="Calibri"/>
                <w:color w:val="000000"/>
              </w:rPr>
              <w:t xml:space="preserve">no </w:t>
            </w:r>
            <w:r>
              <w:rPr>
                <w:rFonts w:ascii="Calibri" w:hAnsi="Calibri" w:cs="Calibri"/>
                <w:color w:val="000000"/>
              </w:rPr>
              <w:t xml:space="preserve"> resuelven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9161CA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9161C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9161CA" w:rsidRPr="009161C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0,7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</w:t>
            </w:r>
            <w:proofErr w:type="gramStart"/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pero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variables medibles y </w:t>
            </w:r>
            <w:proofErr w:type="gramStart"/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evaluables  en</w:t>
            </w:r>
            <w:proofErr w:type="gramEnd"/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durante el proceso de </w:t>
            </w:r>
            <w:proofErr w:type="gramStart"/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diseño</w:t>
            </w:r>
            <w:proofErr w:type="gramEnd"/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</w:t>
            </w:r>
            <w:proofErr w:type="gramEnd"/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</w:t>
            </w:r>
            <w:proofErr w:type="gramEnd"/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lución en caso de ser necesario, sin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embargo</w:t>
            </w:r>
            <w:proofErr w:type="gramEnd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0,7____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</w:t>
            </w:r>
            <w:proofErr w:type="gramStart"/>
            <w:r w:rsidR="004656FA">
              <w:rPr>
                <w:rFonts w:ascii="Calibri" w:hAnsi="Calibri" w:cs="Calibri"/>
                <w:color w:val="000000"/>
              </w:rPr>
              <w:t>experimentación  cumpliendo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proofErr w:type="gramStart"/>
            <w:r w:rsidR="00946849">
              <w:rPr>
                <w:rFonts w:ascii="Calibri" w:hAnsi="Calibri" w:cs="Calibri"/>
                <w:color w:val="000000"/>
              </w:rPr>
              <w:t xml:space="preserve">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proofErr w:type="gramEnd"/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proofErr w:type="gramStart"/>
            <w:r w:rsidR="00946849">
              <w:rPr>
                <w:rFonts w:ascii="Calibri" w:hAnsi="Calibri" w:cs="Calibri"/>
                <w:color w:val="000000"/>
              </w:rPr>
              <w:t xml:space="preserve">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proofErr w:type="gramEnd"/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161CA">
              <w:rPr>
                <w:rFonts w:ascii="Arial" w:eastAsia="Times New Roman" w:hAnsi="Arial" w:cs="Arial"/>
                <w:color w:val="000000"/>
                <w:lang w:eastAsia="es-CO"/>
              </w:rPr>
              <w:t>0,9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161CA">
              <w:rPr>
                <w:rFonts w:ascii="Arial" w:eastAsia="Times New Roman" w:hAnsi="Arial" w:cs="Arial"/>
                <w:color w:val="000000"/>
                <w:lang w:eastAsia="es-CO"/>
              </w:rPr>
              <w:t>0,8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gramStart"/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  <w:proofErr w:type="gramEnd"/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gramStart"/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  <w:proofErr w:type="gramEnd"/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proofErr w:type="gramStart"/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</w:t>
            </w:r>
            <w:proofErr w:type="gramEnd"/>
            <w:r>
              <w:rPr>
                <w:rFonts w:ascii="Calibri" w:hAnsi="Calibri" w:cs="Calibri"/>
                <w:color w:val="000000"/>
              </w:rPr>
              <w:t>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satisfacen las necesidades de los </w:t>
            </w:r>
            <w:proofErr w:type="gramStart"/>
            <w:r>
              <w:rPr>
                <w:rFonts w:ascii="Calibri" w:hAnsi="Calibri" w:cs="Calibri"/>
                <w:color w:val="000000"/>
              </w:rPr>
              <w:t>contextos  global</w:t>
            </w:r>
            <w:proofErr w:type="gramEnd"/>
            <w:r>
              <w:rPr>
                <w:rFonts w:ascii="Calibri" w:hAnsi="Calibri" w:cs="Calibri"/>
                <w:color w:val="000000"/>
              </w:rPr>
              <w:t>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601" w:rsidRDefault="00F36601" w:rsidP="00756EEF">
      <w:pPr>
        <w:spacing w:after="0" w:line="240" w:lineRule="auto"/>
      </w:pPr>
      <w:r>
        <w:separator/>
      </w:r>
    </w:p>
  </w:endnote>
  <w:endnote w:type="continuationSeparator" w:id="0">
    <w:p w:rsidR="00F36601" w:rsidRDefault="00F36601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3A" w:rsidRPr="0075063A">
          <w:rPr>
            <w:noProof/>
            <w:lang w:val="es-ES"/>
          </w:rPr>
          <w:t>7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601" w:rsidRDefault="00F36601" w:rsidP="00756EEF">
      <w:pPr>
        <w:spacing w:after="0" w:line="240" w:lineRule="auto"/>
      </w:pPr>
      <w:r>
        <w:separator/>
      </w:r>
    </w:p>
  </w:footnote>
  <w:footnote w:type="continuationSeparator" w:id="0">
    <w:p w:rsidR="00F36601" w:rsidRDefault="00F36601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13F02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1CA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22CED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4FBD"/>
    <w:rsid w:val="00F16642"/>
    <w:rsid w:val="00F24140"/>
    <w:rsid w:val="00F260F4"/>
    <w:rsid w:val="00F32EB7"/>
    <w:rsid w:val="00F36601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5C1B0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78D48-CF56-4AC2-9C31-FD29F055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1781</Words>
  <Characters>9800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Juan Alonso Rubiano Portela</cp:lastModifiedBy>
  <cp:revision>2</cp:revision>
  <dcterms:created xsi:type="dcterms:W3CDTF">2020-02-11T13:52:00Z</dcterms:created>
  <dcterms:modified xsi:type="dcterms:W3CDTF">2020-02-11T13:52:00Z</dcterms:modified>
</cp:coreProperties>
</file>