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</w:t>
      </w:r>
      <w:r w:rsidR="001543C9">
        <w:rPr>
          <w:rFonts w:ascii="Arial" w:hAnsi="Arial" w:cs="Arial"/>
          <w:u w:val="single"/>
        </w:rPr>
        <w:t>2</w:t>
      </w:r>
      <w:r w:rsidR="0075063A" w:rsidRPr="0075063A">
        <w:rPr>
          <w:rFonts w:ascii="Arial" w:hAnsi="Arial" w:cs="Arial"/>
          <w:u w:val="single"/>
        </w:rPr>
        <w:t xml:space="preserve">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___________</w:t>
      </w:r>
      <w:r w:rsidR="001543C9">
        <w:rPr>
          <w:rFonts w:ascii="Arial" w:hAnsi="Arial" w:cs="Arial"/>
        </w:rPr>
        <w:t>Juan David Carrillo</w:t>
      </w:r>
      <w:r w:rsidRPr="00DF3852">
        <w:rPr>
          <w:rFonts w:ascii="Arial" w:hAnsi="Arial" w:cs="Arial"/>
        </w:rPr>
        <w:t>____________________________________________________________________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 xml:space="preserve">Electrónica Digital </w:t>
      </w:r>
      <w:r w:rsidR="001543C9">
        <w:rPr>
          <w:rFonts w:ascii="Arial" w:hAnsi="Arial" w:cs="Arial"/>
          <w:u w:val="single"/>
        </w:rPr>
        <w:t>2</w:t>
      </w:r>
      <w:r w:rsidR="00163E81">
        <w:rPr>
          <w:rFonts w:ascii="Arial" w:hAnsi="Arial" w:cs="Arial"/>
        </w:rPr>
        <w:t>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</w:t>
      </w:r>
      <w:r w:rsidR="001502AE">
        <w:rPr>
          <w:rFonts w:ascii="Arial" w:hAnsi="Arial" w:cs="Arial"/>
        </w:rPr>
        <w:t>2019-2</w:t>
      </w:r>
      <w:r w:rsidR="00163E81">
        <w:rPr>
          <w:rFonts w:ascii="Arial" w:hAnsi="Arial" w:cs="Arial"/>
        </w:rPr>
        <w:t>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Default="00BC312A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BC312A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02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02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02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02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02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02A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C312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C312A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C312A">
              <w:rPr>
                <w:rFonts w:ascii="Arial" w:eastAsia="Times New Roman" w:hAnsi="Arial" w:cs="Arial"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C312A">
              <w:rPr>
                <w:rFonts w:ascii="Arial" w:eastAsia="Times New Roman" w:hAnsi="Arial" w:cs="Arial"/>
                <w:color w:val="000000"/>
                <w:lang w:eastAsia="es-CO"/>
              </w:rPr>
              <w:t>0.7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C312A">
              <w:rPr>
                <w:rFonts w:ascii="Arial" w:eastAsia="Times New Roman" w:hAnsi="Arial" w:cs="Arial"/>
                <w:color w:val="000000"/>
                <w:lang w:eastAsia="es-CO"/>
              </w:rPr>
              <w:t>0.7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C312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BC312A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C312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bookmarkStart w:id="0" w:name="_GoBack"/>
            <w:bookmarkEnd w:id="0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9EF" w:rsidRDefault="00B839EF" w:rsidP="00756EEF">
      <w:pPr>
        <w:spacing w:after="0" w:line="240" w:lineRule="auto"/>
      </w:pPr>
      <w:r>
        <w:separator/>
      </w:r>
    </w:p>
  </w:endnote>
  <w:endnote w:type="continuationSeparator" w:id="0">
    <w:p w:rsidR="00B839EF" w:rsidRDefault="00B839EF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9EF" w:rsidRDefault="00B839EF" w:rsidP="00756EEF">
      <w:pPr>
        <w:spacing w:after="0" w:line="240" w:lineRule="auto"/>
      </w:pPr>
      <w:r>
        <w:separator/>
      </w:r>
    </w:p>
  </w:footnote>
  <w:footnote w:type="continuationSeparator" w:id="0">
    <w:p w:rsidR="00B839EF" w:rsidRDefault="00B839EF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02AE"/>
    <w:rsid w:val="001543C9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839EF"/>
    <w:rsid w:val="00B947C8"/>
    <w:rsid w:val="00BA6037"/>
    <w:rsid w:val="00BB3336"/>
    <w:rsid w:val="00BC312A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CF28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29AA-B5FF-4721-BCF1-142848F9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1779</Words>
  <Characters>9790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Sara Alexander Ramos Ortiz</cp:lastModifiedBy>
  <cp:revision>16</cp:revision>
  <dcterms:created xsi:type="dcterms:W3CDTF">2019-04-22T13:37:00Z</dcterms:created>
  <dcterms:modified xsi:type="dcterms:W3CDTF">2020-02-14T14:30:00Z</dcterms:modified>
</cp:coreProperties>
</file>