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Validação do Ambiente Completo — Issue #37</w:t>
      </w:r>
      <w:r>
        <w:br/>
        <w:t>Projeto G7 — UnB</w:t>
        <w:br/>
        <w:t>Validação da execução integrada de frontend, backend e PostgreSQL</w:t>
      </w:r>
    </w:p>
    <w:p>
      <w:pPr>
        <w:pStyle w:val="Heading1"/>
      </w:pPr>
      <w:r>
        <w:t>1. Objetivo</w:t>
      </w:r>
    </w:p>
    <w:p>
      <w:r>
        <w:t>A Issue #37 tem como objetivo validar a execução integrada do ambiente do projeto, verificando se frontend, backend e PostgreSQL conseguem ser executados conjuntamente por meio do Docker Compose e se a comunicação entre eles ocorre conforme a arquitetura definida.</w:t>
      </w:r>
    </w:p>
    <w:p>
      <w:r>
        <w:t>A validação considera a inicialização dos serviços, a comunicação entre frontend, backend e banco de dados, a execução das migrações Alembic, a persistência dos dados, as portas expostas, as variáveis de ambiente e os healthchecks.</w:t>
      </w:r>
    </w:p>
    <w:p>
      <w:pPr>
        <w:pStyle w:val="Heading1"/>
      </w:pPr>
      <w:r>
        <w:t>2. Configuração analisada</w:t>
      </w:r>
    </w:p>
    <w:p>
      <w:r>
        <w:t>A stack está organizada em três serviços principais:</w:t>
      </w:r>
    </w:p>
    <w:p>
      <w:pPr>
        <w:pStyle w:val="ListBullet"/>
      </w:pPr>
      <w:r>
        <w:t>db — PostgreSQL 16.</w:t>
      </w:r>
    </w:p>
    <w:p>
      <w:pPr>
        <w:pStyle w:val="ListBullet"/>
      </w:pPr>
      <w:r>
        <w:t>backend — aplicação FastAPI.</w:t>
      </w:r>
    </w:p>
    <w:p>
      <w:pPr>
        <w:pStyle w:val="ListBullet"/>
      </w:pPr>
      <w:r>
        <w:t>frontend — aplicação Next.js.</w:t>
      </w:r>
    </w:p>
    <w:p>
      <w:r>
        <w:t>O PostgreSQL utiliza o volume persistente postgres_data. O backend aguarda o banco ser considerado saudável antes de iniciar, e o frontend depende do backend.</w:t>
      </w:r>
    </w:p>
    <w:p>
      <w:pPr>
        <w:pStyle w:val="Heading1"/>
      </w:pPr>
      <w:r>
        <w:t>3. Banco de dados e persistência</w:t>
      </w:r>
    </w:p>
    <w:p>
      <w:r>
        <w:rPr>
          <w:rFonts w:ascii="Courier New" w:hAnsi="Courier New"/>
          <w:sz w:val="18"/>
        </w:rPr>
        <w:t>db:</w:t>
        <w:br/>
        <w:t xml:space="preserve">  image: postgres:16</w:t>
        <w:br/>
        <w:t xml:space="preserve">  environment:</w:t>
        <w:br/>
        <w:t xml:space="preserve">    POSTGRES_DB: ${POSTGRES_DB:-g7}</w:t>
        <w:br/>
        <w:t xml:space="preserve">    POSTGRES_USER: ${POSTGRES_USER:-g7}</w:t>
        <w:br/>
        <w:t xml:space="preserve">    POSTGRES_PASSWORD: ${POSTGRES_PASSWORD:-troque-por-uma-senha-local}</w:t>
        <w:br/>
        <w:t xml:space="preserve">  volumes:</w:t>
        <w:br/>
        <w:t xml:space="preserve">    - postgres_data:/var/lib/postgresql/data</w:t>
      </w:r>
    </w:p>
    <w:p>
      <w:r>
        <w:t>O volume postgres_data mantém os dados do PostgreSQL fora do ciclo de vida do container. A configuração possui também um healthcheck com pg_isready para verificar quando o banco está pronto.</w:t>
      </w:r>
    </w:p>
    <w:p>
      <w:r>
        <w:t>A stack foi executada localmente na máquina do responsável pela issue e apresentou funcionamento normal, sem erros impeditivos observados durante a execução.</w:t>
      </w:r>
    </w:p>
    <w:p>
      <w:pPr>
        <w:pStyle w:val="Heading1"/>
      </w:pPr>
      <w:r>
        <w:t>4. Conexão do backend com o banco</w:t>
      </w:r>
    </w:p>
    <w:p>
      <w:r>
        <w:rPr>
          <w:rFonts w:ascii="Courier New" w:hAnsi="Courier New"/>
          <w:sz w:val="18"/>
        </w:rPr>
        <w:t>DATABASE_URL: ${DATABASE_URL:-postgresql+psycopg2://g7:troque-por-uma-senha-local@db:5432/g7}</w:t>
      </w:r>
    </w:p>
    <w:p>
      <w:r>
        <w:t>O backend utiliza o nome do serviço db como host do PostgreSQL, em vez de localhost. Isso está de acordo com a comunicação entre containers na rede interna do Docker Compose.</w:t>
      </w:r>
    </w:p>
    <w:p>
      <w:r>
        <w:rPr>
          <w:rFonts w:ascii="Courier New" w:hAnsi="Courier New"/>
          <w:sz w:val="18"/>
        </w:rPr>
        <w:t>depends_on:</w:t>
        <w:br/>
        <w:t xml:space="preserve">  db:</w:t>
        <w:br/>
        <w:t xml:space="preserve">    condition: service_healthy</w:t>
      </w:r>
    </w:p>
    <w:p>
      <w:r>
        <w:t>A dependência condicionada ao healthcheck evita que o backend tente iniciar antes de o banco estar disponível.</w:t>
      </w:r>
    </w:p>
    <w:p>
      <w:pPr>
        <w:pStyle w:val="Heading1"/>
      </w:pPr>
      <w:r>
        <w:t>5. Migrações Alembic</w:t>
      </w:r>
    </w:p>
    <w:p>
      <w:r>
        <w:rPr>
          <w:rFonts w:ascii="Courier New" w:hAnsi="Courier New"/>
          <w:sz w:val="18"/>
        </w:rPr>
        <w:t>alembic upgrade head &amp;&amp; exec uvicorn app.main:app --host 0.0.0.0 --port 8000</w:t>
      </w:r>
    </w:p>
    <w:p>
      <w:r>
        <w:t>As migrações são executadas automaticamente antes da inicialização do servidor FastAPI. Durante o teste local, não foram observados erros que impedissem a inicialização da aplicação.</w:t>
      </w:r>
    </w:p>
    <w:p>
      <w:pPr>
        <w:pStyle w:val="Heading1"/>
      </w:pPr>
      <w:r>
        <w:t>6. Frontend</w:t>
      </w:r>
    </w:p>
    <w:p>
      <w:r>
        <w:rPr>
          <w:rFonts w:ascii="Courier New" w:hAnsi="Courier New"/>
          <w:sz w:val="18"/>
        </w:rPr>
        <w:t>frontend:</w:t>
        <w:br/>
        <w:t xml:space="preserve">  build:</w:t>
        <w:br/>
        <w:t xml:space="preserve">    context: ./frontend</w:t>
        <w:br/>
        <w:t xml:space="preserve">  environment:</w:t>
        <w:br/>
        <w:t xml:space="preserve">    API_INTERNAL_URL: http://backend:8000</w:t>
        <w:br/>
        <w:t xml:space="preserve">  ports:</w:t>
        <w:br/>
        <w:t xml:space="preserve">    - "3000:3000"</w:t>
        <w:br/>
        <w:t xml:space="preserve">  depends_on:</w:t>
        <w:br/>
        <w:t xml:space="preserve">    - backend</w:t>
      </w:r>
    </w:p>
    <w:p>
      <w:r>
        <w:t>O frontend é construído a partir do diretório frontend e disponibilizado na porta 3000. A configuração fornece a URL interna do backend pelo nome do serviço backend.</w:t>
      </w:r>
    </w:p>
    <w:p>
      <w:r>
        <w:t>O frontend possui healthcheck próprio para verificar se o servidor Next.js responde na porta 3000.</w:t>
      </w:r>
    </w:p>
    <w:p>
      <w:pPr>
        <w:pStyle w:val="Heading1"/>
      </w:pPr>
      <w:r>
        <w:t>7. Portas e acesso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Serviço</w:t>
            </w:r>
          </w:p>
        </w:tc>
        <w:tc>
          <w:tcPr>
            <w:tcW w:type="dxa" w:w="2880"/>
          </w:tcPr>
          <w:p>
            <w:r>
              <w:t>Porta interna</w:t>
            </w:r>
          </w:p>
        </w:tc>
        <w:tc>
          <w:tcPr>
            <w:tcW w:type="dxa" w:w="2880"/>
          </w:tcPr>
          <w:p>
            <w:r>
              <w:t>Porta do host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  <w:tc>
          <w:tcPr>
            <w:tcW w:type="dxa" w:w="2880"/>
          </w:tcPr>
          <w:p>
            <w:r>
              <w:t>Não exposta diretamente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</w:tbl>
    <w:p>
      <w:r>
        <w:t>Com a stack em execução, o frontend fica disponível em http://localhost:3000 e o backend em http://localhost:8000. O PostgreSQL não precisa expor sua porta ao host para ser acessado pelo backend.</w:t>
      </w:r>
    </w:p>
    <w:p>
      <w:pPr>
        <w:pStyle w:val="Heading1"/>
      </w:pPr>
      <w:r>
        <w:t>8. Variáveis de ambiente</w:t>
      </w:r>
    </w:p>
    <w:p>
      <w:r>
        <w:t>O Compose possui valores padrão para facilitar a execução local. Entre as variáveis utilizadas estão POSTGRES_DB, POSTGRES_USER, POSTGRES_PASSWORD, DATABASE_URL, SECRET_KEY, DEBUG, CORS_ORIGINS, FRONTEND_URL, EMAIL_BACKEND, EMAIL_FROM, RESEND_API_KEY e NEXT_PUBLIC_API_URL.</w:t>
      </w:r>
    </w:p>
    <w:p>
      <w:r>
        <w:t>Os valores que contêm expressões como troque-por-... são destinados ao desenvolvimento local e não devem ser tratados como credenciais de produção.</w:t>
      </w:r>
    </w:p>
    <w:p>
      <w:pPr>
        <w:pStyle w:val="Heading1"/>
      </w:pPr>
      <w:r>
        <w:t>9. Procedimento de validação realizado</w:t>
      </w:r>
    </w:p>
    <w:p>
      <w:r>
        <w:t>Foi realizada uma execução local da stack na máquina do responsável, utilizando Docker Compose. O ambiente subiu corretamente e os serviços funcionaram de forma integrada.</w:t>
      </w:r>
    </w:p>
    <w:p>
      <w:r>
        <w:rPr>
          <w:rFonts w:ascii="Courier New" w:hAnsi="Courier New"/>
          <w:sz w:val="18"/>
        </w:rPr>
        <w:t>docker compose up --build</w:t>
      </w:r>
    </w:p>
    <w:p>
      <w:r>
        <w:t>Durante a execução, foram verificados o início dos containers, a disponibilidade do backend e do frontend e a integração com o PostgreSQL. As migrações foram executadas pelo comando de inicialização do backend.</w:t>
      </w:r>
    </w:p>
    <w:p>
      <w:r>
        <w:t>Resultado geral: ambiente funcional, sem erros impeditivos observados durante a execução local.</w:t>
      </w:r>
    </w:p>
    <w:p>
      <w:pPr>
        <w:pStyle w:val="Heading1"/>
      </w:pPr>
      <w:r>
        <w:t>10. Validação da persistência</w:t>
      </w:r>
    </w:p>
    <w:p>
      <w:r>
        <w:t>A configuração do volume postgres_data foi analisada e a stack foi executada com o volume persistente configurado. A configuração atende ao requisito de persistência porque o volume é declarado separadamente do container do PostgreSQL.</w:t>
      </w:r>
    </w:p>
    <w:p>
      <w:r>
        <w:t>Para uma evidência reproduzível adicional, a persistência pode ser verificada reiniciando a composição sem remover o volume. Não deve ser utilizado docker compose down -v durante esse teste, pois esse comando remove o volume.</w:t>
      </w:r>
    </w:p>
    <w:p>
      <w:pPr>
        <w:pStyle w:val="Heading1"/>
      </w:pPr>
      <w:r>
        <w:t>11.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PostgreSQL 16</w:t>
            </w:r>
          </w:p>
        </w:tc>
        <w:tc>
          <w:tcPr>
            <w:tcW w:type="dxa" w:w="4320"/>
          </w:tcPr>
          <w:p>
            <w:r>
              <w:t>OK — serviço configurado e executado localmente</w:t>
            </w:r>
          </w:p>
        </w:tc>
      </w:tr>
      <w:tr>
        <w:tc>
          <w:tcPr>
            <w:tcW w:type="dxa" w:w="4320"/>
          </w:tcPr>
          <w:p>
            <w:r>
              <w:t>Backend FastAPI</w:t>
            </w:r>
          </w:p>
        </w:tc>
        <w:tc>
          <w:tcPr>
            <w:tcW w:type="dxa" w:w="4320"/>
          </w:tcPr>
          <w:p>
            <w:r>
              <w:t>OK — serviço iniciou corretamente</w:t>
            </w:r>
          </w:p>
        </w:tc>
      </w:tr>
      <w:tr>
        <w:tc>
          <w:tcPr>
            <w:tcW w:type="dxa" w:w="4320"/>
          </w:tcPr>
          <w:p>
            <w:r>
              <w:t>Frontend Next.js</w:t>
            </w:r>
          </w:p>
        </w:tc>
        <w:tc>
          <w:tcPr>
            <w:tcW w:type="dxa" w:w="4320"/>
          </w:tcPr>
          <w:p>
            <w:r>
              <w:t>OK — serviço iniciou corretamente</w:t>
            </w:r>
          </w:p>
        </w:tc>
      </w:tr>
      <w:tr>
        <w:tc>
          <w:tcPr>
            <w:tcW w:type="dxa" w:w="4320"/>
          </w:tcPr>
          <w:p>
            <w:r>
              <w:t>Backend → PostgreSQL</w:t>
            </w:r>
          </w:p>
        </w:tc>
        <w:tc>
          <w:tcPr>
            <w:tcW w:type="dxa" w:w="4320"/>
          </w:tcPr>
          <w:p>
            <w:r>
              <w:t>OK — comunicação configurada pelo serviço db</w:t>
            </w:r>
          </w:p>
        </w:tc>
      </w:tr>
      <w:tr>
        <w:tc>
          <w:tcPr>
            <w:tcW w:type="dxa" w:w="4320"/>
          </w:tcPr>
          <w:p>
            <w:r>
              <w:t>Frontend → Backend</w:t>
            </w:r>
          </w:p>
        </w:tc>
        <w:tc>
          <w:tcPr>
            <w:tcW w:type="dxa" w:w="4320"/>
          </w:tcPr>
          <w:p>
            <w:r>
              <w:t>OK — integração configurada pelo serviço backend</w:t>
            </w:r>
          </w:p>
        </w:tc>
      </w:tr>
      <w:tr>
        <w:tc>
          <w:tcPr>
            <w:tcW w:type="dxa" w:w="4320"/>
          </w:tcPr>
          <w:p>
            <w:r>
              <w:t>Healthcheck do PostgreSQL</w:t>
            </w:r>
          </w:p>
        </w:tc>
        <w:tc>
          <w:tcPr>
            <w:tcW w:type="dxa" w:w="4320"/>
          </w:tcPr>
          <w:p>
            <w:r>
              <w:t>Configurado e utilizado na dependência do backend</w:t>
            </w:r>
          </w:p>
        </w:tc>
      </w:tr>
      <w:tr>
        <w:tc>
          <w:tcPr>
            <w:tcW w:type="dxa" w:w="4320"/>
          </w:tcPr>
          <w:p>
            <w:r>
              <w:t>Healthcheck do frontend</w:t>
            </w:r>
          </w:p>
        </w:tc>
        <w:tc>
          <w:tcPr>
            <w:tcW w:type="dxa" w:w="4320"/>
          </w:tcPr>
          <w:p>
            <w:r>
              <w:t>Configurado</w:t>
            </w:r>
          </w:p>
        </w:tc>
      </w:tr>
      <w:tr>
        <w:tc>
          <w:tcPr>
            <w:tcW w:type="dxa" w:w="4320"/>
          </w:tcPr>
          <w:p>
            <w:r>
              <w:t>Migrações Alembic</w:t>
            </w:r>
          </w:p>
        </w:tc>
        <w:tc>
          <w:tcPr>
            <w:tcW w:type="dxa" w:w="4320"/>
          </w:tcPr>
          <w:p>
            <w:r>
              <w:t>Executadas na inicialização do backend</w:t>
            </w:r>
          </w:p>
        </w:tc>
      </w:tr>
      <w:tr>
        <w:tc>
          <w:tcPr>
            <w:tcW w:type="dxa" w:w="4320"/>
          </w:tcPr>
          <w:p>
            <w:r>
              <w:t>Volume PostgreSQL</w:t>
            </w:r>
          </w:p>
        </w:tc>
        <w:tc>
          <w:tcPr>
            <w:tcW w:type="dxa" w:w="4320"/>
          </w:tcPr>
          <w:p>
            <w:r>
              <w:t>Configurado como postgres_data</w:t>
            </w:r>
          </w:p>
        </w:tc>
      </w:tr>
      <w:tr>
        <w:tc>
          <w:tcPr>
            <w:tcW w:type="dxa" w:w="4320"/>
          </w:tcPr>
          <w:p>
            <w:r>
              <w:t>Execução integrada local</w:t>
            </w:r>
          </w:p>
        </w:tc>
        <w:tc>
          <w:tcPr>
            <w:tcW w:type="dxa" w:w="4320"/>
          </w:tcPr>
          <w:p>
            <w:r>
              <w:t>OK — ambiente testado na máquina do responsável</w:t>
            </w:r>
          </w:p>
        </w:tc>
      </w:tr>
    </w:tbl>
    <w:p>
      <w:pPr>
        <w:pStyle w:val="Heading1"/>
      </w:pPr>
      <w:r>
        <w:t>12. Evidências da execução</w:t>
      </w:r>
    </w:p>
    <w:p>
      <w:r>
        <w:t>A principal evidência desta validação foi a execução local da stack pelo responsável pela issue. O ambiente foi iniciado por Docker Compose e apresentou funcionamento normal dos serviços, sem erros impeditivos.</w:t>
      </w:r>
    </w:p>
    <w:p>
      <w:r>
        <w:rPr>
          <w:rFonts w:ascii="Courier New" w:hAnsi="Courier New"/>
          <w:sz w:val="18"/>
        </w:rPr>
        <w:t>docker compose up --build</w:t>
      </w:r>
    </w:p>
    <w:p>
      <w:r>
        <w:rPr>
          <w:rFonts w:ascii="Courier New" w:hAnsi="Courier New"/>
          <w:sz w:val="18"/>
        </w:rPr>
        <w:t>docker compose ps</w:t>
      </w:r>
    </w:p>
    <w:p>
      <w:r>
        <w:t>O primeiro comando constrói as imagens e inicia a composição. O segundo permite verificar o estado dos serviços após a inicialização.</w:t>
      </w:r>
    </w:p>
    <w:p>
      <w:pPr>
        <w:pStyle w:val="Heading1"/>
      </w:pPr>
      <w:r>
        <w:t>13. Limitações</w:t>
      </w:r>
    </w:p>
    <w:p>
      <w:r>
        <w:t>A validação registrada neste relatório corresponde à execução realizada na máquina do responsável pela issue. Diferenças de ambiente, sistema operacional, versões locais do Docker ou configurações externas podem produzir resultados diferentes.</w:t>
      </w:r>
    </w:p>
    <w:p>
      <w:r>
        <w:t>A validação por dois membros da equipe, quando exigida pelo critério da Issue #37, deve ser registrada separadamente com a identificação dos participantes e o resultado de suas execuções.</w:t>
      </w:r>
    </w:p>
    <w:p>
      <w:pPr>
        <w:pStyle w:val="Heading1"/>
      </w:pPr>
      <w:r>
        <w:t>14. Conclusão</w:t>
      </w:r>
    </w:p>
    <w:p>
      <w:r>
        <w:t>A execução local realizada confirmou que a composição proposta para frontend, backend e PostgreSQL é funcional. Os três serviços estão integrados por meio do Docker Compose, o backend utiliza o serviço db para acessar o PostgreSQL, as migrações são executadas na inicialização e o PostgreSQL utiliza volume persistente.</w:t>
      </w:r>
    </w:p>
    <w:p>
      <w:r>
        <w:t>Com base na análise da configuração e no teste realizado, o ambiente encontra-se funcional para desenvolvimento local. Para o encerramento formal da Issue #37, recomenda-se registrar as evidências finais exigidas pelo processo da equipe, especialmente a validação por dois membros, caso ainda não tenha sido documentada.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