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Perspectiva del Cliente y Ventaja Competitiva (Pat Dorsey)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2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2.1 Moat Económico (Pat Dorsey)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 de moat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¿Presente?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Intangibles (marcas, patentes, licencias)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Débil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Echo distribuye marcas ajenas. Sus marcas propias (ShareZ, GOODISH, productos de Pets Value) son incipientes. No hay patentes ni licencias exclusivas.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Costes de cambio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Moderados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Cambiar de mayorista (帳合変更) exige rehacer logística, sistemas y lineales; pero el riesgo de cambio aparece como riesgo declarado y «cambios en las condiciones de algunos clientes» explican caídas en FY2/2026 y en el 1T FY2/2027.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Efecto red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Parcial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Más fabricantes atraen a más minoristas y viceversa (plataforma de surtido de 20.000 referencias). Efecto débil: los minoristas grandes trabajan con varios mayoristas.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Ventajas de coste / escala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☐ Parcial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Red nacional de ≈20 centros, densidad de entregas y n.º 2 especializado. Pero Japell es 1,8x más grande y los generalistas (Arata, 1 billón de JPY de ventas) tienen escala logística muy superior.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p.17 (riesgo (3) 取引条件の大幅な変更), p.18; Kessan Tanshin 1T FY2/2027 (Q1_2026.pdf, 10-jul-2026), p.2]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i w:val="0"/>
              </w:rPr>
              <w:t>Conclusión moat: ESTRECHO / INEXISTENTE (más cerca de inexistente).</w:t>
            </w:r>
            <w:r>
              <w:rPr>
                <w:b w:val="0"/>
                <w:i w:val="0"/>
              </w:rPr>
              <w:t xml:space="preserve"> 🟡 La escala logística y la especialización dan un ROIC del 8-12% en años normales, aceptable gracias a la rotación (2,9x). Pero un margen operativo del 1% que cae, la pérdida de condiciones con clientes y la dependencia de rappels indican que </w:t>
            </w:r>
            <w:r>
              <w:rPr>
                <w:b/>
                <w:i w:val="0"/>
              </w:rPr>
              <w:t>el valor generado lo capturan fabricantes y grandes minoristas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Style w:val="Heading1"/>
      </w:pPr>
      <w:r>
        <w:t>2.2 Concentración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Cliente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FY2/2025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FY2/2026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Rakuten Group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&lt;10% (no desglosado)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11.073 M JPY (10,5%)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Nuevo cliente &gt;10%: canal EC en crecimiento, pero con alto poder negociador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Resto de clientes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Ninguno &gt;10%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Ninguno &gt;10%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Home centers, droguerías, supermercados, tiendas especializadas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p.20; Yuho FY2/2025 (F_2024.pdf, 29-may-2025), p.19]</w:t>
      </w:r>
    </w:p>
    <w:p>
      <w:r>
        <w:rPr>
          <w:b w:val="0"/>
          <w:i w:val="0"/>
        </w:rPr>
        <w:t xml:space="preserve">🟡 </w:t>
      </w:r>
      <w:r>
        <w:rPr>
          <w:b/>
          <w:i w:val="0"/>
        </w:rPr>
        <w:t>Concentración moderada.</w:t>
      </w:r>
      <w:r>
        <w:rPr>
          <w:b w:val="0"/>
          <w:i w:val="0"/>
        </w:rPr>
        <w:t xml:space="preserve"> El riesgo no es tanto un cliente concreto como el </w:t>
      </w:r>
      <w:r>
        <w:rPr>
          <w:b/>
          <w:i w:val="0"/>
        </w:rPr>
        <w:t>«cambio de mayorista» (帳合変更)</w:t>
      </w:r>
      <w:r>
        <w:rPr>
          <w:b w:val="0"/>
          <w:i w:val="0"/>
        </w:rPr>
        <w:t xml:space="preserve"> en cuentas grandes, que la empresa declara como riesgo principal y que ya cita como causa de la caída del BO en el 1T FY2/2027 (BO de 8 M JPY frente a 206).</w:t>
      </w:r>
    </w:p>
    <w:p>
      <w:r>
        <w:rPr>
          <w:b w:val="0"/>
          <w:i/>
          <w:color w:val="555555"/>
          <w:sz w:val="17"/>
        </w:rPr>
        <w:t>[Fuente: Kessan Tanshin 1T FY2/2027 (Q1_2026.pdf, 10-jul-2026), p.2: «一部のお得意先様における取引内容の変更等の影響»]</w:t>
      </w:r>
    </w:p>
    <w:p>
      <w:pPr>
        <w:pStyle w:val="Heading1"/>
      </w:pPr>
      <w:r>
        <w:t>2.3 Posicionamiento Competitivo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Evaluación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Posición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N.º 2 en distribución especializada para mascotas</w:t>
            </w:r>
            <w:r>
              <w:rPr>
                <w:b w:val="0"/>
                <w:i w:val="0"/>
                <w:sz w:val="17"/>
              </w:rPr>
              <w:t xml:space="preserve"> (tras Japell); challenger frente a los generalistas.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Competidores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Japell (líder, no cotizada, 187.000 M JPY); Arata (2733, división de mascotas); PALTAC (8283, en OPA de Medipal); Kokubu (accionista y a la vez proveedor/competidor potencial); importadores de nicho; venta directa de fabricantes al comercio electrónico.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Diferenciadores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Especialización y conocimiento de categoría; concepto «CED»; feria Pet Kingdom; formación para tiendas; gestión de tiendas (Pets Value); análisis de datos y IA generativa (nuevo plan).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Barreras de entrada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Moderadas: red logística nacional, relaciones con fabricantes y sistemas. Pero los generalistas pueden ampliar su surtido de mascotas con poco coste incremental.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Poder de los clientes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Alto: grandes cadenas en consolidación y el comercio electrónico (Rakuten).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Poder de los proveedores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Alto: multinacionales (Mars, Nestlé, Colgate-Hill's) y grandes nacionales (Unicharm, Inaba) fijan los precios y las condiciones de rappel.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Sustitutos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Venta directa del fabricante (D2C) y logística propia de los grandes minoristas.</w:t>
            </w:r>
          </w:p>
        </w:tc>
      </w:tr>
    </w:tbl>
    <w:p/>
    <w:p>
      <w:pPr>
        <w:pStyle w:val="Heading1"/>
      </w:pPr>
      <w:r>
        <w:t>2.4 Análisis del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FY2024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FY2025E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FY2027E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Fuente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Mercado de mascotas en Japón (M 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1.910.800 (+2,6%)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1.925.700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2.027.900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Yano Research ⚠️ secundario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Valor de la comida para mascotas (M 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459.400 (9.º año de aumento)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Yano / asociación de comida para mascotas ⚠️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Ventas de Echo (M JPY; ejercicio a febrero)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107.406 (FY2/24)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106.388 (FY2/25)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110.000 (previsión FY2/27)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Yuho / Tanshin 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Ventas de Japell (M JPY; ejercicio a marzo)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≈176.600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187.000 (FY3/25)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nissyoku.co.jp ⚠️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Echo / Japell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≈61%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≈57%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💡 Echo pierde terreno frente al líder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Japell FY3/2024 ≈ 187.000/1,059 = 176.600 (a partir de su +5,9% publicado). Ratio Echo/Japell: 107.406/176.600 = 61%; 106.388/187.000 = 57%. 🔴 Mientras Japell creció +5,9%, Echo bajó −0,9% en el periodo comparable.</w:t>
      </w:r>
    </w:p>
    <w:p>
      <w:pPr>
        <w:pStyle w:val="Heading1"/>
      </w:pPr>
      <w:r>
        <w:t>2.5 Necesidad del Cliente</w:t>
      </w:r>
    </w:p>
    <w:p>
      <w:r>
        <w:rPr>
          <w:b w:val="0"/>
          <w:i w:val="0"/>
        </w:rPr>
        <w:t xml:space="preserve">🟢 </w:t>
      </w:r>
      <w:r>
        <w:rPr>
          <w:b/>
          <w:i w:val="0"/>
        </w:rPr>
        <w:t>Necesidad real y recurrente.</w:t>
      </w:r>
      <w:r>
        <w:rPr>
          <w:b w:val="0"/>
          <w:i w:val="0"/>
        </w:rPr>
        <w:t xml:space="preserve"> La comida para mascotas es un consumo diario y no aplazable (las mascotas son «familia»); los minoristas necesitan reposición frecuente de un surtido muy fragmentado. Para el minorista, el mayorista es </w:t>
      </w:r>
      <w:r>
        <w:rPr>
          <w:b/>
          <w:i w:val="0"/>
        </w:rPr>
        <w:t>crítico</w:t>
      </w:r>
      <w:r>
        <w:rPr>
          <w:b w:val="0"/>
          <w:i w:val="0"/>
        </w:rPr>
        <w:t xml:space="preserve"> en logística y surtido, pero </w:t>
      </w:r>
      <w:r>
        <w:rPr>
          <w:b/>
          <w:i w:val="0"/>
        </w:rPr>
        <w:t>sustituible</w:t>
      </w:r>
      <w:r>
        <w:rPr>
          <w:b w:val="0"/>
          <w:i w:val="0"/>
        </w:rPr>
        <w:t xml:space="preserve"> entre mayoristas. Para el fabricante, es un canal útil pero no exclusivo.</w:t>
      </w:r>
    </w:p>
    <w:p>
      <w:pPr>
        <w:pStyle w:val="Heading1"/>
      </w:pPr>
      <w:r>
        <w:t>2.6 Costes de Cambio</w:t>
      </w:r>
    </w:p>
    <w:p>
      <w:r>
        <w:rPr>
          <w:b/>
          <w:i w:val="0"/>
        </w:rPr>
        <w:t>Switching costs: MODERADOS.</w:t>
      </w:r>
      <w:r>
        <w:rPr>
          <w:b w:val="0"/>
          <w:i w:val="0"/>
        </w:rPr>
        <w:t xml:space="preserve"> 🟡 El cambio de mayorista es costoso a corto plazo (sistemas EDI, planogramas, logística), pero frecuente en el sector japonés, donde las grandes cadenas renegocian y reasignan categorías («帳合変更»). Echo lo cita como riesgo n.º 3 y como causa de pérdidas recientes: la evidencia indica que los costes de cambio </w:t>
      </w:r>
      <w:r>
        <w:rPr>
          <w:b/>
          <w:i w:val="0"/>
        </w:rPr>
        <w:t>no protegen</w:t>
      </w:r>
      <w:r>
        <w:rPr>
          <w:b w:val="0"/>
          <w:i w:val="0"/>
        </w:rPr>
        <w:t xml:space="preserve"> el margen.</w:t>
      </w:r>
    </w:p>
    <w:p>
      <w:pPr>
        <w:pStyle w:val="Heading1"/>
      </w:pPr>
      <w:r>
        <w:t>2.7 Ventaja Competitiva Sostenible</w:t>
      </w:r>
    </w:p>
    <w:p>
      <w:r>
        <w:rPr>
          <w:b w:val="0"/>
          <w:i w:val="0"/>
        </w:rPr>
        <w:t xml:space="preserve">La ventaja más defendible es la </w:t>
      </w:r>
      <w:r>
        <w:rPr>
          <w:b/>
          <w:i w:val="0"/>
        </w:rPr>
        <w:t>especialización de categoría</w:t>
      </w:r>
      <w:r>
        <w:rPr>
          <w:b w:val="0"/>
          <w:i w:val="0"/>
        </w:rPr>
        <w:t xml:space="preserve">: datos de venta, conocimiento del producto, formación y propuestas de lineal, que los generalistas no siempre igualan. A esto se suman la </w:t>
      </w:r>
      <w:r>
        <w:rPr>
          <w:b/>
          <w:i w:val="0"/>
        </w:rPr>
        <w:t>red logística nacional</w:t>
      </w:r>
      <w:r>
        <w:rPr>
          <w:b w:val="0"/>
          <w:i w:val="0"/>
        </w:rPr>
        <w:t xml:space="preserve"> y la </w:t>
      </w:r>
      <w:r>
        <w:rPr>
          <w:b/>
          <w:i w:val="0"/>
        </w:rPr>
        <w:t>relación con Kokubu</w:t>
      </w:r>
      <w:r>
        <w:rPr>
          <w:b w:val="0"/>
          <w:i w:val="0"/>
        </w:rPr>
        <w:t xml:space="preserve"> (acceso a su red de alimentación y a sus clientes de supermercado). 🟡 Son ventajas que sostienen la cuota pero no el margen. El nuevo plan (2027-) apuesta por </w:t>
      </w:r>
      <w:r>
        <w:rPr>
          <w:b/>
          <w:i w:val="0"/>
        </w:rPr>
        <w:t>datos e IA generativa</w:t>
      </w:r>
      <w:r>
        <w:rPr>
          <w:b w:val="0"/>
          <w:i w:val="0"/>
        </w:rPr>
        <w:t xml:space="preserve"> y por marcas propias (I&amp;I) para «salir de la competencia en precio». ⚠️ Es una apuesta todavía sin resultados medibles.</w:t>
      </w:r>
    </w:p>
    <w:p>
      <w:r>
        <w:rPr>
          <w:b w:val="0"/>
          <w:i/>
          <w:color w:val="555555"/>
          <w:sz w:val="17"/>
        </w:rPr>
        <w:t>[Fuente: Yuho FY2/2026 (F_2025.pdf, 26-may-2026), p.10-11]</w:t>
      </w:r>
    </w:p>
    <w:p>
      <w:pPr>
        <w:pStyle w:val="Heading1"/>
      </w:pPr>
      <w:r>
        <w:t>2.8 Poder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Ventas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Margen bruto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Explicación de la dirección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+7,3%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11,73%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Demanda por COVID; costes logísticos al alza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+5,5% (nueva norma)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11,54%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Gestión por producto (単品管理); subidas de proveedores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+10,8%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11,57%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Subidas de precio de los fabricantes</w:t>
            </w:r>
            <w:r>
              <w:rPr>
                <w:b w:val="0"/>
                <w:i w:val="0"/>
                <w:sz w:val="16"/>
              </w:rPr>
              <w:t xml:space="preserve"> y productos de mayor valor añadido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−0,9%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11,32%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Inversión en logística y nueva sede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−0,5%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11,14%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«Efecto de las subidas de precio agotado»; </w:t>
            </w:r>
            <w:r>
              <w:rPr>
                <w:b/>
                <w:i w:val="0"/>
                <w:sz w:val="16"/>
              </w:rPr>
              <w:t>empeoramiento del margen por la competencia en precio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1T FY2/2027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+2,9%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10,18%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Ventas al alza, pero </w:t>
            </w:r>
            <w:r>
              <w:rPr>
                <w:b/>
                <w:i w:val="0"/>
                <w:sz w:val="16"/>
              </w:rPr>
              <w:t>cambios de condiciones con algunos clientes</w:t>
            </w:r>
            <w:r>
              <w:rPr>
                <w:b w:val="0"/>
                <w:i w:val="0"/>
                <w:sz w:val="16"/>
              </w:rPr>
              <w:t xml:space="preserve"> y fletes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MD&amp;A de los Yuho FY2/2022-26; Kessan Tanshin 1T FY2/2027 (Q1_2026.pdf, 10-jul-2026), p.2 y p.5; margen bruto: cuentas.xlsx (TIKR, FY2/2019-FY2/2026 y LTM)]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Sin poder de precio</w:t>
      </w:r>
      <w:r>
        <w:rPr>
          <w:b w:val="0"/>
          <w:i w:val="0"/>
        </w:rPr>
        <w:t>: Echo traslada las subidas de los fabricantes, pero no puede defender su propio margen. El margen bruto pierde ≈0,15 pp por año de media (−0,59 pp entre FY2/2022 y FY2/2026) y en el 1T FY2/2027 cae a 10,18% (−0,75 pp interanual).</w:t>
      </w:r>
    </w:p>
    <w:p>
      <w:r>
        <w:rPr>
          <w:b w:val="0"/>
          <w:i w:val="0"/>
          <w:color w:val="1F4E79"/>
          <w:sz w:val="19"/>
        </w:rPr>
        <w:t>💡 ESTIMACIÓN / CÁLCULO PROPIO: Margen bruto 1T FY2/2027 = 2.779/27.285 = 10,18%; 1T FY2/2026 = 2.896/26.508 = 10,92%.</w:t>
      </w:r>
    </w:p>
    <w:p>
      <w:pPr>
        <w:pStyle w:val="Heading1"/>
      </w:pPr>
      <w:r>
        <w:t>2.9 Proveedores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Relación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Dato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Kokubu Group (accionista del 18,2%)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Proveedor y accionista; un consejero de Echo es directivo de Kokubu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Compras de 10.822 M JPY (11,5% de las compras); saldo a pagar de 2.934 M JPY 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Fabricantes de comida (Mars, Nestlé Purina, Hill's, Unicharm, Inaba, Petline, etc.) ⚠️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Proveedores principales (no desglosados)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Compras totales de 94.272 M JPY (FY2/2026): comida 79%, accesorios 21%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Itochu (accionista del 3,6%)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Trading general (relación histórica) ⚠️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«Echo Trading Kyoeikai» (asociación de proveedores-accionistas, 5,6%)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Los proveedores invierten en Echo a través de su asociación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342 miles de acciones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p.21 (仕入実績), p.26 (大株主), p.77 (関連当事者)]</w:t>
      </w:r>
    </w:p>
    <w:p>
      <w:r>
        <w:rPr>
          <w:b w:val="0"/>
          <w:i w:val="0"/>
        </w:rPr>
        <w:t xml:space="preserve">🟡 Los proveedores son </w:t>
      </w:r>
      <w:r>
        <w:rPr>
          <w:b/>
          <w:i w:val="0"/>
        </w:rPr>
        <w:t>también accionistas</w:t>
      </w:r>
      <w:r>
        <w:rPr>
          <w:b w:val="0"/>
          <w:i w:val="0"/>
        </w:rPr>
        <w:t xml:space="preserve"> (Kokubu, Kyoeikai, Itochu: ≈27% entre los tres). Esto estabiliza las relaciones, pero alinea a la empresa con proveedores más que con el minoritario.</w:t>
      </w:r>
    </w:p>
    <w:p>
      <w:pPr>
        <w:pStyle w:val="Heading1"/>
      </w:pPr>
      <w:r>
        <w:t>Conclusión de la Sección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 w:val="0"/>
                <w:i w:val="0"/>
              </w:rPr>
              <w:t xml:space="preserve">🔴/🟡 </w:t>
            </w:r>
            <w:r>
              <w:rPr>
                <w:b/>
                <w:i w:val="0"/>
              </w:rPr>
              <w:t>Moat estrecho-inexistente.</w:t>
            </w:r>
            <w:r>
              <w:rPr>
                <w:b w:val="0"/>
                <w:i w:val="0"/>
              </w:rPr>
              <w:t xml:space="preserve"> Echo es útil para la cadena, pero está atrapada entre proveedores potentes y clientes en consolidación. Su margen bruto se erosiona y pierde cuota frente al líder Japell. 🟢 La especialización, la red nacional y el vínculo con Kokubu dan estabilidad. </w:t>
            </w:r>
            <w:r>
              <w:rPr>
                <w:b/>
                <w:i w:val="0"/>
              </w:rPr>
              <w:t>Para 6-18 meses la tesis no puede basarse en la ventaja competitiva</w:t>
            </w:r>
            <w:r>
              <w:rPr>
                <w:b w:val="0"/>
                <w:i w:val="0"/>
              </w:rPr>
              <w:t>: depende de la valoración y de una posible operación corporativa.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