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del Balance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3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Visión general del balance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 JPY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feb-2022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feb-2023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feb-2024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feb-2025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feb-2026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may-2026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Caja y depósitos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3.633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3.688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4.060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6.231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7.567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Clientes (efectos y cuentas)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17.938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20.089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21.345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21.822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24.056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26.568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Otras cuentas a cobrar (rappels)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2.418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2.454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2.475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2.639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2.655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Existencias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3.125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3.109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3.211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3.295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3.530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4.687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Activo corriente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27.183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29.401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31.154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31.990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36.601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41.572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Inmovilizado material neto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1.219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962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965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ACTIVO 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29.379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31.668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33.524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34.065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38.899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43.769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Proveedores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12.356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13.992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15.168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15.101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20.306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23.292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Acreedores varios (未払金)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2.965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3.360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3.449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3.139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3.727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3.984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Deuda financiera (préstamos a corto)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3.700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3.250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1.650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3.625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Pasivo corriente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19.926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21.800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22.585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22.206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26.288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31.408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PASIVO TOTAL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20.247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22.085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22.882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22.586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26.721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31.761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5"/>
              </w:rPr>
              <w:t>PATRIMONIO NETO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9.135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9.584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10.642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11.480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12.178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12.008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Balances consolidados: cuentas.xlsx (TIKR, FY2/2019-FY2/2026 y LTM); Yuho FY2/2026 (F_2025.pdf, 26-may-2026) p.52-53; Kessan Tanshin 1T FY2/2027 (Q1_2026.pdf, 10-jul-2026) p.4]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Advertencia clave:</w:t>
      </w:r>
      <w:r>
        <w:rPr>
          <w:b w:val="0"/>
          <w:i w:val="0"/>
        </w:rPr>
        <w:t xml:space="preserve"> los cierres de feb-2026 (sábado) y de may-2026 (domingo) fueron días festivos bancarios. Según la propia empresa, cobros y pagos previstos para ese día se desplazaron al mes siguiente, lo que </w:t>
      </w:r>
      <w:r>
        <w:rPr>
          <w:b/>
          <w:i w:val="0"/>
        </w:rPr>
        <w:t>infla clientes (+2.234), proveedores (+5.204) y caja</w:t>
      </w:r>
      <w:r>
        <w:rPr>
          <w:b w:val="0"/>
          <w:i w:val="0"/>
        </w:rPr>
        <w:t xml:space="preserve"> en feb-2026. Lo mismo ocurrió en feb-2021 (domingo), revertido en feb-2022. </w:t>
      </w:r>
      <w:r>
        <w:rPr>
          <w:b/>
          <w:i w:val="0"/>
        </w:rPr>
        <w:t>La caja neta de 4.581 M JPY de feb-2026 no es representativa.</w:t>
      </w:r>
    </w:p>
    <w:p>
      <w:r>
        <w:rPr>
          <w:b w:val="0"/>
          <w:i/>
          <w:color w:val="555555"/>
          <w:sz w:val="17"/>
        </w:rPr>
        <w:t>[Fuente: Yuho FY2/2026 (F_2025.pdf, 26-may-2026), p.19 (explicación del efecto festivo) y p.86 (efectos y créditos electrónicos con vencimiento en día festivo: 737 M JPY)]</w:t>
      </w:r>
    </w:p>
    <w:p>
      <w:pPr>
        <w:pStyle w:val="Heading1"/>
      </w:pPr>
      <w:r>
        <w:t>3.1 Activos Fijos (PP&amp;E)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 (feb-2026)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Coste bruto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Amort. acumulada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Deterioro acumulado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Neto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Edificios y construcciones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1.206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238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Terrenos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650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Otros (maquinaria, mobiliario, leasing)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202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Inmovilizado material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2.058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1.033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957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Inmovilizado inmaterial (software)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252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p.52]</w:t>
      </w:r>
    </w:p>
    <w:p>
      <w:r>
        <w:rPr>
          <w:b w:val="0"/>
          <w:i w:val="0"/>
        </w:rPr>
        <w:t xml:space="preserve">🟢 </w:t>
      </w:r>
      <w:r>
        <w:rPr>
          <w:b/>
          <w:i w:val="0"/>
        </w:rPr>
        <w:t>Modelo asset-light</w:t>
      </w:r>
      <w:r>
        <w:rPr>
          <w:b w:val="0"/>
          <w:i w:val="0"/>
        </w:rPr>
        <w:t xml:space="preserve">: el inmovilizado material es solo el </w:t>
      </w:r>
      <w:r>
        <w:rPr>
          <w:b/>
          <w:i w:val="0"/>
        </w:rPr>
        <w:t>2,5% del activo total</w:t>
      </w:r>
      <w:r>
        <w:rPr>
          <w:b w:val="0"/>
          <w:i w:val="0"/>
        </w:rPr>
        <w:t xml:space="preserve">. Casi todos los centros logísticos son </w:t>
      </w:r>
      <w:r>
        <w:rPr>
          <w:b/>
          <w:i w:val="0"/>
        </w:rPr>
        <w:t>alquilados</w:t>
      </w:r>
      <w:r>
        <w:rPr>
          <w:b w:val="0"/>
          <w:i w:val="0"/>
        </w:rPr>
        <w:t xml:space="preserve"> (88.734 m² de suelo y 77.955 m² de naves; alquiler anual de 1.023 M JPY) y los vehículos y equipos informáticos van en leasing (514 ordenadores, 146 vehículos). Terrenos propios: Sapporo (6.700 m²), Yokohama (726), Hiroshima (5.533) y Yao, Osaka (2.502).</w:t>
      </w:r>
    </w:p>
    <w:p>
      <w:r>
        <w:rPr>
          <w:b w:val="0"/>
          <w:i/>
          <w:color w:val="555555"/>
          <w:sz w:val="17"/>
        </w:rPr>
        <w:t>[Fuente: Yuho FY2/2026 (F_2025.pdf, 26-may-2026), p.23-24 «主要な設備の状況»]</w:t>
      </w:r>
    </w:p>
    <w:p>
      <w:r>
        <w:rPr>
          <w:b w:val="0"/>
          <w:i w:val="0"/>
        </w:rPr>
        <w:t xml:space="preserve">🟡 </w:t>
      </w:r>
      <w:r>
        <w:rPr>
          <w:b/>
          <w:i w:val="0"/>
        </w:rPr>
        <w:t>Cambio contable relevante:</w:t>
      </w:r>
      <w:r>
        <w:rPr>
          <w:b w:val="0"/>
          <w:i w:val="0"/>
        </w:rPr>
        <w:t xml:space="preserve"> la nueva norma japonesa de arrendamientos (equivalente a NIIF 16) se aplicará desde FY2/2028. Llevará al balance los contratos de alquiler de los centros logísticos, con </w:t>
      </w:r>
      <w:r>
        <w:rPr>
          <w:b/>
          <w:i w:val="0"/>
        </w:rPr>
        <w:t>aumento de activos y pasivos y menor ratio de solvencia</w:t>
      </w:r>
      <w:r>
        <w:rPr>
          <w:b w:val="0"/>
          <w:i w:val="0"/>
        </w:rPr>
        <w:t>, aunque sin efecto en la caja.</w:t>
      </w:r>
    </w:p>
    <w:p>
      <w:r>
        <w:rPr>
          <w:b w:val="0"/>
          <w:i/>
          <w:color w:val="555555"/>
          <w:sz w:val="17"/>
        </w:rPr>
        <w:t>[Fuente: Yuho FY2/2026 (F_2025.pdf, 26-may-2026), p.60 «未適用の会計基準等»]</w:t>
      </w:r>
    </w:p>
    <w:p>
      <w:pPr>
        <w:pStyle w:val="Heading1"/>
      </w:pPr>
      <w:r>
        <w:t>3.2 Deuda a Largo Plazo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Instrumento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feb-2025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feb-2026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may-2026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Préstamos bancarios a corto plazo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3.250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1.650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3.625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Financian el circulante; suben y bajan con el ciclo de cobros y pagos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Deuda a largo plazo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Sin deuda a largo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Arrendamientos financieros (aprox.)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≈78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Deuda con coste total de 1.728 M JPY con leasings (feb-2026)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Arrendamientos operativos no cancelables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788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n.d.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Fuera de balance hasta FY2/2028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p.22 (有利子負債 1.728) y p.70 (リース); Kessan Tanshin 1T FY2/2027 (Q1_2026.pdf, 10-jul-2026), p.4]</w:t>
      </w:r>
    </w:p>
    <w:p>
      <w:pPr>
        <w:pStyle w:val="Heading2"/>
      </w:pPr>
      <w:r>
        <w:t>Evolución del apalancamiento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Caja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 neta (− = caja neta)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Deuda/FP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DN/EBITDA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Solvencia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2.400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3.975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-1.575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-9,1x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4.446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-1.946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-5,0x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29,4%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3.633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3.700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3.688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0,0x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30,3%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4.060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-860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-0,5x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4.221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-971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-0,7x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33,7%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1.650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6.231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-4.581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-3,8x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31,3%</w:t>
            </w:r>
          </w:p>
        </w:tc>
      </w:tr>
    </w:tbl>
    <w:p/>
    <w:p>
      <w:r>
        <w:rPr>
          <w:b w:val="0"/>
          <w:i w:val="0"/>
        </w:rPr>
        <w:t xml:space="preserve">🟢 </w:t>
      </w:r>
      <w:r>
        <w:rPr>
          <w:b/>
          <w:i w:val="0"/>
        </w:rPr>
        <w:t>Apalancamiento financiero bajo</w:t>
      </w:r>
      <w:r>
        <w:rPr>
          <w:b w:val="0"/>
          <w:i w:val="0"/>
        </w:rPr>
        <w:t xml:space="preserve">: deuda/FP de 0,14-0,46x, sin deuda a largo y caja neta en 5 de 7 cierres. 🟡 La solvencia (31%) parece baja, pero es normal en distribución: el pasivo es sobre todo </w:t>
      </w:r>
      <w:r>
        <w:rPr>
          <w:b/>
          <w:i w:val="0"/>
        </w:rPr>
        <w:t>deuda comercial sin coste</w:t>
      </w:r>
      <w:r>
        <w:rPr>
          <w:b w:val="0"/>
          <w:i w:val="0"/>
        </w:rPr>
        <w:t xml:space="preserve"> con proveedores (20.306 M JPY). Coste de intereses: 47 M JPY (cobertura EBIT/intereses de 24x).</w:t>
      </w:r>
    </w:p>
    <w:p>
      <w:r>
        <w:rPr>
          <w:b w:val="0"/>
          <w:i w:val="0"/>
        </w:rPr>
        <w:t xml:space="preserve">💡 </w:t>
      </w:r>
      <w:r>
        <w:rPr>
          <w:b/>
          <w:i w:val="0"/>
        </w:rPr>
        <w:t>Caja neta normalizada (sin efecto festivo): ≈1.000-1.600 M JPY.</w:t>
      </w:r>
      <w:r>
        <w:rPr>
          <w:b w:val="0"/>
          <w:i w:val="0"/>
        </w:rPr>
        <w:t xml:space="preserve"> Cierres «normales»: 860 (feb-2024) y 971 (feb-2025). En feb-2026, restando el exceso de proveedores sobre clientes por el festivo (5.204 − 2.234 ≈ 2.970): 4.581 − 2.970 ≈ 1.610. </w:t>
      </w:r>
      <w:r>
        <w:rPr>
          <w:b/>
          <w:i w:val="0"/>
        </w:rPr>
        <w:t>Usamos ≈1.500 M JPY (≈247 JPY/acción) en la valoración.</w:t>
      </w:r>
    </w:p>
    <w:p>
      <w:pPr>
        <w:pStyle w:val="Heading2"/>
      </w:pPr>
      <w:r>
        <w:t>Covenants</w:t>
      </w:r>
    </w:p>
    <w:p>
      <w:r>
        <w:rPr>
          <w:b w:val="0"/>
          <w:i w:val="0"/>
        </w:rPr>
        <w:t xml:space="preserve">🔍 No se divulgan covenants. Con deuda solo a corto, renovable y sin garantías relevantes, el riesgo es bajo. 🟢 La empresa contrata </w:t>
      </w:r>
      <w:r>
        <w:rPr>
          <w:b/>
          <w:i w:val="0"/>
        </w:rPr>
        <w:t>seguros de crédito comercial</w:t>
      </w:r>
      <w:r>
        <w:rPr>
          <w:b w:val="0"/>
          <w:i w:val="0"/>
        </w:rPr>
        <w:t xml:space="preserve"> para sus clientes.</w:t>
      </w:r>
    </w:p>
    <w:p>
      <w:r>
        <w:rPr>
          <w:b w:val="0"/>
          <w:i/>
          <w:color w:val="555555"/>
          <w:sz w:val="17"/>
        </w:rPr>
        <w:t>[Fuente: Yuho FY2/2026 (F_2025.pdf, 26-may-2026), p.17 (riesgo (4))]</w:t>
      </w:r>
    </w:p>
    <w:p>
      <w:pPr>
        <w:pStyle w:val="Heading1"/>
      </w:pPr>
      <w:r>
        <w:t>3.3 NCAV (Net Current Asset Value) – Método Benjamin Graham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Concepto (M JPY)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feb-2025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feb-2026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may-2026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Activo corriente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31.990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36.601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41.572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(−) Pasivo total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22.586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26.721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31.761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NCAV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9.404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9.880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9.811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Acciones en circulación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6.036.061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6.073.021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6.072.421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NCAV por acción (JPY)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1.558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1.627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1.616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Precio / NCAV (a 835 JPY)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0,54x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0,51x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0,52x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NCAV may-2026 = 41.572 − 31.761 = 9.811 M JPY → 1.616 JPY/acción. NCAV es menos sensible al efecto festivo porque clientes y proveedores se inflan a la vez.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Net-Net Working Capital (may-2026)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Saldo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Caja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7.567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7.567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Clientes + otras cuentas a cobrar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29.223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21.917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Existencias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4.687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2.344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(−) Pasivo total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31.761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−31.761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7"/>
              </w:rPr>
              <w:t>NNWC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67 → ≈11 JPY/acción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La acción cotiza a ≈0,52x su NCAV (≈1.616 JPY/acción)</w:t>
            </w:r>
            <w:r>
              <w:rPr>
                <w:b w:val="0"/>
                <w:i w:val="0"/>
              </w:rPr>
              <w:t>: el mercado valora el negocio en marcha por debajo de su capital circulante neto.</w:t>
            </w:r>
          </w:p>
          <w:p>
            <w:r>
              <w:rPr>
                <w:b w:val="0"/>
                <w:i w:val="0"/>
              </w:rPr>
              <w:t xml:space="preserve">🟡 Con los recortes conservadores de Graham (NNWC), el valor de liquidación es </w:t>
            </w:r>
            <w:r>
              <w:rPr>
                <w:b/>
                <w:i w:val="0"/>
              </w:rPr>
              <w:t>≈0</w:t>
            </w:r>
            <w:r>
              <w:rPr>
                <w:b w:val="0"/>
                <w:i w:val="0"/>
              </w:rPr>
              <w:t xml:space="preserve">: en un mayorista el activo corriente es casi todo deuda de clientes que solo vale si el negocio sigue pagando a sus proveedores. Echo </w:t>
            </w:r>
            <w:r>
              <w:rPr>
                <w:b/>
                <w:i w:val="0"/>
              </w:rPr>
              <w:t>no es una net-net en sentido estricto</w:t>
            </w:r>
            <w:r>
              <w:rPr>
                <w:b w:val="0"/>
                <w:i w:val="0"/>
              </w:rPr>
              <w:t xml:space="preserve">, pero sí un caso de </w:t>
            </w:r>
            <w:r>
              <w:rPr>
                <w:b/>
                <w:i w:val="0"/>
              </w:rPr>
              <w:t>P/B y P/NCAV muy bajos con clientes de buena calidad</w:t>
            </w:r>
            <w:r>
              <w:rPr>
                <w:b w:val="0"/>
                <w:i w:val="0"/>
              </w:rPr>
              <w:t xml:space="preserve"> (grandes cadenas cotizadas, con seguro de crédito; provisión de insolvencias de solo 9 M JPY).</w:t>
            </w:r>
          </w:p>
        </w:tc>
      </w:tr>
    </w:tbl>
    <w:p/>
    <w:p>
      <w:pPr>
        <w:pStyle w:val="Heading1"/>
      </w:pPr>
      <w:r>
        <w:t>3.4 Ratios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Current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Quick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Cash Ratio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Fondo de maniobra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feb-2022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0,18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7.257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feb-2023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7.601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feb-2024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0,18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8.569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feb-2025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1,44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9.784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feb-2026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10.313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may-2026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10.164</w:t>
            </w:r>
          </w:p>
        </w:tc>
      </w:tr>
    </w:tbl>
    <w:p/>
    <w:p>
      <w:r>
        <w:rPr>
          <w:b w:val="0"/>
          <w:i w:val="0"/>
        </w:rPr>
        <w:t xml:space="preserve">🟡 Current ratio de 1,3-1,4x (por debajo del benchmark de 1,5x, aunque normal en distribución, donde los proveedores financian el circulante). 🟢 El quick ratio de ≈1,2-1,3x muestra que el activo corriente es </w:t>
      </w:r>
      <w:r>
        <w:rPr>
          <w:b/>
          <w:i w:val="0"/>
        </w:rPr>
        <w:t>líquido</w:t>
      </w:r>
      <w:r>
        <w:rPr>
          <w:b w:val="0"/>
          <w:i w:val="0"/>
        </w:rPr>
        <w:t>: clientes a ≈75-80 días e inventario de solo 14 días.</w:t>
      </w:r>
    </w:p>
    <w:p>
      <w:pPr>
        <w:pStyle w:val="Heading1"/>
      </w:pPr>
      <w:r>
        <w:t>3.5 Working Capital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Cierre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Clientes + otros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Existencias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Proveedores + acreedores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Circulante operativo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% Ventas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FY2/2019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18.527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3.209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12.751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8.985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18.632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3.147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16.103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5.676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20.422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18.120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5.554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20.356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3.125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15.321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8.160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8,9%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22.543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3.109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17.352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8.300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8,6%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23.820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18.617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8.414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24.379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3.295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18.240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9.434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8,9%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26.695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3.530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24.033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6.192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5,9%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may-2026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29.223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4.687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27.276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6.634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Circulante operativo = clientes + otras cuentas a cobrar + existencias − proveedores − acreedores varios.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en años «normales» el circulante operativo ronda el </w:t>
      </w:r>
      <w:r>
        <w:rPr>
          <w:b/>
          <w:i w:val="0"/>
        </w:rPr>
        <w:t>7-9% de las ventas</w:t>
      </w:r>
      <w:r>
        <w:rPr>
          <w:b w:val="0"/>
          <w:i w:val="0"/>
        </w:rPr>
        <w:t xml:space="preserve"> (≈8.000-9.000 M JPY). FY2/2021 y FY2/2026, con cierre en festivo, muestran un circulante artificialmente bajo. 🟡 Un crecimiento de ventas del 4% exigiría ≈300-350 M JPY de circulante adicional al año.</w:t>
      </w:r>
    </w:p>
    <w:p>
      <w:pPr>
        <w:pStyle w:val="Heading1"/>
      </w:pPr>
      <w:r>
        <w:t>3.6 CapEx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CapEx (material + inmaterial)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Amortización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CapEx/D&amp;A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CapEx/Ventas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0,05%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2,41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0,21%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 (FCF: gastos de capital + activos intangibles); Yuho FY2/2026 (F_2025.pdf, 26-may-2026) p.58]</w:t>
      </w:r>
    </w:p>
    <w:p>
      <w:r>
        <w:rPr>
          <w:b w:val="0"/>
          <w:i w:val="0"/>
        </w:rPr>
        <w:t xml:space="preserve">🟢 CapEx mínimo (0,02-0,2% de las ventas): los almacenes son alquilados. En FY2/2026 subió a 227 M JPY por </w:t>
      </w:r>
      <w:r>
        <w:rPr>
          <w:b/>
          <w:i w:val="0"/>
        </w:rPr>
        <w:t>inversión en sistemas</w:t>
      </w:r>
      <w:r>
        <w:rPr>
          <w:b w:val="0"/>
          <w:i w:val="0"/>
        </w:rPr>
        <w:t xml:space="preserve"> (209 M JPY de software). En FY2/2025 vendió la antigua sede de Nishinomiya (454 M JPY de cobro, plusvalía de 205). 💡 Mantenimiento ≈ amortización (≈80-95 M JPY/año). El resto es inversión en sistemas y equipamiento de centros nuevos.</w:t>
      </w:r>
    </w:p>
    <w:p>
      <w:pPr>
        <w:pStyle w:val="Heading1"/>
      </w:pPr>
      <w:r>
        <w:t>3.7 CapEx Futuro Estimado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💡 CapEx estimado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Fundamento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FY2/2027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150-300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Nuevo plan: datos e IA generativa, unificación de I&amp;I y Pets Value, centro de Hayashima (2026). «No hay planes de nuevas instalaciones relevantes» (Yuho)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FY2/2028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100-250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Continuidad de sistemas; a partir de aquí la norma de arrendamientos lleva el derecho de uso al balance (no cambia el CapEx en caja)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FY2/2029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100-250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Mantenimiento ≈ amortización + digitalización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p.24 «設備の新設、除却等の計画» y p.10-11]</w:t>
      </w:r>
    </w:p>
    <w:p>
      <w:pPr>
        <w:pStyle w:val="Heading1"/>
      </w:pPr>
      <w:r>
        <w:t>Otros elementos relevantes del balance</w:t>
      </w:r>
    </w:p>
    <w:p>
      <w:pPr>
        <w:pStyle w:val="ListBullet"/>
      </w:pPr>
      <w:r>
        <w:rPr>
          <w:b/>
          <w:i w:val="0"/>
        </w:rPr>
        <w:t>Participaciones en clientes (政策保有株式)</w:t>
      </w:r>
      <w:r>
        <w:rPr>
          <w:b w:val="0"/>
          <w:i w:val="0"/>
        </w:rPr>
        <w:t>: 14 valores cotizados por 785 M JPY (Kohnan 350, Genky 116, AEON 67, Okuwa 53, DCM 38, Life 33, PetGo 32, H2O 29, Arenza 23…) y 7 no cotizados (66). Aumentan cada año por compras en las asociaciones de proveedores de esos clientes. 🔴 Práctica que la TSE pide reducir.</w:t>
      </w:r>
    </w:p>
    <w:p>
      <w:pPr>
        <w:pStyle w:val="ListBullet"/>
      </w:pPr>
      <w:r>
        <w:rPr>
          <w:b/>
          <w:i w:val="0"/>
        </w:rPr>
        <w:t>Rappels pendientes de cobro</w:t>
      </w:r>
      <w:r>
        <w:rPr>
          <w:b w:val="0"/>
          <w:i w:val="0"/>
        </w:rPr>
        <w:t>: 2.199 M JPY (KAM del auditor). Activo esencial para el beneficio y de valoración compleja. 🟡</w:t>
      </w:r>
    </w:p>
    <w:p>
      <w:pPr>
        <w:pStyle w:val="ListBullet"/>
      </w:pPr>
      <w:r>
        <w:rPr>
          <w:b/>
          <w:i w:val="0"/>
        </w:rPr>
        <w:t>Pensiones</w:t>
      </w:r>
      <w:r>
        <w:rPr>
          <w:b w:val="0"/>
          <w:i w:val="0"/>
        </w:rPr>
        <w:t xml:space="preserve">: plan de aportación definida, </w:t>
      </w:r>
      <w:r>
        <w:rPr>
          <w:b/>
          <w:i w:val="0"/>
        </w:rPr>
        <w:t>sin pasivo actuarial</w:t>
      </w:r>
      <w:r>
        <w:rPr>
          <w:b w:val="0"/>
          <w:i w:val="0"/>
        </w:rPr>
        <w:t>. 🟢</w:t>
      </w:r>
    </w:p>
    <w:p>
      <w:pPr>
        <w:pStyle w:val="ListBullet"/>
      </w:pPr>
      <w:r>
        <w:rPr>
          <w:b/>
          <w:i w:val="0"/>
        </w:rPr>
        <w:t>Autocartera</w:t>
      </w:r>
      <w:r>
        <w:rPr>
          <w:b w:val="0"/>
          <w:i w:val="0"/>
        </w:rPr>
        <w:t>: 42.125 acciones (0,7%), sobre todo procedentes de acciones restringidas recuperadas. 🟡</w:t>
      </w:r>
    </w:p>
    <w:p>
      <w:r>
        <w:rPr>
          <w:b w:val="0"/>
          <w:i/>
          <w:color w:val="555555"/>
          <w:sz w:val="17"/>
        </w:rPr>
        <w:t>[Fuente: Yuho FY2/2026 (F_2025.pdf, 26-may-2026), p.47-48, p.70, p.94; Kessan Tanshin 1T FY2/2027 (Q1_2026.pdf, 10-jul-2026), p.2]</w:t>
      </w:r>
    </w:p>
    <w:p>
      <w:pPr>
        <w:pStyle w:val="Heading1"/>
      </w:pPr>
      <w:r>
        <w:t>Conclusión de la Sección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b w:val="0"/>
                <w:i w:val="0"/>
              </w:rPr>
              <w:t xml:space="preserve">🟢 </w:t>
            </w:r>
            <w:r>
              <w:rPr>
                <w:b/>
                <w:i w:val="0"/>
              </w:rPr>
              <w:t>Balance sano y asset-light</w:t>
            </w:r>
            <w:r>
              <w:rPr>
                <w:b w:val="0"/>
                <w:i w:val="0"/>
              </w:rPr>
              <w:t>: sin deuda a largo, caja neta normalizada de ≈1.500 M JPY, cobertura de intereses de 24x, pensiones sin pasivo, clientes de calidad e inventario de 14 días. Patrimonio neto de 12.008 M JPY (≈1.977 JPY/acción) y NCAV de ≈1.616 JPY/acción, frente a un precio de 835 JPY.</w:t>
            </w:r>
          </w:p>
          <w:p>
            <w:r>
              <w:rPr>
                <w:b w:val="0"/>
                <w:i w:val="0"/>
              </w:rPr>
              <w:t>🔴 Puntos a vigilar: caja muy volátil por el calendario de cobros y pagos; dependencia de los rappels; participaciones en clientes; la nueva norma de arrendamientos (2028) inflará el pasivo.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