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Financiero Detallado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4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4.1 Revenue Analysis</w:t>
      </w:r>
    </w:p>
    <w:p>
      <w:pPr>
        <w:pStyle w:val="Heading2"/>
      </w:pPr>
      <w:r>
        <w:t>Evolución trimestral / semestral (periodos disponibles)</w:t>
      </w:r>
    </w:p>
    <w:p>
      <w:r>
        <w:rPr>
          <w:b w:val="0"/>
          <w:i w:val="0"/>
        </w:rPr>
        <w:t>Echo publica Tanshin trimestrales y semestrales; los informes anuales solo incluyen información semestral desde 2024. La tabla combina datos 🔍 verificados (Tanshin 1T FY2/2027) y 💡 derivados de las variaciones porcentuales publicadas en Tanshin y noticias (Kabutan).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Ventas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Var. a/a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BO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Var. a/a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Margen operativo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Fuente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1T FY2/2025 (mar-may 24)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≈26.722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≈320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≈1,20%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Derivado de la variación del 1T FY2/2026 (−0,8%; −35,6%)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1S FY2/2025 (mar-ago 24)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≈848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Derivado (1S FY2/2026 = −20,2%)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2S FY2/2025 (sep-24 a feb-25)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≈512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1.360 − 848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1T FY2/2026 (mar-may 25)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26.508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−0,8%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−35,6%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0,78%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🔍 Q1_2026 p.1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2T FY2/2026 (jun-ago 25)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≈26.353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≈471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≈−10% (Bº ord.)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≈1,79%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1S − 1T (Kabutan: «jun-ago −10%»)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2S FY2/2026 (sep-25 a feb-26)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≈52.950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≈433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≈−15%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≈0,82%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Año − 1S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1T FY2/2027 (mar-may 26)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27.285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+2,9%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−96,1%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0,03%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🔍 Q1_2026 p.1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1S FY2/2026: ventas = 54.500/1,031 = 52.861 y BO = 555/(1 − 0,18) = 677 (a partir de la previsión del 1S FY2/2027 y de su variación publicada). 1S FY2/2025: BO = 677/(1 − 0,202) = 848. 1T FY2/2025: ventas = 26.508/0,992 = 26.722 y BO = 206/0,644 = 320.</w:t>
      </w:r>
    </w:p>
    <w:p>
      <w:r>
        <w:rPr>
          <w:b w:val="0"/>
          <w:i/>
          <w:color w:val="555555"/>
          <w:sz w:val="17"/>
        </w:rPr>
        <w:t>[Fuente: Kessan Tanshin 1T FY2/2027 (Q1_2026.pdf, 10-jul-2026) p.1; Kabutan «上期経常が20％減益で着地・6-8月期も10％減益» (10-oct-2025) y «今期経常は4％増益へ» (10-abr-2026), vía búsqueda web]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Tendencia del BO claramente bajista</w:t>
      </w:r>
      <w:r>
        <w:rPr>
          <w:b w:val="0"/>
          <w:i w:val="0"/>
        </w:rPr>
        <w:t xml:space="preserve">: el margen operativo pasa de ≈1,2% (1T FY2/2025) a 0,78% (1T FY2/2026) y a </w:t>
      </w:r>
      <w:r>
        <w:rPr>
          <w:b/>
          <w:i w:val="0"/>
        </w:rPr>
        <w:t>0,03% (1T FY2/2027)</w:t>
      </w:r>
      <w:r>
        <w:rPr>
          <w:b w:val="0"/>
          <w:i w:val="0"/>
        </w:rPr>
        <w:t>. Las ventas se recuperan (+2,9%), pero el margen bruto cae 0,74 pp y el SG&amp;A sube +3,0% (fletes).</w:t>
      </w:r>
    </w:p>
    <w:p>
      <w:pPr>
        <w:pStyle w:val="Heading2"/>
      </w:pPr>
      <w:r>
        <w:t>Evolución anual (8 años)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Ventas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Δ%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Bº bruto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Bº ordinario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BN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BPA (JPY)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FY2/2019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81.054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9.603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-2,82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FY2/2020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81.387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0,4%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9.607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7,80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FY2/2021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85.654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5,2%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10.137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40,16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91.930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7,3%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10.783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467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479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288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47,82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96.955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5,5%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11.190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858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897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590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97,98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107.406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10,8%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12.425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1.720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1.745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1.214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201,65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106.388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-0,9%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12.045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1.360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1.370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1.002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166,38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105.811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-0,5%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11.786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1.110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1.108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778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128,63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LTM may-2026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106.588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11.669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912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908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641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105,77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LTM); Yuho FY2/2022-26 p.2]</w:t>
      </w:r>
    </w:p>
    <w:p>
      <w:pPr>
        <w:pStyle w:val="Heading2"/>
      </w:pPr>
      <w:r>
        <w:t>CAGR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Fin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Años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CAGR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Ventas FY2/2019→FY2/2026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81.054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105.811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+3,9%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Ventas FY2/2022→FY2/2026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91.930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105.811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+3,6%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Ventas FY2/2024→FY2/2026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107.406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105.811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−0,7%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BO FY2/2022→FY2/2026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467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1.110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+24,2%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BO FY2/2024→FY2/2026 (desde el máximo)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1.720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1.110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−19,7%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BPA FY2/2022→FY2/2026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47,82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128,63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+28,1%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Valor contable por acción FY2/2022→FY2/2026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1.510,58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2.005,33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+7,3%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Ej.: (1.110/467)^(1/4) − 1 = 24,2%; (1.110/1.720)^(1/2) − 1 = −19,7%.</w:t>
      </w:r>
    </w:p>
    <w:p>
      <w:pPr>
        <w:pStyle w:val="Heading1"/>
      </w:pPr>
      <w:r>
        <w:t>4.2 Recurrencia de Ingresos</w:t>
      </w:r>
    </w:p>
    <w:p>
      <w:r>
        <w:rPr>
          <w:b w:val="0"/>
          <w:i w:val="0"/>
        </w:rPr>
        <w:t xml:space="preserve">🟢 </w:t>
      </w:r>
      <w:r>
        <w:rPr>
          <w:b/>
          <w:i w:val="0"/>
        </w:rPr>
        <w:t>Alta recurrencia de facto (≈95%+)</w:t>
      </w:r>
      <w:r>
        <w:rPr>
          <w:b w:val="0"/>
          <w:i w:val="0"/>
        </w:rPr>
        <w:t xml:space="preserve">: la comida y los consumibles (arena, empapadores) se reponen semanalmente en los mismos puntos de venta. 🔴 </w:t>
      </w:r>
      <w:r>
        <w:rPr>
          <w:b/>
          <w:i w:val="0"/>
        </w:rPr>
        <w:t>Sin contratos plurianuales</w:t>
      </w:r>
      <w:r>
        <w:rPr>
          <w:b w:val="0"/>
          <w:i w:val="0"/>
        </w:rPr>
        <w:t>: las condiciones se renegocian y las cuentas pueden cambiar de mayorista, como muestra el 1T FY2/2027.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Peso FY2/2026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Naturaleza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Comida para mascotas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78,4%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Recurrente, consumo diario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Accesorios perro/gato (arena, empapadores, higiene, juguetes)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19,1%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Mayoritariamente consumible, recurrente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Otros accesorios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2,1%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Duradero, puntual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Otros (servicios, formación, eventos)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0,4%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Puntual (escuela traspasada en abr-2026)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p.20]</w:t>
      </w:r>
    </w:p>
    <w:p>
      <w:pPr>
        <w:pStyle w:val="Heading1"/>
      </w:pPr>
      <w:r>
        <w:t>4.3 Crecimiento Orgánico vs Adquisiciones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Δ Ventas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Orgánico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Adquisiciones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💡 Precio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💡 Volumen/mix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+6.276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+2 a +4%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+3 a +5% (demanda por COVID)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+5.025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+5 a +8%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 a 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+10.451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+10 a +12% (subidas de fabricantes)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 a +1%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−1.018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+1 a +2%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 a −3%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−577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≈0% («efecto agotado»)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≈−0,5% (cambios de clientes; Rakuten +)</w:t>
            </w:r>
          </w:p>
        </w:tc>
      </w:tr>
    </w:tbl>
    <w:p/>
    <w:p>
      <w:r>
        <w:rPr>
          <w:b w:val="0"/>
          <w:i w:val="0"/>
        </w:rPr>
        <w:t xml:space="preserve">⚠️ El reparto precio/volumen es una </w:t>
      </w:r>
      <w:r>
        <w:rPr>
          <w:b/>
          <w:i w:val="0"/>
        </w:rPr>
        <w:t>estimación propia</w:t>
      </w:r>
      <w:r>
        <w:rPr>
          <w:b w:val="0"/>
          <w:i w:val="0"/>
        </w:rPr>
        <w:t xml:space="preserve"> basada en el comentario de la dirección y en la tendencia de volumen del mercado (valor +, volumen −). La empresa no publica volúmenes. 🔍 </w:t>
      </w:r>
      <w:r>
        <w:rPr>
          <w:b/>
          <w:i w:val="0"/>
        </w:rPr>
        <w:t>Todo el crecimiento es orgánico.</w:t>
      </w:r>
    </w:p>
    <w:p>
      <w:pPr>
        <w:pStyle w:val="Heading1"/>
      </w:pPr>
      <w:r>
        <w:t>4.4 Análisis M&amp;A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Año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Compra de PetPet (portal de información)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Cerrado en sep-2025 (no rentable)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Venta de Kokoro K.K.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2016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Desinversión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Alianza de capital con Kokubu (18,31%)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Estabilidad accionarial y canal alimentario; no ha evitado la erosión del margen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Compra de los minoritarios de I&amp;I y PetPet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2025-2026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Simplificación (16 M JPY pagados)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Marca GOODISH (procedente de Fancl)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⚠️ Términos no publicados; relanzamiento en otoño de 2026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Traspaso de la escuela Echo Pet Business a Yashima Gakuen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abr-2026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Salida de una actividad no estratégica (coste de reestructuración de 8 M JPY)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 p.4-7, p.18, p.58; Kessan Tanshin 1T FY2/2027 (Q1_2026.pdf, 10-jul-2026) p.2]</w:t>
      </w:r>
    </w:p>
    <w:p>
      <w:r>
        <w:rPr>
          <w:b w:val="0"/>
          <w:i w:val="0"/>
        </w:rPr>
        <w:t>🟡 Las operaciones son pequeñas y de simplificación de cartera («selección y concentración»), sin destrucción relevante de valor. 🔴 Las diversificaciones (portal, escuela, tiendas) no han generado valor medible.</w:t>
      </w:r>
    </w:p>
    <w:p>
      <w:pPr>
        <w:pStyle w:val="Heading1"/>
      </w:pPr>
      <w:r>
        <w:t>4.5 Backlog y Pipeline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Sin cartera de pedidos</w:t>
      </w:r>
      <w:r>
        <w:rPr>
          <w:b w:val="0"/>
          <w:i w:val="0"/>
        </w:rPr>
        <w:t xml:space="preserve"> (no hay producción ni pedidos registrados: «受注実績 該当なし»). La visibilidad se limita a la </w:t>
      </w:r>
      <w:r>
        <w:rPr>
          <w:b/>
          <w:i w:val="0"/>
        </w:rPr>
        <w:t>previsión de la dirección para FY2/2027</w:t>
      </w:r>
      <w:r>
        <w:rPr>
          <w:b w:val="0"/>
          <w:i w:val="0"/>
        </w:rPr>
        <w:t>: ventas de 110.000 M JPY (+4,0%), BO de 1.150 (+3,6%), Bº ordinario de 1.147 (+3,6%), BN de 758 (−2,6%) y BPA de 124,81 JPY. Para el 1S: ventas de 54.500, BO de 555, BN de 371.</w:t>
      </w:r>
    </w:p>
    <w:p>
      <w:r>
        <w:rPr>
          <w:b w:val="0"/>
          <w:i/>
          <w:color w:val="555555"/>
          <w:sz w:val="17"/>
        </w:rPr>
        <w:t>[Fuente: Kessan Tanshin 1T FY2/2027 (Q1_2026.pdf, 10-jul-2026), p.1]</w:t>
      </w:r>
    </w:p>
    <w:p>
      <w:r>
        <w:rPr>
          <w:b w:val="0"/>
          <w:i w:val="0"/>
          <w:color w:val="1F4E79"/>
          <w:sz w:val="19"/>
        </w:rPr>
        <w:t xml:space="preserve">💡 ESTIMACIÓN / CÁLCULO PROPIO: Avance del 1T sobre la previsión del 1S: BO 8/555 = </w:t>
      </w:r>
      <w:r>
        <w:rPr>
          <w:b/>
          <w:i w:val="0"/>
          <w:color w:val="1F4E79"/>
          <w:sz w:val="19"/>
        </w:rPr>
        <w:t>1,4%</w:t>
      </w:r>
      <w:r>
        <w:rPr>
          <w:b w:val="0"/>
          <w:i w:val="0"/>
          <w:color w:val="1F4E79"/>
          <w:sz w:val="19"/>
        </w:rPr>
        <w:t xml:space="preserve">; ventas 27.285/54.500 = 50,1%. Para cumplir el 1S, el 2T tendría que generar un BO de 547 M JPY, frente a ≈471 en el 2T FY2/2025 y un margen de 2,0% nunca visto en un 2T reciente. 🔴 </w:t>
      </w:r>
      <w:r>
        <w:rPr>
          <w:b/>
          <w:i w:val="0"/>
          <w:color w:val="1F4E79"/>
          <w:sz w:val="19"/>
        </w:rPr>
        <w:t>Es muy probable una revisión a la baja con los resultados del 1S (≈9-10 oct-2026)</w:t>
      </w:r>
      <w:r>
        <w:rPr>
          <w:b w:val="0"/>
          <w:i w:val="0"/>
          <w:color w:val="1F4E79"/>
          <w:sz w:val="19"/>
        </w:rPr>
        <w:t>, que sería la tercera vez seguida que no se cumple la previsión.</w:t>
      </w:r>
    </w:p>
    <w:p>
      <w:pPr>
        <w:pStyle w:val="Heading1"/>
      </w:pPr>
      <w:r>
        <w:t>4.6 Drivers de Crecimiento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Driver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 potencial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Probabilidad 6-18m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1. Recuperación del margen bruto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Renegociación de condiciones, marcas propias (ShareZ, GOODISH), rappels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±300-600 M JPY de BO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Media-baja (30%)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2. Comercio electrónico (Rakuten) y nuevos canales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Volumen +; margen −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+2-4% de ventas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Alta (60%)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3. Eficiencia logística (IA, entregas conjuntas, nuevos centros)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Compensa la inflación de fletes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+100-200 M JPY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 (40%)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4. Subidas de precio de fabricantes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Inflación de materias primas y yen débil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+3-5% de ventas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 (50%)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5. Operación corporativa (Kokubu/Itochu u otro)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Integración o exclusión de bolsa en un sector en consolidación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Prima del 30-60%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Baja (10-15%) ⚠️</w:t>
            </w:r>
          </w:p>
        </w:tc>
      </w:tr>
    </w:tbl>
    <w:p/>
    <w:p>
      <w:pPr>
        <w:pStyle w:val="Heading1"/>
      </w:pPr>
      <w:r>
        <w:t>Conclusión de la Sección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/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Deterioro operativo en curso</w:t>
            </w:r>
            <w:r>
              <w:rPr>
                <w:b w:val="0"/>
                <w:i w:val="0"/>
              </w:rPr>
              <w:t xml:space="preserve">: ventas planas (CAGR de 2 años −0,7%), BO −35% desde el máximo y un 1T FY2/2027 prácticamente en equilibrio (BO de 8 M JPY). 🟡 Crecimiento 100% orgánico y recurrente, pero muy dependiente de precios de fabricantes. 🔴 La previsión de FY2/2027 parece </w:t>
            </w:r>
            <w:r>
              <w:rPr>
                <w:b/>
                <w:i w:val="0"/>
              </w:rPr>
              <w:t>inalcanzable</w:t>
            </w:r>
            <w:r>
              <w:rPr>
                <w:b w:val="0"/>
                <w:i w:val="0"/>
              </w:rPr>
              <w:t xml:space="preserve"> a la luz del 1T: es un riesgo de corto plazo para la cotización.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