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 Cash Flow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6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6.1 Operating Cash Flow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BN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OCF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OCF/BN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EBITDA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OCF/EBITDA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¿Cierre en festivo?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-345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n.s.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-225%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3.557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75,7x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173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2.056%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242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535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2,2x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390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Sí (dom.)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288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-2.311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-8,0x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549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-421%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590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756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1,3x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1.214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1.195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1,0x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1.787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1.002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-47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-0,0x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1.443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778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3.980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5,1x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1.204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331%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Sí (sáb.)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LTM); Yuho FY2/2022-26 p.2]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El OCF anual no sirve para analizar la empresa</w:t>
      </w:r>
      <w:r>
        <w:rPr>
          <w:b w:val="0"/>
          <w:i w:val="0"/>
        </w:rPr>
        <w:t xml:space="preserve">: está dominado por el calendario de cobros y pagos. FY2/2020 (+3.557) y FY2/2026 (+3.980) están inflados por pagos a proveedores desplazados; FY2/2022 (−2.311) es la reversión del cierre en domingo de feb-2021. Lo significativo es la </w:t>
      </w:r>
      <w:r>
        <w:rPr>
          <w:b/>
          <w:i w:val="0"/>
        </w:rPr>
        <w:t>suma de varios años</w:t>
      </w:r>
      <w:r>
        <w:rPr>
          <w:b w:val="0"/>
          <w:i w:val="0"/>
        </w:rPr>
        <w:t>.</w:t>
      </w:r>
    </w:p>
    <w:p>
      <w:r>
        <w:rPr>
          <w:b w:val="0"/>
          <w:i w:val="0"/>
          <w:color w:val="1F4E79"/>
          <w:sz w:val="19"/>
        </w:rPr>
        <w:t>💡 ESTIMACIÓN / CÁLCULO PROPIO: OCF acumulado FY2/2019-2026 = 7.320 M JPY frente a un BN acumulado de 4.144 → conversión del 177%, inflada por el cierre de feb-2026. Excluyendo FY2/2026: OCF FY2/2019-25 = 3.340 vs BN 3.366 (conversión del 99%).</w:t>
      </w:r>
    </w:p>
    <w:p>
      <w:pPr>
        <w:pStyle w:val="Heading2"/>
      </w:pPr>
      <w:r>
        <w:t>Detalle de FY2/2026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Partida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 JPY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Bº antes de impuestos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1.167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+ Amortización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Δ Clientes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−2.234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Δ Existencias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−235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Δ Proveedores (efecto festivo)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+5.208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Δ Acreedores varios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+647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Otros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−148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Subtotal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4.499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Intereses y dividendos netos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Impuestos pagados (netos)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−482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Reestructuración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OCF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3.980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p.58]</w:t>
      </w:r>
    </w:p>
    <w:p>
      <w:pPr>
        <w:pStyle w:val="Heading1"/>
      </w:pPr>
      <w:r>
        <w:t>6.2 Free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OCF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CapEx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FCF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Margen FCF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FCF yield (cap. actual)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FCF/BN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-345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-373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-0,46%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-7,4%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n.s.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3.557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3.530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4,34%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69,6%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75,1x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535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511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0,60%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2,1x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-2.311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-56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-2.367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-2,57%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-46,7%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-8,2x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756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720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0,74%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14,2%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1,2x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1.195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-41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1.154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1,07%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22,8%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1,0x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-47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-97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-0,09%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-1,9%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-0,1x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3.980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3.753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3,55%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74,0%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4,8x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FCF = OCF − CapEx (material + inmaterial). FCF yield = FCF / capitalización actual (835 × 6.072.421 acciones = 5.070 M JPY).</w:t>
      </w:r>
    </w:p>
    <w:p>
      <w:pPr>
        <w:pStyle w:val="Heading2"/>
      </w:pPr>
      <w:r>
        <w:t>💡 FCF NORMALIZADO y FCF yield sobre normalizado (obligatorio)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Cálculo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FCF normalizado (M JPY)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A. Media de 7 años (FY2/2019-25)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Suma del FCF de FY2/2019-25 = 3.078 / 7 (el ciclo festivo feb-2021/feb-2022 se compensa)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440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B. Media de 8 años ajustada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FCF FY2/2019-26 (6.831) − exceso de proveedores por el festivo de feb-2026 (≈2.970) = 3.861 / 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483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C. NOPAT de mitad de ciclo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BO normalizado 1.000 × (1 − 34%) = 660 + amortización 90 − CapEx 150 − Δ circulante por crecimiento (3% × 8,5% × 106.000 ≈ 270) + resultado financiero neto ≈ +10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340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Base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Media de A, B y C = (440 + 483 + 340)/3 ≈ 421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≈420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Conservador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Optimista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FCF normalizado (M 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420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FCF normalizado por acción (JPY)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49,4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69,2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90,6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FCF yield sobre capitalización (5.070 M 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5,9%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8,3%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10,8%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EV normalizado (cap. − caja neta normalizada 1.500) = 3.570 M JPY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FCF yield sobre EV normalizado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8,4%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11,8%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15,4%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P/FCF normalizado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16,9x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12,1x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9,2x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FCF yield normalizado (base) = 420 / 5.070 = 8,3%. Escenario conservador: BO de 700 (nivel del LTM de 912 con más presión). Optimista: BO de 1.250 (recuperación al margen de 1,2%).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FCF yield normalizado ≈8,3% sobre capitalización</w:t>
            </w:r>
            <w:r>
              <w:rPr>
                <w:b w:val="0"/>
                <w:i w:val="0"/>
              </w:rPr>
              <w:t xml:space="preserve"> (rango 5,9%-10,8%) y </w:t>
            </w:r>
            <w:r>
              <w:rPr>
                <w:b/>
                <w:i w:val="0"/>
              </w:rPr>
              <w:t>≈11,8% sobre EV normalizado</w:t>
            </w:r>
            <w:r>
              <w:rPr>
                <w:b w:val="0"/>
                <w:i w:val="0"/>
              </w:rPr>
              <w:t xml:space="preserve">: atractivo para una empresa sin deuda. 🔴 </w:t>
            </w:r>
            <w:r>
              <w:rPr>
                <w:b/>
                <w:i w:val="0"/>
              </w:rPr>
              <w:t>Condición:</w:t>
            </w:r>
            <w:r>
              <w:rPr>
                <w:b w:val="0"/>
                <w:i w:val="0"/>
              </w:rPr>
              <w:t xml:space="preserve"> que el BO vuelva a ≈1.000 M JPY. Si el 1T FY2/2027 (BO de 8) refleja una nueva normalidad, el FCF normalizado caería a ≈100-150 M JPY (yield del 2-3%).</w:t>
            </w:r>
          </w:p>
        </w:tc>
      </w:tr>
    </w:tbl>
    <w:p/>
    <w:p>
      <w:pPr>
        <w:pStyle w:val="Heading1"/>
      </w:pPr>
      <w:r>
        <w:t>6.3 Cash Burn Rate</w:t>
      </w:r>
    </w:p>
    <w:p>
      <w:r>
        <w:rPr>
          <w:b w:val="0"/>
          <w:i w:val="0"/>
        </w:rPr>
        <w:t>No aplica: la empresa es FCF positiva en el ciclo (FCF acumulado de 8 años de +6.831 M JPY, ≈+3.860 ajustado). En el peor ejercicio (FY2/2022, efecto calendario) el FCF fue de −2.367 M JPY, cubierto con préstamos bancarios a corto (+1.700).</w:t>
      </w:r>
    </w:p>
    <w:p>
      <w:pPr>
        <w:pStyle w:val="Heading1"/>
      </w:pPr>
      <w:r>
        <w:t>6.4 Sostenibilidad de las Operaciones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Fuente / necesidad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 JPY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Caja (may-2026)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7.567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Inflada por el cierre en domingo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Caja normalizada (estimada)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≈4.000-5.000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Deuda bancaria a corto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3.625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Renovable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Dividendo anual (30 JPY)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≈182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Cubierto ≈4x por el BN previsto (758)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CapEx anual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≈150-300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Asset-light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Alquileres no cancelables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742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Compromisos de leasing operativo</w:t>
            </w:r>
          </w:p>
        </w:tc>
      </w:tr>
    </w:tbl>
    <w:p/>
    <w:p>
      <w:r>
        <w:rPr>
          <w:b w:val="0"/>
          <w:i w:val="0"/>
        </w:rPr>
        <w:t xml:space="preserve">🟢 </w:t>
      </w:r>
      <w:r>
        <w:rPr>
          <w:b/>
          <w:i w:val="0"/>
        </w:rPr>
        <w:t>Sostenible</w:t>
      </w:r>
      <w:r>
        <w:rPr>
          <w:b w:val="0"/>
          <w:i w:val="0"/>
        </w:rPr>
        <w:t xml:space="preserve">: sin vencimientos a largo plazo ni CapEx relevante; las necesidades son de circulante, financiadas por proveedores y bancos. 🟡 El riesgo es de </w:t>
      </w:r>
      <w:r>
        <w:rPr>
          <w:b/>
          <w:i w:val="0"/>
        </w:rPr>
        <w:t>rentabilidad</w:t>
      </w:r>
      <w:r>
        <w:rPr>
          <w:b w:val="0"/>
          <w:i w:val="0"/>
        </w:rPr>
        <w:t>, no de liquidez.</w:t>
      </w:r>
    </w:p>
    <w:p>
      <w:pPr>
        <w:pStyle w:val="Heading1"/>
      </w:pPr>
      <w:r>
        <w:t>6.5 CapEx y FCF: mantenimiento vs crecimiento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CapEx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💡 Mantenimiento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💡 Crecimiento/sistemas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FCF reportado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«Owner earnings» (BN + D&amp;A − mant.)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-2.367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626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1.154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1.240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-97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1.035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3.753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778</w:t>
            </w:r>
          </w:p>
        </w:tc>
      </w:tr>
    </w:tbl>
    <w:p/>
    <w:p>
      <w:r>
        <w:rPr>
          <w:b w:val="0"/>
          <w:i w:val="0"/>
        </w:rPr>
        <w:t xml:space="preserve">🟢 El CapEx de mantenimiento es mínimo (≈50-90 M JPY). Los «owner earnings» (sin circulante) siguen al BN: 288 → 590 → 1.214 → 1.002 → 778. La caída de 2025-26 se debe al </w:t>
      </w:r>
      <w:r>
        <w:rPr>
          <w:b/>
          <w:i w:val="0"/>
        </w:rPr>
        <w:t>beneficio</w:t>
      </w:r>
      <w:r>
        <w:rPr>
          <w:b w:val="0"/>
          <w:i w:val="0"/>
        </w:rPr>
        <w:t>, no a la inversión.</w:t>
      </w:r>
    </w:p>
    <w:p>
      <w:pPr>
        <w:pStyle w:val="Heading1"/>
      </w:pPr>
      <w:r>
        <w:t>Conclusión de la Sección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🟢 Negocio </w:t>
            </w:r>
            <w:r>
              <w:rPr>
                <w:b/>
                <w:i w:val="0"/>
              </w:rPr>
              <w:t>asset-light con CapEx mínimo</w:t>
            </w:r>
            <w:r>
              <w:rPr>
                <w:b w:val="0"/>
                <w:i w:val="0"/>
              </w:rPr>
              <w:t xml:space="preserve"> y FCF normalizado de ≈420 M JPY (</w:t>
            </w:r>
            <w:r>
              <w:rPr>
                <w:b/>
                <w:i w:val="0"/>
              </w:rPr>
              <w:t>FCF yield normalizado del 8,3%</w:t>
            </w:r>
            <w:r>
              <w:rPr>
                <w:b w:val="0"/>
                <w:i w:val="0"/>
              </w:rPr>
              <w:t>). 🔴 El OCF anual está distorsionado por el calendario: hay que mirar medias de varios años. 🔴 La sostenibilidad del FCF normalizado depende de que el margen operativo vuelva a ≈1%; el 1T FY2/2027 lo pone en duda.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