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Management y Governance - Echo Trading Co (7427) - 3/10/2026</w:t>
      </w:r>
    </w:p>
    <w:p>
      <w:r>
        <w:rPr>
          <w:b w:val="0"/>
          <w:i/>
          <w:color w:val="1F3A5F"/>
          <w:sz w:val="18"/>
        </w:rPr>
        <w:t>Análisis de Inversión - Echo Trading Co (7427) - 3/10/2026 · Sección 7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fin de febrero (FY2/2026 = mar-2025 a feb-2026). Precio de referencia: </w:t>
      </w:r>
      <w:r>
        <w:rPr>
          <w:b/>
          <w:i w:val="0"/>
          <w:sz w:val="18"/>
        </w:rPr>
        <w:t>835 JPY</w:t>
      </w:r>
      <w:r>
        <w:rPr>
          <w:b w:val="0"/>
          <w:i w:val="0"/>
          <w:sz w:val="18"/>
        </w:rPr>
        <w:t xml:space="preserve"> (última cotización localizada, Investing.com, oct-2026; 839 JPY el 28-ago-2026; rango 52 semanas 811-958 JPY).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7.1 Historia de la Compañía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Periodo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Relevancia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1971-1992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Fundación (Echo Hanbai) y red nacional; fusión de 1992 y nuevo nombre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Empresa fundada por emprendedores de Osaka; la familia Takahashi sigue entre los principales accionistas ⚠️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1995-2005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Salida a bolsa en Osaka y Tokio; 1.ª sección en 2005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Etapa de expansión logística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2013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Kokubu entra como primer accionista (18,31%)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Ancla estratégica; consejero de Kokubu en el consejo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2016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Minoru Toyoda (ex Nisshin Seifun Premix) es nombrado presidente tras un año como responsable de la «reforma de gestión»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Gestor profesional externo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2016-2026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BO de ≈70-100 M JPY (FY2/2019-20) → máximo de 1.720 (FY2/2024) → 1.110 (FY2/2026)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Recuperación y nueva erosión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2026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Nuevo plan a medio plazo y nueva retribución variable ligada al BO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Inicio de un nuevo ciclo estratégico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p.4-5 y p.34-36]</w:t>
      </w:r>
    </w:p>
    <w:p>
      <w:pPr>
        <w:pStyle w:val="Heading1"/>
      </w:pPr>
      <w:r>
        <w:t>7.2 Equipo Directivo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Cargo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Nacimiento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Trayectoria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Acciones (miles)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% capital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Minoru Toyoda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Presidente y consejero delegado (desde mar-2016); presidente de Pets Value e I&amp;I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1955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Nisshin Seifun Premix (2012); en Echo desde 2015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94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1,56%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Koji Umezawa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Consejero ejecutivo, director comercial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1971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En la empresa desde 1994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0,33%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Yoshiharu Ono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Consejero ejecutivo: estrategia, contabilidad, sistemas y finanzas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1975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En la empresa desde 2003 (antes, notario)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0,25%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Yukihisa Kato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Consejero ejecutivo: personas, asuntos generales y formación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1976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En la empresa desde 1999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0,23%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Fumitaka Shinada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Consejero externo (</w:t>
            </w:r>
            <w:r>
              <w:rPr>
                <w:b/>
                <w:i w:val="0"/>
                <w:sz w:val="15"/>
              </w:rPr>
              <w:t>directivo de Kokubu</w:t>
            </w:r>
            <w:r>
              <w:rPr>
                <w:b w:val="0"/>
                <w:i w:val="0"/>
                <w:sz w:val="15"/>
              </w:rPr>
              <w:t>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1964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Kokubu desde 1988; director ejecutivo de Kokubu Group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Takemasa Hirafuji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Consejero, miembro permanente del comité de auditoría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1958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Sugi Yakkyoku; Echo desde 2005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0,02%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Yutaka Konishi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Consejero externo, comité de auditoría (CPA)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1968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Auditor de Echo desde 2004</w:t>
            </w:r>
            <w:r>
              <w:rPr>
                <w:b w:val="0"/>
                <w:i w:val="0"/>
                <w:sz w:val="15"/>
              </w:rPr>
              <w:t xml:space="preserve"> (22 años)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Yukinori Furukawa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Consejero externo, comité de auditoría (abogado)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1974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Auditor de Echo desde 2009</w:t>
            </w:r>
            <w:r>
              <w:rPr>
                <w:b w:val="0"/>
                <w:i w:val="0"/>
                <w:sz w:val="15"/>
              </w:rPr>
              <w:t xml:space="preserve"> (17 años)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—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5"/>
              </w:rPr>
              <w:t>Total consejo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145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2,4%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p.30 y p.34-36]</w:t>
      </w:r>
    </w:p>
    <w:p>
      <w:r>
        <w:rPr>
          <w:b w:val="0"/>
          <w:i w:val="0"/>
        </w:rPr>
        <w:t xml:space="preserve">🟡 Consejo de 8 hombres (0% mujeres), con 3 externos de los que </w:t>
      </w:r>
      <w:r>
        <w:rPr>
          <w:b/>
          <w:i w:val="0"/>
        </w:rPr>
        <w:t>solo 2 son independientes</w:t>
      </w:r>
      <w:r>
        <w:rPr>
          <w:b w:val="0"/>
          <w:i w:val="0"/>
        </w:rPr>
        <w:t xml:space="preserve">, y ambos con una antigüedad muy larga (17-22 años). Esto </w:t>
      </w:r>
      <w:r>
        <w:rPr>
          <w:b/>
          <w:i w:val="0"/>
        </w:rPr>
        <w:t>debilita su independencia real</w:t>
      </w:r>
      <w:r>
        <w:rPr>
          <w:b w:val="0"/>
          <w:i w:val="0"/>
        </w:rPr>
        <w:t xml:space="preserve"> según los criterios internacionales. 🟢 El consejo se reúne mensualmente y existen comités de sostenibilidad y de riesgos. 🔴 El departamento de auditoría interna tiene </w:t>
      </w:r>
      <w:r>
        <w:rPr>
          <w:b/>
          <w:i w:val="0"/>
        </w:rPr>
        <w:t>una sola persona</w:t>
      </w:r>
      <w:r>
        <w:rPr>
          <w:b w:val="0"/>
          <w:i w:val="0"/>
        </w:rPr>
        <w:t>.</w:t>
      </w:r>
    </w:p>
    <w:p>
      <w:r>
        <w:rPr>
          <w:b w:val="0"/>
          <w:i/>
          <w:color w:val="555555"/>
          <w:sz w:val="17"/>
        </w:rPr>
        <w:t>[Fuente: Yuho FY2/2026 (F_2025.pdf, 26-may-2026), p.30 y p.42]</w:t>
      </w:r>
    </w:p>
    <w:p>
      <w:pPr>
        <w:pStyle w:val="Heading1"/>
      </w:pPr>
      <w:r>
        <w:t>7.3 Estructura de Propiedad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Accionista (28-feb-2026)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Miles de acciones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%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Naturaleza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Evolución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Kokubu Group Honsha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1.105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18,20%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Socio estratégico, proveedor (sociedad vinculada)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Estable desde 2013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Kazuhiko Takahashi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380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6,26%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Particular (Ashiya) ⚠️ probable familia fundadora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↓ desde 480 (feb-2022)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Echo Trading Kyoeikai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342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5,63%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Asociación de proveedores-accionistas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↑ desde 325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Itochu Corp.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220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3,62%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Trading general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Estable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Kenta Iwami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143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Particular (Tokio)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Nuevo en el top 10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TR K.K.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2,13%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Sociedad patrimonial (Ashiya) ⚠️ vinculada a la familia Takahashi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Estable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Plan de accionariado de empleados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1,92%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Empleados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↑ desde 76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Akihiro Takahashi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1,65%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Particular (Ashiya) ⚠️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Estable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Minoru Toyoda (presidente)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1,56%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Directivo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↑ desde 64 (acciones restringidas)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Akira Kasahara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1,29%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Particular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Nuevo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Top 10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2.709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44,61%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 p.26; Yuho FY2/2022 (F_2021.pdf, 26-may-2022) p.19; Yuho FY2/2024 (F_2023.pdf, 23-may-2024) p.27]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Tipo de accionista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% feb-2026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Instituciones financieras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0,39%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Sociedades de valores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2,93%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Otras sociedades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30,54%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Extranjeros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2,97%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Particulares y otros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62,95%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N.º de accionistas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3.698 (+922 con menos de 100 acciones)</w:t>
            </w:r>
          </w:p>
        </w:tc>
      </w:tr>
    </w:tbl>
    <w:p/>
    <w:p>
      <w:r>
        <w:rPr>
          <w:b/>
          <w:i w:val="0"/>
        </w:rPr>
        <w:t>Lectura:</w:t>
      </w:r>
      <w:r>
        <w:rPr>
          <w:b w:val="0"/>
          <w:i w:val="0"/>
        </w:rPr>
        <w:t xml:space="preserve"> 🟡 base accionarial de </w:t>
      </w:r>
      <w:r>
        <w:rPr>
          <w:b/>
          <w:i w:val="0"/>
        </w:rPr>
        <w:t>particulares (63%)</w:t>
      </w:r>
      <w:r>
        <w:rPr>
          <w:b w:val="0"/>
          <w:i w:val="0"/>
        </w:rPr>
        <w:t xml:space="preserve"> y socios estratégicos (Kokubu + Itochu + Kyoeikai ≈ 27%), con casi nula presencia institucional (0,4%) y extranjera (3%). 🔴 Iliquidez y nula cobertura de analistas. 🟢 </w:t>
      </w:r>
      <w:r>
        <w:rPr>
          <w:b/>
          <w:i w:val="0"/>
        </w:rPr>
        <w:t>Kokubu (18,2%) + Itochu (3,6%) suman ≈22%</w:t>
      </w:r>
      <w:r>
        <w:rPr>
          <w:b w:val="0"/>
          <w:i w:val="0"/>
        </w:rPr>
        <w:t xml:space="preserve">. En un sector donde Mitsubishi Corp, Itochu y Medipal han comprado el resto de sus filiales cotizadas (2025-2026), es un </w:t>
      </w:r>
      <w:r>
        <w:rPr>
          <w:b/>
          <w:i w:val="0"/>
        </w:rPr>
        <w:t>catalizador potencial</w:t>
      </w:r>
      <w:r>
        <w:rPr>
          <w:b w:val="0"/>
          <w:i w:val="0"/>
        </w:rPr>
        <w:t xml:space="preserve"> ⚠️ (no hay ningún anuncio).</w:t>
      </w:r>
    </w:p>
    <w:p>
      <w:pPr>
        <w:pStyle w:val="Heading1"/>
      </w:pPr>
      <w:r>
        <w:t>7.4 Situación Financiera del Controlador</w:t>
      </w:r>
    </w:p>
    <w:p>
      <w:r>
        <w:rPr>
          <w:b w:val="0"/>
          <w:i w:val="0"/>
        </w:rPr>
        <w:t xml:space="preserve">No hay sociedad matriz. </w:t>
      </w:r>
      <w:r>
        <w:rPr>
          <w:b/>
          <w:i w:val="0"/>
        </w:rPr>
        <w:t>Kokubu Group Honsha</w:t>
      </w:r>
      <w:r>
        <w:rPr>
          <w:b w:val="0"/>
          <w:i w:val="0"/>
        </w:rPr>
        <w:t xml:space="preserve"> (privada, Tokio, capital de 3.500 M JPY) es el mayor distribuidor independiente de alimentación y bebidas de Japón, con ventas de ≈2 billones de JPY ⚠️. Su capacidad financiera para comprar el resto de Echo (≈4.100 M JPY a precio de mercado por el 81,8% restante) es holgada. ⚠️ No hay datos financieros auditados de Kokubu en los documentos adjuntos.</w:t>
      </w:r>
    </w:p>
    <w:p>
      <w:r>
        <w:rPr>
          <w:b w:val="0"/>
          <w:i/>
          <w:color w:val="555555"/>
          <w:sz w:val="17"/>
        </w:rPr>
        <w:t>[Fuente: Yuho FY2/2026 (F_2025.pdf, 26-may-2026), p.77 (関連当事者情報)]</w:t>
      </w:r>
    </w:p>
    <w:p>
      <w:pPr>
        <w:pStyle w:val="Heading1"/>
      </w:pPr>
      <w:r>
        <w:t>7.5 Track Record del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Antes / inicio (FY2/2019-20)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Máximo (FY2/2024)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Actual (FY2/2026)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1T FY2/2027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Ventas (M JPY)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81.054-81.387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107.406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105.811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27.285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BO (M JPY)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69-94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1.720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1.110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Margen operativo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1,05%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ROE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≈−0,2% a 0,5%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12,0%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6,6%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Dividendo por acción (JPY)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33 (incl. 5 extra)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 (prev.)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Valor contable por acción (JPY)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≈1.448-1.465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1.780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2.005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1.977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cuentas.xlsx (TIKR, FY2/2019-FY2/2026 y LTM); Yuho FY2/2024 y FY2/2026; Kessan Tanshin 1T FY2/2027 (Q1_2026.pdf, 10-jul-2026)]</w:t>
      </w:r>
    </w:p>
    <w:p>
      <w:r>
        <w:rPr>
          <w:b w:val="0"/>
          <w:i w:val="0"/>
        </w:rPr>
        <w:t xml:space="preserve">🟢 Bajo Toyoda (2016-), la empresa pasó de un beneficio casi nulo a un máximo de 1.720 M JPY (con ayuda de las subidas de precio de 2022-24) y el valor contable por acción creció ≈+4,6% anual. 🔴 Desde FY2/2024 el beneficio cae (−35%) y el plan «I3☆55» terminó con incumplimientos de la previsión en FY2/2025 y FY2/2026. 🟡 Con 71 años, </w:t>
      </w:r>
      <w:r>
        <w:rPr>
          <w:b/>
          <w:i w:val="0"/>
        </w:rPr>
        <w:t>la sucesión del presidente</w:t>
      </w:r>
      <w:r>
        <w:rPr>
          <w:b w:val="0"/>
          <w:i w:val="0"/>
        </w:rPr>
        <w:t xml:space="preserve"> es un tema abierto.</w:t>
      </w:r>
    </w:p>
    <w:p>
      <w:pPr>
        <w:pStyle w:val="Heading1"/>
      </w:pPr>
      <w:r>
        <w:t>7.6 Insider Ownership y transacciones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Acciones FY2/2024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Acciones FY2/2026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Cambio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Origen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Minoru Toyoda (presidente)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64.000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94.000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+30.000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Acciones restringidas (2024: 15.000 a 1.263 JPY; 2025: 15.000 a 928 JPY)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Kazuhiko Takahashi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380.000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380.000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(−100.000 entre feb-2022 y feb-2024)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Consejeros ejecutivos (conjunto)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≈143.000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Acciones restringidas de 39.000 por año (2024 y 2025)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 p.25 (emisión de acciones restringidas) y p.77 (Toyoda: 18,9 M JPY en 2024 y 13,9 M JPY en 2025); Yuho FY2/2024 (F_2023.pdf, 23-may-2024) p.27]</w:t>
      </w:r>
    </w:p>
    <w:p>
      <w:r>
        <w:rPr>
          <w:b w:val="0"/>
          <w:i w:val="0"/>
        </w:rPr>
        <w:t xml:space="preserve">🟡 </w:t>
      </w:r>
      <w:r>
        <w:rPr>
          <w:b/>
          <w:i w:val="0"/>
        </w:rPr>
        <w:t>No hay compras en mercado</w:t>
      </w:r>
      <w:r>
        <w:rPr>
          <w:b w:val="0"/>
          <w:i w:val="0"/>
        </w:rPr>
        <w:t xml:space="preserve"> de los consejeros: el aumento viene de las acciones restringidas. 🔴 La venta de 100.000 acciones por el probable accionista fundador (2022-24, a precios de ≈600-1.600 JPY) no es una señal positiva, aunque puede responder a planificación patrimonial.</w:t>
      </w:r>
    </w:p>
    <w:p>
      <w:pPr>
        <w:pStyle w:val="Heading1"/>
      </w:pPr>
      <w:r>
        <w:t>7.7 Incentivos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Situación FY2/2026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Cambio previsto (junta de 27-may-2026)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Alineación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Retribución de 4 consejeros ejecutivos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127,7 M JPY (fijo 91,7 + acciones restringidas 36,1); bonus 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Límite de 400 M JPY/año (antes 360)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Bonus ligado a resultados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No había en FY2/2026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Nuevo bonus</w:t>
            </w:r>
            <w:r>
              <w:rPr>
                <w:b w:val="0"/>
                <w:i w:val="0"/>
                <w:sz w:val="16"/>
              </w:rPr>
              <w:t xml:space="preserve">: 10-50% del fijo si el BO alcanza el 85-120% de la </w:t>
            </w:r>
            <w:r>
              <w:rPr>
                <w:b/>
                <w:i w:val="0"/>
                <w:sz w:val="16"/>
              </w:rPr>
              <w:t>previsión publicada a principio de año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Incentiva previsiones conservadoras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Acciones restringidas (RS)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39.000 acciones/año; restricción de </w:t>
            </w:r>
            <w:r>
              <w:rPr>
                <w:b/>
                <w:i w:val="0"/>
                <w:sz w:val="16"/>
              </w:rPr>
              <w:t>50 años</w:t>
            </w:r>
            <w:r>
              <w:rPr>
                <w:b w:val="0"/>
                <w:i w:val="0"/>
                <w:sz w:val="16"/>
              </w:rPr>
              <w:t xml:space="preserve"> (hasta la salida)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Límite de 70 M JPY/año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Alineación a largo plazo con el accionista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Stock options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Ninguna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Quién decide la retribución individual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El presidente, por delegación del consejo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Autorreferencial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p.44-46]</w:t>
      </w:r>
    </w:p>
    <w:p>
      <w:r>
        <w:rPr>
          <w:b w:val="0"/>
          <w:i w:val="0"/>
        </w:rPr>
        <w:t xml:space="preserve">🔴 </w:t>
      </w:r>
      <w:r>
        <w:rPr>
          <w:b/>
          <w:i w:val="0"/>
        </w:rPr>
        <w:t>Red flag de diseño</w:t>
      </w:r>
      <w:r>
        <w:rPr>
          <w:b w:val="0"/>
          <w:i w:val="0"/>
        </w:rPr>
        <w:t xml:space="preserve">: ligar el bonus a la </w:t>
      </w:r>
      <w:r>
        <w:rPr>
          <w:b/>
          <w:i w:val="0"/>
        </w:rPr>
        <w:t>propia previsión</w:t>
      </w:r>
      <w:r>
        <w:rPr>
          <w:b w:val="0"/>
          <w:i w:val="0"/>
        </w:rPr>
        <w:t xml:space="preserve"> de la dirección (y no a un objetivo externo o al ROE/ROIC) incentiva a fijar previsiones bajas. 🟢 Las acciones restringidas a 50 años sí alinean con el precio a largo plazo: el presidente ya tiene ≈78 M JPY en acciones (94.000 × 835).</w:t>
      </w:r>
    </w:p>
    <w:p>
      <w:pPr>
        <w:pStyle w:val="Heading1"/>
      </w:pPr>
      <w:r>
        <w:t>7.8 Red Flags de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Señal de alerta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¿Presente?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Comentario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Incumplimiento repetido de previsiones sin revisión previa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Sí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FY2/2026: Bº ordinario previsto de 1.459 mantenido el 9-ene-2026; real de 1.107 (−24%); no se localizó revisión antes del cierre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Auditor con mandato excesivo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Sí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 xml:space="preserve">Deloitte Tohmatsu, </w:t>
            </w:r>
            <w:r>
              <w:rPr>
                <w:b/>
                <w:i w:val="0"/>
                <w:sz w:val="16"/>
              </w:rPr>
              <w:t>33 años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Independientes con antigüedad excesiva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Sí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17 y 22 años de vinculación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Accionista-proveedor con consejero en el consejo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Sí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Kokubu: compras de 10.822 M JPY «a condiciones de mercado»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Participaciones en clientes (政策保有株式)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Sí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14 cotizadas por 785 M JPY, y en aumento vía asociaciones de proveedores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Auditoría interna insuficiente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Sí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 persona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Bonus ligado a la previsión propia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Sí (desde 2026)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Ver 7.7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Salvedades del auditor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No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Opinión limpia; KAM sobre rappels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Dilución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Mínima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+0,65% por año en acciones restringidas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Transacciones vinculadas relevantes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Kokubu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Divulgadas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p.42, p.47, p.77, p.94; búsquedas Kabutan/Monex del 3-oct-2026 (previsión y su mantenimiento el 9-ene-2026)]</w:t>
      </w:r>
    </w:p>
    <w:p>
      <w:pPr>
        <w:pStyle w:val="Heading1"/>
      </w:pPr>
      <w:r>
        <w:t>7.9 Calidad de la Información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Evaluación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Informes legales (Yuho y Tanshin)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🟢 Completos y en plazo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Presentación de resultados / conferencia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No («補足説明資料 無 / 説明会 無»)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Objetivos cuantitativos del plan a medio plazo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No figuran en el Yuho; solo una referencia genérica a «objetivos numéricos»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Desglose por canal y cliente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🟡 Solo producto y clientes &gt;10%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Explicación del efecto festivo en el balance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🟢 Sí (buena práctica)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Información en inglés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Muy limitada ⚠️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Puntuación global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🟡 4/10</w:t>
            </w:r>
          </w:p>
        </w:tc>
      </w:tr>
    </w:tbl>
    <w:p/>
    <w:p>
      <w:pPr>
        <w:pStyle w:val="Heading1"/>
      </w:pPr>
      <w:r>
        <w:t>7.10 Guidance y Cumplimiento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Previsión inicial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Revisión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Real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Desviación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«Menor crecimiento del beneficio» (cifra no localizada)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BO 1.720 / Bº ord. 1.745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Muy por encima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 Supera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Bº ordinario 1.780 (+2,5%)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No localizada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1.370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−23%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Incumple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BO ≈1.450 / Bº ordinario 1.459 (+6,6%)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Mantenida el 9-ene-2026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BO 1.110 / Bº ord. 1.107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−24%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Incumple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Ventas 110.000 / BO 1.150 / BN 758 (1S: BO 555)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Mantenida el 10-jul-2026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1T: BO 8 (1,4% del 1S)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Riesgo muy alto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Kabutan: «今期経常は3％増で2期連続最高益更新へ» (5-abr-2024), «今期経常は7％増益へ» (11-abr-2025), «今期経常は4％増益へ» (10-abr-2026); Monex Scouter (9-ene-2026); Kessan Tanshin 1T FY2/2027 (Q1_2026.pdf, 10-jul-2026)]</w:t>
      </w:r>
    </w:p>
    <w:p>
      <w:r>
        <w:rPr>
          <w:b w:val="0"/>
          <w:i w:val="0"/>
        </w:rPr>
        <w:t xml:space="preserve">🔴 </w:t>
      </w:r>
      <w:r>
        <w:rPr>
          <w:b/>
          <w:i w:val="0"/>
        </w:rPr>
        <w:t>Credibilidad baja de la previsión</w:t>
      </w:r>
      <w:r>
        <w:rPr>
          <w:b w:val="0"/>
          <w:i w:val="0"/>
        </w:rPr>
        <w:t xml:space="preserve">: dos incumplimientos seguidos de ≈−24% y un 1T FY2/2027 que deja la nueva previsión en entredicho. La norma de la TSE exige revisar la previsión cuando el beneficio se desvía ≥30%. Las desviaciones de ≈24% han quedado </w:t>
      </w:r>
      <w:r>
        <w:rPr>
          <w:b/>
          <w:i w:val="0"/>
        </w:rPr>
        <w:t>justo por debajo</w:t>
      </w:r>
      <w:r>
        <w:rPr>
          <w:b w:val="0"/>
          <w:i w:val="0"/>
        </w:rPr>
        <w:t xml:space="preserve"> de ese umbral, lo que permitió no revisar.</w:t>
      </w:r>
    </w:p>
    <w:p>
      <w:pPr>
        <w:pStyle w:val="Heading1"/>
      </w:pPr>
      <w:r>
        <w:t>Conclusión de la Sección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i w:val="0"/>
              </w:rPr>
              <w:t xml:space="preserve">🟡/🔴 </w:t>
            </w:r>
            <w:r>
              <w:rPr>
                <w:b/>
                <w:i w:val="0"/>
              </w:rPr>
              <w:t>Gobierno corporativo mejorable</w:t>
            </w:r>
            <w:r>
              <w:rPr>
                <w:b w:val="0"/>
                <w:i w:val="0"/>
              </w:rPr>
              <w:t xml:space="preserve">: dirección profesional con un buen recorrido 2016-2024, pero previsiones poco fiables, independientes con antigüedad excesiva, auditoría interna mínima y un nuevo bonus que premia batir la propia previsión. 🟢 Las acciones restringidas a 50 años alinean al equipo, y la presencia de Kokubu (18,2%) e Itochu (3,6%) abre la puerta a una </w:t>
            </w:r>
            <w:r>
              <w:rPr>
                <w:b/>
                <w:i w:val="0"/>
              </w:rPr>
              <w:t>operación corporativa</w:t>
            </w:r>
            <w:r>
              <w:rPr>
                <w:b w:val="0"/>
                <w:i w:val="0"/>
              </w:rPr>
              <w:t xml:space="preserve"> en un sector en plena consolidación.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