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Dividendos y Recompras - Echo Trading Co (7427) - 3/10/2026</w:t>
      </w:r>
    </w:p>
    <w:p>
      <w:r>
        <w:rPr>
          <w:b w:val="0"/>
          <w:i/>
          <w:color w:val="1F3A5F"/>
          <w:sz w:val="18"/>
        </w:rPr>
        <w:t>Análisis de Inversión - Echo Trading Co (7427) - 3/10/2026 · Sección 8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fin de febrero (FY2/2026 = mar-2025 a feb-2026). Precio de referencia: </w:t>
      </w:r>
      <w:r>
        <w:rPr>
          <w:b/>
          <w:i w:val="0"/>
          <w:sz w:val="18"/>
        </w:rPr>
        <w:t>835 JPY</w:t>
      </w:r>
      <w:r>
        <w:rPr>
          <w:b w:val="0"/>
          <w:i w:val="0"/>
          <w:sz w:val="18"/>
        </w:rPr>
        <w:t xml:space="preserve"> (última cotización localizada, Investing.com, oct-2026; 839 JPY el 28-ago-2026; rango 52 semanas 811-958 JPY).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8.1 Política de Dividendos</w:t>
      </w:r>
    </w:p>
    <w:p>
      <w:r>
        <w:rPr>
          <w:b w:val="0"/>
          <w:i w:val="0"/>
        </w:rPr>
        <w:t xml:space="preserve">🔍 Política declarada: «mantener el dividendo actual como base, con el </w:t>
      </w:r>
      <w:r>
        <w:rPr>
          <w:b/>
          <w:i w:val="0"/>
        </w:rPr>
        <w:t>objetivo de un payout consolidado igual o superior al 30%</w:t>
      </w:r>
      <w:r>
        <w:rPr>
          <w:b w:val="0"/>
          <w:i w:val="0"/>
        </w:rPr>
        <w:t>, y decidir con flexibilidad según las circunstancias». Dos pagos al año (a cuenta en agosto, decidido por el consejo; final en febrero, aprobado por la junta).</w:t>
      </w:r>
    </w:p>
    <w:p>
      <w:r>
        <w:rPr>
          <w:b w:val="0"/>
          <w:i/>
          <w:color w:val="555555"/>
          <w:sz w:val="17"/>
        </w:rPr>
        <w:t>[Fuente: Yuho FY2/2026 (F_2025.pdf, 26-may-2026), p.29 «配当政策»]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DPA (JPY)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BPA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Payout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Dividendos pagados en el año (M JPY)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Yield a 835 JPY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FY2/2019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-2,82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n.s.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2,40%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7,80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256%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2,40%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40,16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2,40%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47,82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46%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2,63%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97,98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24%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138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2,87%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33 (28+5 extra)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201,65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16%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162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3,95%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166,38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18%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3,59%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128,63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23%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181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3,59%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FY2/2027E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 (15+15)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124,81 (prev.) / ≈75 💡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24% / ≈40%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≈182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3,59%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cuentas.xlsx (TIKR, FY2/2019-FY2/2026 y LTM); Yuho FY2/2026 (F_2025.pdf, 26-may-2026) p.3 y p.29; Kessan Tanshin 1T FY2/2027 (Q1_2026.pdf, 10-jul-2026) p.1]</w:t>
      </w:r>
    </w:p>
    <w:p>
      <w:r>
        <w:rPr>
          <w:b w:val="0"/>
          <w:i w:val="0"/>
        </w:rPr>
        <w:t xml:space="preserve">🟢 </w:t>
      </w:r>
      <w:r>
        <w:rPr>
          <w:b/>
          <w:i w:val="0"/>
        </w:rPr>
        <w:t>Dividendo creciente y nunca recortado</w:t>
      </w:r>
      <w:r>
        <w:rPr>
          <w:b w:val="0"/>
          <w:i w:val="0"/>
        </w:rPr>
        <w:t xml:space="preserve"> en 8 años (20 → 30 JPY, CAGR +6%) y </w:t>
      </w:r>
      <w:r>
        <w:rPr>
          <w:b/>
          <w:i w:val="0"/>
        </w:rPr>
        <w:t>yield del 3,6%</w:t>
      </w:r>
      <w:r>
        <w:rPr>
          <w:b w:val="0"/>
          <w:i w:val="0"/>
        </w:rPr>
        <w:t xml:space="preserve">. 🔴 El payout de FY2/2026 (23%) quedó </w:t>
      </w:r>
      <w:r>
        <w:rPr>
          <w:b/>
          <w:i w:val="0"/>
        </w:rPr>
        <w:t>por debajo del objetivo del 30%</w:t>
      </w:r>
      <w:r>
        <w:rPr>
          <w:b w:val="0"/>
          <w:i w:val="0"/>
        </w:rPr>
        <w:t>: con el BPA de 128,63, un 30% equivaldría a 39 JPY. 🟡 Si el BPA de FY2/2027 cae a ≈75 JPY (escenario base propio), los 30 JPY supondrían un payout del ≈40%, todavía cómodo.</w:t>
      </w:r>
    </w:p>
    <w:p>
      <w:pPr>
        <w:pStyle w:val="Heading1"/>
      </w:pPr>
      <w:r>
        <w:t>8.2 Recompras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Ejercicio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Recompra (M JPY)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Acciones en autocartera a cierre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FY2/2019-23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≈10.400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Sin recompras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FY2/2024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70.400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≈60.000 acciones (≈1.370 JPY ⚠️)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FY2/2025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≈39.485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Reducción de la autocartera (destino no detallado ⚠️)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FY2/2026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41.525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+2.040 acciones restringidas recuperadas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1T FY2/2027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42.125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cuentas.xlsx (TIKR, FY2/2019-FY2/2026 y LTM) (recompra 82 M JPY en FY2/2024); Yuho FY2/2022, FY2/2024 y FY2/2026 (自己株式等)]</w:t>
      </w:r>
    </w:p>
    <w:p>
      <w:r>
        <w:rPr>
          <w:b w:val="0"/>
          <w:i w:val="0"/>
        </w:rPr>
        <w:t xml:space="preserve">🔴 </w:t>
      </w:r>
      <w:r>
        <w:rPr>
          <w:b/>
          <w:i w:val="0"/>
        </w:rPr>
        <w:t>Recompras prácticamente inexistentes</w:t>
      </w:r>
      <w:r>
        <w:rPr>
          <w:b w:val="0"/>
          <w:i w:val="0"/>
        </w:rPr>
        <w:t>, a pesar de cotizar a 0,4-0,5x el valor contable. 🟡 La emisión de acciones restringidas añade +39.000 acciones/año (≈0,65% de dilución), así que el número de acciones crece ligeramente.</w:t>
      </w:r>
    </w:p>
    <w:p>
      <w:pPr>
        <w:pStyle w:val="Heading1"/>
      </w:pPr>
      <w:r>
        <w:t>8.3 Capital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Uso del capital (acumulado FY2/2022-26)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 JPY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Flujo operativo (OCF)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3.573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CapEx (material + sistemas)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−410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Venta de la antigua sede (Nishinomiya)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+454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Compra/venta de valores (neto)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+40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Dividendos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−805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Recompras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−82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Variación de la deuda bancaria (2.500 → 1.650)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−850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Otros (minoritarios, leasing)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−135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Variación de caja (4.446 → 6.231)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+1.785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cuentas.xlsx (TIKR, FY2/2019-FY2/2026 y LTM) y estados de flujos de los Yuho FY2/2022-26. Cálculo propio]</w:t>
      </w:r>
    </w:p>
    <w:p>
      <w:r>
        <w:rPr>
          <w:b w:val="0"/>
          <w:i w:val="0"/>
          <w:color w:val="1F4E79"/>
          <w:sz w:val="19"/>
        </w:rPr>
        <w:t>💡 ESTIMACIÓN / CÁLCULO PROPIO: El OCF acumulado está inflado en ≈2.970 M JPY por el cierre en festivo de feb-2026: sin ese efecto, la caja «real» apenas habría variado y la deuda neta habría bajado ≈1.000 M JPY en 5 años.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Opción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Situación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Valoración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Reinversión en el negocio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Mínima (asset-light); sistemas e IA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🟢 Adecuada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M&amp;A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Pequeñas compras de marca (GOODISH)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Dividendo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Yield del 3,6%; payout del 23% &lt; objetivo del 30%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Recompras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82 M JPY en 5 años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Insuficiente a P/B 0,42x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Reducción de deuda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Deuda a corto, variable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🟢</w:t>
            </w:r>
          </w:p>
        </w:tc>
      </w:tr>
    </w:tbl>
    <w:p/>
    <w:p>
      <w:pPr>
        <w:pStyle w:val="Heading1"/>
      </w:pPr>
      <w:r>
        <w:t>Conclusión de la Sección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i w:val="0"/>
              </w:rPr>
              <w:t xml:space="preserve">🟢 </w:t>
            </w:r>
            <w:r>
              <w:rPr>
                <w:b/>
                <w:i w:val="0"/>
              </w:rPr>
              <w:t>Dividendo atractivo y estable (3,6%)</w:t>
            </w:r>
            <w:r>
              <w:rPr>
                <w:b w:val="0"/>
                <w:i w:val="0"/>
              </w:rPr>
              <w:t>, con 8 años sin recortes, bien cubierto en un año normal. 🔴 Sin recompras relevantes ni plan sobre el P/B, y con payout por debajo de su propio objetivo. 🟡 Un aumento del payout o un programa de recompra serían catalizadores, pero la caída del beneficio en FY2/2027 los hace poco probables a corto plazo.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