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 Riesgos (Top 5 priorizados)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9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r>
        <w:rPr>
          <w:b w:val="0"/>
          <w:i w:val="0"/>
        </w:rPr>
        <w:t xml:space="preserve">Riesgos declarados por la empresa (事業等のリスク): (1) desastres naturales y sistemas; (2) seguridad alimentaria de la comida para mascotas; (3) </w:t>
      </w:r>
      <w:r>
        <w:rPr>
          <w:b/>
          <w:i w:val="0"/>
        </w:rPr>
        <w:t>cambios importantes de condiciones comerciales</w:t>
      </w:r>
      <w:r>
        <w:rPr>
          <w:b w:val="0"/>
          <w:i w:val="0"/>
        </w:rPr>
        <w:t xml:space="preserve"> (bajada de precios de venta, subida de los de compra, cambio de mayorista); (4) impago de clientes; (5) evolución del número de mascotas. Abajo se priorizan los que más pesan en la tesis a 6-18 meses.</w:t>
      </w:r>
    </w:p>
    <w:p>
      <w:r>
        <w:rPr>
          <w:b w:val="0"/>
          <w:i/>
          <w:color w:val="555555"/>
          <w:sz w:val="17"/>
        </w:rPr>
        <w:t>[Fuente: Yuho FY2/2026 (F_2025.pdf, 26-may-2026), p.17]</w:t>
      </w:r>
    </w:p>
    <w:p>
      <w:pPr>
        <w:pStyle w:val="Heading1"/>
      </w:pPr>
      <w:r>
        <w:t>9.1 Top 5 Riesgos Priorizados</w:t>
      </w:r>
    </w:p>
    <w:p>
      <w:pPr>
        <w:pStyle w:val="Heading2"/>
      </w:pPr>
      <w:r>
        <w:t>Riesgo 1 – Hundimiento del margen y nuevo incumplimiento de la previsión (FY2/2027)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el 1T FY2/2027 cerró con un BO de 8 M JPY (−96%) por «cambios de condiciones con algunos clientes» y fletes al alza. La previsión del 1S (BO de 555) y la anual (1.150) parecen inalcanzables. Sería el </w:t>
      </w:r>
      <w:r>
        <w:rPr>
          <w:b/>
          <w:i w:val="0"/>
        </w:rPr>
        <w:t>tercer incumplimiento seguido</w:t>
      </w:r>
      <w:r>
        <w:rPr>
          <w:b w:val="0"/>
          <w:i w:val="0"/>
        </w:rPr>
        <w:t>, con riesgo de una revisión fuerte en los resultados del 1S (≈9-10 oct-2026).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🔴 Alta (70-80%) de revisión a la baja de la previsión.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🔴 Alto a corto plazo: con un BPA de ≈40-70 JPY el PER pasaría a 12-20x; caída potencial del precio del 10-20%.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el precio ya cotiza cerca del mínimo de 52 semanas (811 JPY); el 1T es estacionalmente débil (feria de mayo); posible recuperación de condiciones comerciales en el 2S.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margen bruto &lt;10,5% en el 1S; SG&amp;A/ventas &gt;10,2%; revisión de la previsión por debajo de 700 M JPY de BO.</w:t>
      </w:r>
    </w:p>
    <w:p>
      <w:r>
        <w:rPr>
          <w:b w:val="0"/>
          <w:i/>
          <w:color w:val="555555"/>
          <w:sz w:val="17"/>
        </w:rPr>
        <w:t>[Fuente: Kessan Tanshin 1T FY2/2027 (Q1_2026.pdf, 10-jul-2026), p.1-3]</w:t>
      </w:r>
    </w:p>
    <w:p>
      <w:pPr>
        <w:pStyle w:val="Heading2"/>
      </w:pPr>
      <w:r>
        <w:t>Riesgo 2 – Pérdida de clientes o cambio de mayorista (帳合変更) y dependencia de Rakuten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el sector reasigna cuentas con frecuencia. Echo pierde terreno frente a Japell (57% de su tamaño frente a 61% un año antes) y depende cada vez más de Rakuten (10,5%), un cliente de gran poder negociador.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🟡 Media (40%).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🔴 Alto: perder una cuenta del 5% de las ventas con margen bruto del 11% = ≈580 M JPY de margen bruto (≈50% del BO).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amplitud de surtido, servicios de gestión de categoría, relación con Kokubu.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caída de ventas &gt;3%; nuevos «cambios de condiciones» citados en el MD&amp;A; Rakuten fuera del desglose o por encima del 15%.</w:t>
      </w:r>
    </w:p>
    <w:p>
      <w:pPr>
        <w:pStyle w:val="Heading2"/>
      </w:pPr>
      <w:r>
        <w:t>Riesgo 3 – Inflación de costes logísticos y laborales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fletes y embalaje (5,0% de las ventas), alquileres (1,0%) y personal (2,3%) suben con la escasez de conductores (crisis logística de 2024) y los salarios. Con un margen operativo del 1%, un +5% en fletes (≈265 M JPY) se come ≈25% del BO.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🔴 Alta (70%).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Medio-alto.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entregas conjuntas, digitalización (AI-OCR, tabletas), centros nuevos y repercusión parcial a clientes.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fletes/ventas &gt;5,2%.</w:t>
      </w:r>
    </w:p>
    <w:p>
      <w:pPr>
        <w:pStyle w:val="Heading2"/>
      </w:pPr>
      <w:r>
        <w:t>Riesgo 4 – Trampa de valor: el descuento no se corrige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P/B de 0,42x con un ROE en caída (6,6% → ≈3%), sin recompras, sin plan sobre el P/B y con accionariado minorista. El descuento puede persistir mientras el beneficio no se recupere.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🟡 Media-alta (50-60%).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 (rentabilidad ≈ dividendo del 3,6%).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presión de la TSE (petición de 2023 sobre el coste de capital); ola de exclusiones de bolsa promovidas por accionistas en distribución (Mitsubishi Shokuhin, Itochu Shokuhin, PALTAC).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junta de 2027 sin medidas; P/B &lt;0,40x sostenido.</w:t>
      </w:r>
    </w:p>
    <w:p>
      <w:pPr>
        <w:pStyle w:val="Heading2"/>
      </w:pPr>
      <w:r>
        <w:t>Riesgo 5 – Riesgo de crédito, rappels y efecto calendario (calidad contable)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(i) clientes minoristas en consolidación (posibles quiebras); (ii) </w:t>
      </w:r>
      <w:r>
        <w:rPr>
          <w:b/>
          <w:i w:val="0"/>
        </w:rPr>
        <w:t>rappels pendientes de 2.199 M JPY</w:t>
      </w:r>
      <w:r>
        <w:rPr>
          <w:b w:val="0"/>
          <w:i w:val="0"/>
        </w:rPr>
        <w:t>, un asunto clave de auditoría y una partida grande frente al BO; (iii) balance y OCF distorsionados por los cierres en festivo, que dificultan el análisis.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🟢 Baja-media (20%).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seguro de crédito comercial; provisión de insolvencias de solo 9 M JPY (cartera de calidad); auditoría limpia.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dotaciones &gt;50 M JPY; rappels/BO &gt;2,5x; salvedad del auditor.</w:t>
      </w:r>
    </w:p>
    <w:p>
      <w:r>
        <w:rPr>
          <w:b w:val="0"/>
          <w:i/>
          <w:color w:val="555555"/>
          <w:sz w:val="17"/>
        </w:rPr>
        <w:t>[Fuente: Yuho FY2/2026 (F_2025.pdf, 26-may-2026), p.17, p.19, p.94]</w:t>
      </w:r>
    </w:p>
    <w:p>
      <w:pPr>
        <w:pStyle w:val="Heading1"/>
      </w:pPr>
      <w:r>
        <w:t>9.2 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Margen y previsión FY2/2027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0-6 meses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MUY ALTA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Pérdida de clientes / Rakuten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6-18 meses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ALTA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Costes logísticos y laborales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Continuo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ALTA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Trampa de valor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Media-alta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6-18 meses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MEDIA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Crédito, rappels, calidad contable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Baja-media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Continuo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MEDIA-BAJA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Otros: desastre natural en centros clave, retirada de producto, iliquidez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Baja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BAJA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i w:val="0"/>
              </w:rPr>
              <w:t>Balance de riesgos:</w:t>
            </w:r>
            <w:r>
              <w:rPr>
                <w:b w:val="0"/>
                <w:i w:val="0"/>
              </w:rPr>
              <w:t xml:space="preserve"> 🔴 a </w:t>
            </w:r>
            <w:r>
              <w:rPr>
                <w:b/>
                <w:i w:val="0"/>
              </w:rPr>
              <w:t>corto plazo (0-6 meses) los riesgos son claramente negativos</w:t>
            </w:r>
            <w:r>
              <w:rPr>
                <w:b w:val="0"/>
                <w:i w:val="0"/>
              </w:rPr>
              <w:t xml:space="preserve">: un 1T casi en pérdidas y una revisión de la previsión probable. 🟢 A </w:t>
            </w:r>
            <w:r>
              <w:rPr>
                <w:b/>
                <w:i w:val="0"/>
              </w:rPr>
              <w:t>12-18 meses</w:t>
            </w:r>
            <w:r>
              <w:rPr>
                <w:b w:val="0"/>
                <w:i w:val="0"/>
              </w:rPr>
              <w:t xml:space="preserve"> el riesgo de pérdida permanente es limitado: no hay deuda a largo, el P/B es de 0,42x y el NCAV de ≈1.616 JPY/acción, y existe la opción de una operación corporativa.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