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Factores a Monitorear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11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11.1 KPIs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KPI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Último dato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Umbral 🟢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Umbral 🔴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Fuente / frecuencia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Margen bruto trimestral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10,18% (1T FY2/2027)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&gt;11,0%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&lt;10,3%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Tanshin trimestral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SG&amp;A / ventas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10,16% (1T)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&lt;10,0%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&gt;10,3%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Tanshin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BO del 1S FY2/2027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1T: 8 M JPY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≥450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&lt;300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Tanshin 1S (≈9-10 oct-2026)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Previsión anual de BO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1.150 M JPY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Mantenida o recorte &lt;15%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Recorte a &lt;800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TDnet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Crecimiento de ventas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+2,9% (1T)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&gt;+2%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&lt;−2%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Tanshin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Peso de Rakuten / cambios de clientes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10,5% / «cambios de condiciones»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Sin nuevas pérdidas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Nuevas menciones a pérdida de cuentas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Yuho / MD&amp;A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Fletes / ventas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5,0% (FY2/2026)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&lt;4,9%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&gt;5,2%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Yuho anual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Rappels pendientes / BO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2.199 / 1.110 = 2,0x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&lt;2,0x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&gt;2,5x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Yuho (KAM)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Caja neta normalizada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≈1.500 M JPY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&gt;1.000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&lt;0 (deuda neta estructural)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Balance (atención al calendario)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P/B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0,42x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&gt;0,50x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&lt;0,36x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Diario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Participaciones de Kokubu e Itochu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18,2% / 3,6%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Aumento o informe de participación significativa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Venta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EDINET (大量保有報告書)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5"/>
              </w:rPr>
              <w:t>Dividendo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30 JPY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≥30 JPY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Recorte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Tanshin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Kessan Tanshin 1T FY2/2027 (Q1_2026.pdf, 10-jul-2026); Yuho FY2/2026 (F_2025.pdf, 26-may-2026)]</w:t>
      </w:r>
    </w:p>
    <w:p>
      <w:pPr>
        <w:pStyle w:val="Heading1"/>
      </w:pPr>
      <w:r>
        <w:t>11.2 Catalizadores Positivos (12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Catalizador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Fecha estimada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Operación corporativa</w:t>
            </w:r>
            <w:r>
              <w:rPr>
                <w:b w:val="0"/>
                <w:i w:val="0"/>
                <w:sz w:val="16"/>
              </w:rPr>
              <w:t>: Kokubu (18,2%) y/o Itochu (3,6%) integran o excluyen a Echo de bolsa, siguiendo a Mitsubishi Shokuhin (2025), Itochu Shokuhin (2026) y PALTAC (2026)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Indeterminado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Baja (10-15%) ⚠️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+60-130%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Recuperación del margen en el 2S FY2/2027</w:t>
            </w:r>
            <w:r>
              <w:rPr>
                <w:b w:val="0"/>
                <w:i w:val="0"/>
                <w:sz w:val="16"/>
              </w:rPr>
              <w:t xml:space="preserve"> tras los cambios con clientes del 1T (efecto comparativo favorable y subidas de precio)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Resultados 3T (≈ene-2027) y anuales (≈abr-2027)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 (40%)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+10-25%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Política de capital</w:t>
            </w:r>
            <w:r>
              <w:rPr>
                <w:b w:val="0"/>
                <w:i w:val="0"/>
                <w:sz w:val="16"/>
              </w:rPr>
              <w:t>: plan de P/B (petición de la TSE), subida del payout al ≥30% prometido, recompras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Resultados anuales / junta (abr-may 2027)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Baja-media (20-25%)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+10-30%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Nuevos productos y marcas propias</w:t>
            </w:r>
            <w:r>
              <w:rPr>
                <w:b w:val="0"/>
                <w:i w:val="0"/>
                <w:sz w:val="16"/>
              </w:rPr>
              <w:t xml:space="preserve"> (GOODISH en otoño de 2026; ShareZ «Magokoro Gohan») con más margen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Otoño 2026 - 2027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 (35%)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Previsión de FY2/2028 creíble</w:t>
            </w:r>
            <w:r>
              <w:rPr>
                <w:b w:val="0"/>
                <w:i w:val="0"/>
                <w:sz w:val="16"/>
              </w:rPr>
              <w:t xml:space="preserve"> con el nuevo plan y el bonus ligado al BO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abr-2027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 (40%)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+5-15%</w:t>
            </w:r>
          </w:p>
        </w:tc>
      </w:tr>
    </w:tbl>
    <w:p/>
    <w:p>
      <w:pPr>
        <w:pStyle w:val="Heading1"/>
      </w:pPr>
      <w:r>
        <w:t>11.3 Eventos Invalidantes (kill switches)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Por qué invalida la tesis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Pérdida operativa en el 1S o el 2S de FY2/2027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El margen normalizado de ≈1% deja de ser válido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Vender / reducir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Recorte del dividendo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Señal de deterioro estructural y rompe el «suelo» de rentabilidad del 3,6%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Vender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Venta de la participación de Kokubu</w:t>
            </w:r>
            <w:r>
              <w:rPr>
                <w:b w:val="0"/>
                <w:i w:val="0"/>
                <w:sz w:val="16"/>
              </w:rPr>
              <w:t xml:space="preserve"> a un tercero sin oferta a los minoritarios, o reducción de su peso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Elimina el catalizador corporativo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Revisar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Deuda neta estructural</w:t>
            </w:r>
            <w:r>
              <w:rPr>
                <w:b w:val="0"/>
                <w:i w:val="0"/>
                <w:sz w:val="16"/>
              </w:rPr>
              <w:t xml:space="preserve"> (no explicada por el calendario) o adquisición relevante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Erosión del margen de seguridad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Revisar / vender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Ventas &lt;−3% dos trimestres seguidos</w:t>
            </w:r>
            <w:r>
              <w:rPr>
                <w:b w:val="0"/>
                <w:i w:val="0"/>
                <w:sz w:val="16"/>
              </w:rPr>
              <w:t xml:space="preserve"> con nuevas pérdidas de clientes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Pérdida de posición competitiva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Vender</w:t>
            </w:r>
          </w:p>
        </w:tc>
      </w:tr>
    </w:tbl>
    <w:p/>
    <w:p>
      <w:pPr>
        <w:pStyle w:val="Heading1"/>
      </w:pPr>
      <w:r>
        <w:t>Calendario de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Fecha (estimada)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Evento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≈9-10 oct-2026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Resultados del 1S FY2/2027</w:t>
            </w:r>
            <w:r>
              <w:rPr>
                <w:b w:val="0"/>
                <w:i w:val="0"/>
                <w:sz w:val="17"/>
              </w:rPr>
              <w:t xml:space="preserve"> (probable revisión de la previsión)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Otoño 2026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Relanzamiento de la marca GOODISH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≈9 ene-2027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Resultados del 3T FY2/2027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≈9 abr-2027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Resultados anuales FY2/2027 + previsión FY2/2028 + dividendo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≈inicio de may-2027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Feria «Minna Daisuki!! Pet Kingdom 2027»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≈finales de may-2027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Junta General de Accionistas y Yuho FY2/2027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Fechas históricas: Tanshin del 1S el 10-oct-2025, del 3T el 9-ene-2026 y anual el 10-abr-2026; Kessan Tanshin 1T FY2/2027 (Q1_2026.pdf, 10-jul-2026) (10-jul-2026)]</w:t>
      </w:r>
    </w:p>
    <w:p>
      <w:pPr>
        <w:pStyle w:val="Heading1"/>
      </w:pPr>
      <w:r>
        <w:t>CONCLUSIÓN FINAL Y RECOMENDACIÓN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/>
                <w:i w:val="0"/>
              </w:rPr>
              <w:t>¿Es Echo Trading una buena inversión a 6-18 meses al precio de 835 JPY?</w:t>
            </w:r>
          </w:p>
          <w:p/>
          <w:p>
            <w:r>
              <w:rPr>
                <w:b/>
                <w:i w:val="0"/>
              </w:rPr>
              <w:t>Respuesta: SÍ, CON CONDICIONES → 🟡 MANTENER / ACUMULAR DE FORMA ESCALONADA, preferiblemente DESPUÉS de los resultados del 1S (≈9-10 oct-2026). Posición pequeña (≤2% de la cartera). Precio objetivo base a 12 meses ≈930 JPY (+15% con dividendo), valor esperado ≈983 JPY (+21%), valor intrínseco central ≈1.235 JPY.</w:t>
            </w:r>
          </w:p>
          <w:p/>
          <w:p>
            <w:r>
              <w:rPr>
                <w:b/>
                <w:i w:val="0"/>
              </w:rPr>
              <w:t>A favor:</w:t>
            </w:r>
          </w:p>
          <w:p>
            <w:r>
              <w:rPr>
                <w:b w:val="0"/>
                <w:i w:val="0"/>
              </w:rPr>
              <w:t>• Valoración muy baja: P/B de 0,42x, ≈0,52x el NCAV, PER de FY2/2026 de 6,5x y EV/EBITDA normalizado de ≈3x, con dividendo del 3,6% nunca recortado.</w:t>
            </w:r>
          </w:p>
          <w:p>
            <w:r>
              <w:rPr>
                <w:b w:val="0"/>
                <w:i w:val="0"/>
              </w:rPr>
              <w:t>• Negocio asset-light, sin deuda a largo y con clientes de calidad; FCF yield normalizado del ≈8%.</w:t>
            </w:r>
          </w:p>
          <w:p>
            <w:r>
              <w:rPr>
                <w:b w:val="0"/>
                <w:i w:val="0"/>
              </w:rPr>
              <w:t>• Opción estratégica: Kokubu (18,2%) e Itochu (3,6%) en un sector donde los accionistas de referencia están excluyendo de bolsa a sus mayoristas con primas del 30-45%.</w:t>
            </w:r>
          </w:p>
          <w:p/>
          <w:p>
            <w:r>
              <w:rPr>
                <w:b/>
                <w:i w:val="0"/>
              </w:rPr>
              <w:t>En contra:</w:t>
            </w:r>
          </w:p>
          <w:p>
            <w:r>
              <w:rPr>
                <w:b w:val="0"/>
                <w:i w:val="0"/>
              </w:rPr>
              <w:t>• Deterioro operativo: el 1T FY2/2027 tuvo un BO de 8 M JPY y el margen bruto baja en 3 de los últimos 4 años.</w:t>
            </w:r>
          </w:p>
          <w:p>
            <w:r>
              <w:rPr>
                <w:b w:val="0"/>
                <w:i w:val="0"/>
              </w:rPr>
              <w:t>• Dos incumplimientos de la previsión (≈−24%) y un tercero probable: credibilidad baja y riesgo de caída a corto plazo.</w:t>
            </w:r>
          </w:p>
          <w:p>
            <w:r>
              <w:rPr>
                <w:b w:val="0"/>
                <w:i w:val="0"/>
              </w:rPr>
              <w:t>• Sin moat, pérdida de terreno frente a Japell y presión de Rakuten y de los costes logísticos.</w:t>
            </w:r>
          </w:p>
          <w:p/>
          <w:p>
            <w:r>
              <w:rPr>
                <w:b/>
                <w:i w:val="0"/>
              </w:rPr>
              <w:t>Gestión de la posición:</w:t>
            </w:r>
            <w:r>
              <w:rPr>
                <w:b w:val="0"/>
                <w:i w:val="0"/>
              </w:rPr>
              <w:t xml:space="preserve"> primera compra por debajo de 800 JPY tras la publicación del 1S; segunda en 700-750 si hay una revisión fuerte sin pérdidas operativas; recoger beneficios parciales en 950-1.000; mantener el resto como opción de operación corporativa. Revisar la tesis tras los resultados anuales de abr-2027 y aplicar los kill switches.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