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Análisis del comentario por management - Echo Trading Co (7427) - 3/10/2026</w:t>
      </w:r>
    </w:p>
    <w:p>
      <w:r>
        <w:rPr>
          <w:b w:val="0"/>
          <w:i/>
          <w:color w:val="1F3A5F"/>
          <w:sz w:val="18"/>
        </w:rPr>
        <w:t>Análisis de Inversión - Echo Trading Co (7427) - 3/10/2026 · Sección 12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fin de febrero (FY2/2026 = mar-2025 a feb-2026). Precio de referencia: </w:t>
      </w:r>
      <w:r>
        <w:rPr>
          <w:b/>
          <w:i w:val="0"/>
          <w:sz w:val="18"/>
        </w:rPr>
        <w:t>835 JPY</w:t>
      </w:r>
      <w:r>
        <w:rPr>
          <w:b w:val="0"/>
          <w:i w:val="0"/>
          <w:sz w:val="18"/>
        </w:rPr>
        <w:t xml:space="preserve"> (última cotización localizada, Investing.com, oct-2026; 839 JPY el 28-ago-2026; rango 52 semanas 811-958 JPY). Normas contables: J-GAAP. Leyenda: 🔍 DATO VERIFICADO · 💡 ESTIMACIÓN · ⚠️ ESPECULACIÓN · 🟢 Positivo / 🟡 Neutral / 🔴 Negativo.</w:t>
      </w:r>
    </w:p>
    <w:p>
      <w:r>
        <w:rPr>
          <w:b w:val="0"/>
          <w:i w:val="0"/>
        </w:rPr>
        <w:t xml:space="preserve">Analizamos el comentario de la dirección en </w:t>
      </w:r>
      <w:r>
        <w:rPr>
          <w:b/>
          <w:i w:val="0"/>
        </w:rPr>
        <w:t>todos los informes adjuntos</w:t>
      </w:r>
      <w:r>
        <w:rPr>
          <w:b w:val="0"/>
          <w:i w:val="0"/>
        </w:rPr>
        <w:t>: los informes anuales F_2021…F_2025 (ejercicios FY2/2022 a FY2/2026: apartados «経営方針・経営環境及び対処すべき課題» y MD&amp;A «経営者による財政状態…の分析») y el informe trimestral Q1_2026 (1T FY2/2027). No hay informes semestrales (H_) adjuntos. Las previsiones de cada año (publicadas en los Tanshin anuales, no adjuntos) se han tomado de Kabutan y Monex (fuentes secundarias). La traducción del japonés es propia; cifras en M JPY.</w:t>
      </w:r>
    </w:p>
    <w:p>
      <w:pPr>
        <w:pStyle w:val="Heading1"/>
      </w:pPr>
      <w:r>
        <w:t>12.1 Evolución cronológica del discurso</w:t>
      </w:r>
    </w:p>
    <w:p>
      <w:pPr>
        <w:pStyle w:val="Heading2"/>
      </w:pPr>
      <w:r>
        <w:t>FY2/2022 – Informe anual (F_2021.pdf) · mar-2021 a feb-2022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776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Contenido (síntesis traducida)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Entorno descrito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COVID prolongado; la demanda de mascotas se mantiene, pero suben los costes de materias primas, la competencia en precio y los costes de personal y logística. Por primera vez en 3 años sube el número de gatos y sigue cayendo el de perros.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Acciones destacadas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Reorganización comercial en un sistema de «sede central de ventas» (mar-2021); propuestas de «valor total»; Pets Value llega a 268 tiendas gestionadas. Arranca el plan a medio plazo </w:t>
            </w:r>
            <w:r>
              <w:rPr>
                <w:b/>
                <w:i w:val="0"/>
                <w:sz w:val="16"/>
              </w:rPr>
              <w:t>«I3☆55» con el concepto CED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Resultados explicados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Ventas de 91.930 (+7,3%); BO de 466 (+47,7%) «gracias a la eficiencia pese al aumento de costes variables»; BN de 288 (+18,7%). OCF de −2.311 por la reversión del calendario de pagos.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Promesas / perspectivas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FY2/2023, «2.º año del plan»: lema «</w:t>
            </w:r>
            <w:r>
              <w:rPr>
                <w:b/>
                <w:i w:val="0"/>
                <w:sz w:val="16"/>
              </w:rPr>
              <w:t>Cumplir lo básico, y luego crecer</w:t>
            </w:r>
            <w:r>
              <w:rPr>
                <w:b w:val="0"/>
                <w:i w:val="0"/>
                <w:sz w:val="16"/>
              </w:rPr>
              <w:t xml:space="preserve">»; «mejora sólida del beneficio para </w:t>
            </w:r>
            <w:r>
              <w:rPr>
                <w:b/>
                <w:i w:val="0"/>
                <w:sz w:val="16"/>
              </w:rPr>
              <w:t>alcanzar los objetivos numéricos</w:t>
            </w:r>
            <w:r>
              <w:rPr>
                <w:b w:val="0"/>
                <w:i w:val="0"/>
                <w:sz w:val="16"/>
              </w:rPr>
              <w:t>» (no publicados en el Yuho).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Tono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Prudente y operativo.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FY2/2022 (F_2021.pdf, 26-may-2022), p.9-12]</w:t>
      </w:r>
    </w:p>
    <w:p>
      <w:pPr>
        <w:pStyle w:val="Heading2"/>
      </w:pPr>
      <w:r>
        <w:t>FY2/2023 – Informe anual (F_2022.pdf) · mar-2022 a feb-2023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776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Contenido (síntesis traducida)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Entorno descrito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Normalización post-COVID; yen débil, energía cara, problemas de suministro de productos importados.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Acciones destacadas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«Gestión por producto (単品管理)» para mejorar el margen; revisión de los centros logísticos por zonas; lanzamiento del e-learning «Echo Study»; Pets Value con 258 tiendas.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Resultados explicados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Ventas de 96.955 (primer año con la nueva norma de ingresos, sin comparación); BO de 858 (+83,9%) «por la mejora del margen bruto gracias a la gestión por producto y la eficiencia»; BN de 590 (+104,9%).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Promesas / perspectivas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FY2/2024, 3.er año: «mayor mejora del beneficio para </w:t>
            </w:r>
            <w:r>
              <w:rPr>
                <w:b/>
                <w:i w:val="0"/>
                <w:sz w:val="16"/>
              </w:rPr>
              <w:t>alcanzar los objetivos numéricos</w:t>
            </w:r>
            <w:r>
              <w:rPr>
                <w:b w:val="0"/>
                <w:i w:val="0"/>
                <w:sz w:val="16"/>
              </w:rPr>
              <w:t>»; optimización de la red logística; traspaso del desarrollo de producto de Pets Value a I&amp;I.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Tono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Confiado. 🔍 Promesa cumplida: FY2/2024 fue un año récord.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FY2/2023 (F_2022.pdf, 25-may-2023), p.9-12]</w:t>
      </w:r>
    </w:p>
    <w:p>
      <w:pPr>
        <w:pStyle w:val="Heading2"/>
      </w:pPr>
      <w:r>
        <w:t>FY2/2024 – Informe anual (F_2023.pdf) · mar-2023 a feb-2024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776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Contenido (síntesis traducida)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Entorno descrito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COVID pasa a enfermedad común (clase 5); inflación; menos perros; costes de electricidad y transporte.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Acciones destacadas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Vuelve la feria Pet Kingdom (≈40.000 visitantes); marca propia </w:t>
            </w:r>
            <w:r>
              <w:rPr>
                <w:b/>
                <w:i w:val="0"/>
                <w:sz w:val="16"/>
              </w:rPr>
              <w:t>ShareZ</w:t>
            </w:r>
            <w:r>
              <w:rPr>
                <w:b w:val="0"/>
                <w:i w:val="0"/>
                <w:sz w:val="16"/>
              </w:rPr>
              <w:t xml:space="preserve"> (primer producto, «Shelf &amp; Tower with Cat»); Pets Value con 254 tiendas.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Resultados explicados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Récord</w:t>
            </w:r>
            <w:r>
              <w:rPr>
                <w:b w:val="0"/>
                <w:i w:val="0"/>
                <w:sz w:val="16"/>
              </w:rPr>
              <w:t>: ventas de 107.406 (+10,8%) «por la subida del precio unitario por las revisiones de precios y productos de alto valor añadido»; BO de 1.719 (+100,4%) «por la gestión por producto y la reducción de costes logísticos»; BN de 1.213 (+105,6%). Dividendo de 33 JPY (incluye 5 extraordinarios).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Promesas / perspectivas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FY2/2025: «2.º récord consecutivo» con Bº ordinario de </w:t>
            </w:r>
            <w:r>
              <w:rPr>
                <w:b/>
                <w:i w:val="0"/>
                <w:sz w:val="16"/>
              </w:rPr>
              <w:t>1.780 (+2,5%)</w:t>
            </w:r>
            <w:r>
              <w:rPr>
                <w:b w:val="0"/>
                <w:i w:val="0"/>
                <w:sz w:val="16"/>
              </w:rPr>
              <w:t>. Traslado de centros logísticos y de la sede; «más inversión en las personas».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Tono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Triunfal. ⚠️ El récord se atribuye a la gestión, aunque la propia explicación reconoce que el motor fueron las subidas de precio de los fabricantes.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FY2/2024 (F_2023.pdf, 23-may-2024), p.10 y p.17-19; Kabutan 5-abr-2024]</w:t>
      </w:r>
    </w:p>
    <w:p>
      <w:pPr>
        <w:pStyle w:val="Heading2"/>
      </w:pPr>
      <w:r>
        <w:t>FY2/2025 – Informe anual (F_2024.pdf) · mar-2024 a feb-2025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776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Contenido (síntesis traducida)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Entorno descrito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Recuperación moderada; tipos altos en EE. UU. y Europa; China débil; consumo afectado por la inflación.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Acciones destacadas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Entregas conjuntas, tabletas para preparar pedidos, AI-OCR; nueva sede en Osaka-Miyahara; venta de la sede de Nishinomiya; Pets Value baja a 215 tiendas «por cambios en la forma de algunos contratos»; spray contra el pelo de mascota.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Resultados explicados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Ventas de 106.388 (−0,9%); </w:t>
            </w:r>
            <w:r>
              <w:rPr>
                <w:b/>
                <w:i w:val="0"/>
                <w:sz w:val="16"/>
              </w:rPr>
              <w:t>BO de 1.359 (−20,9%) explicado como «inversión en infraestructura para el crecimiento continuo de las ventas»</w:t>
            </w:r>
            <w:r>
              <w:rPr>
                <w:b w:val="0"/>
                <w:i w:val="0"/>
                <w:sz w:val="16"/>
              </w:rPr>
              <w:t xml:space="preserve"> (centros logísticos, personas, traslado de sede); BN de 1.001 (−17,5%) con la plusvalía de 205 de la sede.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Promesas / perspectivas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FY2/2026 (último año del plan): </w:t>
            </w:r>
            <w:r>
              <w:rPr>
                <w:b/>
                <w:i w:val="0"/>
                <w:sz w:val="16"/>
              </w:rPr>
              <w:t>Bº ordinario de 1.459 (+6,6%)</w:t>
            </w:r>
            <w:r>
              <w:rPr>
                <w:b w:val="0"/>
                <w:i w:val="0"/>
                <w:sz w:val="16"/>
              </w:rPr>
              <w:t>; nuevo lenguaje: «</w:t>
            </w:r>
            <w:r>
              <w:rPr>
                <w:b/>
                <w:i w:val="0"/>
                <w:sz w:val="16"/>
              </w:rPr>
              <w:t>propuestas basadas en el valor, no en el precio</w:t>
            </w:r>
            <w:r>
              <w:rPr>
                <w:b w:val="0"/>
                <w:i w:val="0"/>
                <w:sz w:val="16"/>
              </w:rPr>
              <w:t>»; lanzamiento de comida fresca ShareZ.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Tono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🟡 Defensivo. 🔴 </w:t>
            </w:r>
            <w:r>
              <w:rPr>
                <w:b/>
                <w:i w:val="0"/>
                <w:sz w:val="16"/>
              </w:rPr>
              <w:t>Promesa incumplida</w:t>
            </w:r>
            <w:r>
              <w:rPr>
                <w:b w:val="0"/>
                <w:i w:val="0"/>
                <w:sz w:val="16"/>
              </w:rPr>
              <w:t>: el Bº ordinario previsto de 1.780 se quedó en 1.370 (−23%), y el informe no compara con la previsión.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FY2/2025 (F_2024.pdf, 29-may-2025), p.10 y p.17-19; Kabutan 11-abr-2025]</w:t>
      </w:r>
    </w:p>
    <w:p>
      <w:pPr>
        <w:pStyle w:val="Heading2"/>
      </w:pPr>
      <w:r>
        <w:t>FY2/2026 – Informe anual (F_2025.pdf) · mar-2025 a feb-2026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776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Contenido (síntesis traducida)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Entorno descrito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Humanización de las mascotas y premiumización; consumidor ahorrador; costes de personal, logística y materias primas al alza: el entorno «es cada vez más duro».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Acciones destacadas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«</w:t>
            </w:r>
            <w:r>
              <w:rPr>
                <w:b/>
                <w:i w:val="0"/>
                <w:sz w:val="16"/>
              </w:rPr>
              <w:t>Selección y concentración</w:t>
            </w:r>
            <w:r>
              <w:rPr>
                <w:b w:val="0"/>
                <w:i w:val="0"/>
                <w:sz w:val="16"/>
              </w:rPr>
              <w:t>», «revisión radical de la cartera», «operación de bajo coste exhaustiva»: cierre del portal PetPet, traspaso de la escuela; I&amp;I y PetPet pasan al 100%; comida fresca ShareZ «Magokoro Gohan»; colaboración con «Gekiochi-kun»; Rakuten aparece como cliente del 10,5%.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Resultados explicados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Ventas de 105.811 (−0,5%) «porque el efecto de las subidas de precio se agotó y por </w:t>
            </w:r>
            <w:r>
              <w:rPr>
                <w:b/>
                <w:i w:val="0"/>
                <w:sz w:val="16"/>
              </w:rPr>
              <w:t>cambios en las condiciones de algunos clientes</w:t>
            </w:r>
            <w:r>
              <w:rPr>
                <w:b w:val="0"/>
                <w:i w:val="0"/>
                <w:sz w:val="16"/>
              </w:rPr>
              <w:t>»; margen bruto −258 por la «</w:t>
            </w:r>
            <w:r>
              <w:rPr>
                <w:b/>
                <w:i w:val="0"/>
                <w:sz w:val="16"/>
              </w:rPr>
              <w:t>competencia en precios del sector</w:t>
            </w:r>
            <w:r>
              <w:rPr>
                <w:b w:val="0"/>
                <w:i w:val="0"/>
                <w:sz w:val="16"/>
              </w:rPr>
              <w:t>»; BO de 1.110 (−18,4%) atribuido otra vez a la «inversión en infraestructura y personas». Se publican el margen operativo (1,0%) y el ROE (6,6%).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Promesas / perspectivas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Nuevo plan desde FY2/2027: «</w:t>
            </w:r>
            <w:r>
              <w:rPr>
                <w:b/>
                <w:i w:val="0"/>
                <w:sz w:val="16"/>
              </w:rPr>
              <w:t>Desafío, hacia un mayor crecimiento</w:t>
            </w:r>
            <w:r>
              <w:rPr>
                <w:b w:val="0"/>
                <w:i w:val="0"/>
                <w:sz w:val="16"/>
              </w:rPr>
              <w:t>» / «Socio que crea el futuro con el cliente»; CED + Connect + Data Science; «</w:t>
            </w:r>
            <w:r>
              <w:rPr>
                <w:b/>
                <w:i w:val="0"/>
                <w:sz w:val="16"/>
              </w:rPr>
              <w:t>base de análisis de datos abrumadora (圧倒的)</w:t>
            </w:r>
            <w:r>
              <w:rPr>
                <w:b w:val="0"/>
                <w:i w:val="0"/>
                <w:sz w:val="16"/>
              </w:rPr>
              <w:t>»; IA generativa; integración de Pets Value e I&amp;I. Previsión FY2/2027: ventas de 110.000, BO de 1.150, BN de 758. Nuevo bonus ligado al BO frente a la previsión.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Tono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🔴 </w:t>
            </w:r>
            <w:r>
              <w:rPr>
                <w:b/>
                <w:i w:val="0"/>
                <w:sz w:val="16"/>
              </w:rPr>
              <w:t>Eufemismo</w:t>
            </w:r>
            <w:r>
              <w:rPr>
                <w:b w:val="0"/>
                <w:i w:val="0"/>
                <w:sz w:val="16"/>
              </w:rPr>
              <w:t xml:space="preserve">: el Yuho afirma que el plan «terminó </w:t>
            </w:r>
            <w:r>
              <w:rPr>
                <w:b/>
                <w:i w:val="0"/>
                <w:sz w:val="16"/>
              </w:rPr>
              <w:t>aproximadamente según el plan inicial</w:t>
            </w:r>
            <w:r>
              <w:rPr>
                <w:b w:val="0"/>
                <w:i w:val="0"/>
                <w:sz w:val="16"/>
              </w:rPr>
              <w:t xml:space="preserve"> (概ね当初の計画どおりの着地)» a pesar de que el Bº ordinario (1.107) quedó un 24% por debajo de la previsión del año (1.459), mantenida aún el 9-ene-2026.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p.10-11 y p.18-22; Kabutan 10-abr-2026; Monex 9-ene-2026]</w:t>
      </w:r>
    </w:p>
    <w:p>
      <w:pPr>
        <w:pStyle w:val="Heading2"/>
      </w:pPr>
      <w:r>
        <w:t>1T FY2/2027 – Informe trimestral (Q1_2026.pdf) · mar-may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776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Contenido (síntesis traducida)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Entorno descrito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Recuperación gradual; Oriente Medio y volatilidad financiera; los consumidores ahorran; costes en toda la cadena de suministro.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Acciones destacadas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Feria Pet Kingdom 2026 «con más visitantes que el año anterior»; Pets Value con 201 tiendas; centralización del desarrollo de producto en I&amp;I; GOODISH (de Fancl) para otoño de 2026; repetición del discurso de «empresa de planificación de categorías n.º 1 del mundo».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Resultados explicados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Ventas de 27.285 (+2,9%) «</w:t>
            </w:r>
            <w:r>
              <w:rPr>
                <w:b/>
                <w:i w:val="0"/>
                <w:sz w:val="16"/>
              </w:rPr>
              <w:t>las ventas se dan la vuelta</w:t>
            </w:r>
            <w:r>
              <w:rPr>
                <w:b w:val="0"/>
                <w:i w:val="0"/>
                <w:sz w:val="16"/>
              </w:rPr>
              <w:t xml:space="preserve"> gracias a las propuestas comerciales»; </w:t>
            </w:r>
            <w:r>
              <w:rPr>
                <w:b/>
                <w:i w:val="0"/>
                <w:sz w:val="16"/>
              </w:rPr>
              <w:t>BO de 8 (−96,1%)</w:t>
            </w:r>
            <w:r>
              <w:rPr>
                <w:b w:val="0"/>
                <w:i w:val="0"/>
                <w:sz w:val="16"/>
              </w:rPr>
              <w:t xml:space="preserve"> por «aumento continuo de los costes logísticos y </w:t>
            </w:r>
            <w:r>
              <w:rPr>
                <w:b/>
                <w:i w:val="0"/>
                <w:sz w:val="16"/>
              </w:rPr>
              <w:t>cambios en las condiciones de algunos clientes</w:t>
            </w:r>
            <w:r>
              <w:rPr>
                <w:b w:val="0"/>
                <w:i w:val="0"/>
                <w:sz w:val="16"/>
              </w:rPr>
              <w:t>»; BN de −6.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Promesas / perspectivas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Previsión sin cambios</w:t>
            </w:r>
            <w:r>
              <w:rPr>
                <w:b w:val="0"/>
                <w:i w:val="0"/>
                <w:sz w:val="16"/>
              </w:rPr>
              <w:t xml:space="preserve"> (1S: BO de 555; año: 1.150) pese a que el 1T solo cubre el 1,4% del BO del 1S.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i w:val="0"/>
                <w:sz w:val="16"/>
              </w:rPr>
              <w:t>Tono</w:t>
            </w:r>
          </w:p>
        </w:tc>
        <w:tc>
          <w:tcPr>
            <w:tcW w:type="dxa" w:w="7767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Desconexión entre el lenguaje ambicioso («abrumadora», «n.º 1 del mundo», «nueva etapa de crecimiento») y la realidad de un trimestre en equilibrio.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Kessan Tanshin 1T FY2/2027 (Q1_2026.pdf, 10-jul-2026), p.1-3]</w:t>
      </w:r>
    </w:p>
    <w:p>
      <w:pPr>
        <w:pStyle w:val="Heading1"/>
      </w:pPr>
      <w:r>
        <w:t>12.2 Lo prometido frente a lo cumplido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Informe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Promesa / proyección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Cumplimiento posterior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Valoración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«Mejora sólida del beneficio para alcanzar los objetivos numéricos» del plan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BO +84% en FY2/2023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Cumplido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«Mayor mejora del beneficio»; optimización logística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BO récord de 1.720 en FY2/2024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Cumplido (con ayuda de las subidas de precio)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2.º récord consecutivo: Bº ordinario de 1.780 (+2,5%)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1.370 (−23%)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Incumplido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Bº ordinario de 1.459 (+6,6%); «valor, no precio»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1.107 (−24%); margen bruto a la baja por la «competencia en precios»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Incumplido y contradicho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Comida fresca ShareZ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Lanzada en oct-2025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Cumplido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Plan «I3☆55» (FY2/2022-26)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«Objetivos numéricos» (nunca publicados en el Yuho)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«Aproximadamente según el plan inicial» (FY2/2026)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No verificable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Ventas de 110.000, BO de 1.150 en FY2/2027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1T: BO de 8; ventas +2,9%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En riesgo grave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Pets Value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«Aumentar de forma constante las tiendas gestionadas» (FY2/2022)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268 → 258 → 254 → 215 → 200 → 201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Incumplido</w:t>
            </w:r>
          </w:p>
        </w:tc>
      </w:tr>
    </w:tbl>
    <w:p/>
    <w:p>
      <w:pPr>
        <w:pStyle w:val="Heading1"/>
      </w:pPr>
      <w:r>
        <w:t>12.3 Cambios de tono, prioridades y lenguaje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Lema / foco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Palabras clave nuevas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Lectura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FY2/2022-23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«Cumplir lo básico, y luego crecer»; gestión por producto; coste bajo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単品管理, ローコストオペレーション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Foco en eficiencia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Récord; marca propia ShareZ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高付加価値, ShareZ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Euforia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Inversión para el crecimiento; personas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「価格ではなく価値」, 人的資本経営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Justificación de la caída de beneficio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FY2/2026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«Selección y concentración», revisión radical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選択と集中, 抜本的な見直し, 変革期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Reestructuración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1T FY2/2027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Nuevo plan: datos, IA, «n.º 1 del mundo»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Connect, Data Science, 生成AI, 圧倒的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Ambición creciente con resultados decrecientes</w:t>
            </w:r>
          </w:p>
        </w:tc>
      </w:tr>
    </w:tbl>
    <w:p/>
    <w:p>
      <w:r>
        <w:rPr>
          <w:b w:val="0"/>
          <w:i w:val="0"/>
        </w:rPr>
        <w:t xml:space="preserve">🔴 </w:t>
      </w:r>
      <w:r>
        <w:rPr>
          <w:b/>
          <w:i w:val="0"/>
        </w:rPr>
        <w:t>Patrón</w:t>
      </w:r>
      <w:r>
        <w:rPr>
          <w:b w:val="0"/>
          <w:i w:val="0"/>
        </w:rPr>
        <w:t>: cuanto peores son los resultados, más ambicioso y abstracto es el lenguaje (CED → CED + Connect + Data Science; «base de datos abrumadora»; «n.º 1 del mundo»). 🟡 La dirección sí ha pasado de la «inversión para crecer» (FY2/2025) a reconocer problemas concretos («competencia en precios», «cambios de condiciones con clientes») en FY2/2026-27, lo cual es positivo.</w:t>
      </w:r>
    </w:p>
    <w:p>
      <w:pPr>
        <w:pStyle w:val="Heading1"/>
      </w:pPr>
      <w:r>
        <w:t>12.4 Guidance y objetivos cuantitativos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Previsión (Bº ordinario)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Real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Desviación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¿Revisión previa?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Crecimiento «más moderado» (n.d.)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1.745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Muy positiva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n.d.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1.780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1.370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−23%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No localizada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1.459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1.107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−24%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No (mantenida el 9-ene-2026)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1.147 (1S: 554)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1T: 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1T = 1,3% del 1S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Mantenida el 10-jul-2026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Kabutan (5-abr-2024; 11-abr-2025; 10-abr-2026); Monex (9-ene-2026); Kessan Tanshin 1T FY2/2027 (Q1_2026.pdf, 10-jul-2026)]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Credibilidad baja</w:t>
      </w:r>
      <w:r>
        <w:rPr>
          <w:b w:val="0"/>
          <w:i w:val="0"/>
        </w:rPr>
        <w:t xml:space="preserve">: dos fallos consecutivos de ≈−24%, ambos </w:t>
      </w:r>
      <w:r>
        <w:rPr>
          <w:b/>
          <w:i w:val="0"/>
        </w:rPr>
        <w:t>sin revisión anticipada</w:t>
      </w:r>
      <w:r>
        <w:rPr>
          <w:b w:val="0"/>
          <w:i w:val="0"/>
        </w:rPr>
        <w:t xml:space="preserve"> (por debajo del umbral del 30% que obliga a revisar), y un tercero en ciernes. 🔴 El nuevo bonus de los consejeros se calcula </w:t>
      </w:r>
      <w:r>
        <w:rPr>
          <w:b/>
          <w:i w:val="0"/>
        </w:rPr>
        <w:t>frente a esa misma previsión</w:t>
      </w:r>
      <w:r>
        <w:rPr>
          <w:b w:val="0"/>
          <w:i w:val="0"/>
        </w:rPr>
        <w:t>, lo que puede sesgar las previsiones futuras a la baja.</w:t>
      </w:r>
    </w:p>
    <w:p>
      <w:pPr>
        <w:pStyle w:val="Heading1"/>
      </w:pPr>
      <w:r>
        <w:t>12.5 Red flags del comentario</w:t>
      </w:r>
    </w:p>
    <w:p>
      <w:pPr>
        <w:pStyle w:val="ListBullet"/>
      </w:pPr>
      <w:r>
        <w:rPr>
          <w:b w:val="0"/>
          <w:i w:val="0"/>
        </w:rPr>
        <w:t xml:space="preserve">🔴 </w:t>
      </w:r>
      <w:r>
        <w:rPr>
          <w:b/>
          <w:i w:val="0"/>
        </w:rPr>
        <w:t>Eufemismo</w:t>
      </w:r>
      <w:r>
        <w:rPr>
          <w:b w:val="0"/>
          <w:i w:val="0"/>
        </w:rPr>
        <w:t>: «el plan terminó aproximadamente según lo previsto» (FY2/2026) tras dos incumplimientos del ≈24%.</w:t>
      </w:r>
    </w:p>
    <w:p>
      <w:pPr>
        <w:pStyle w:val="ListBullet"/>
      </w:pPr>
      <w:r>
        <w:rPr>
          <w:b w:val="0"/>
          <w:i w:val="0"/>
        </w:rPr>
        <w:t xml:space="preserve">🔴 </w:t>
      </w:r>
      <w:r>
        <w:rPr>
          <w:b/>
          <w:i w:val="0"/>
        </w:rPr>
        <w:t>Explicación reciclada</w:t>
      </w:r>
      <w:r>
        <w:rPr>
          <w:b w:val="0"/>
          <w:i w:val="0"/>
        </w:rPr>
        <w:t>: la caída del BO de FY2/2025 y de FY2/2026 se atribuye en ambos casos a «inversión en infraestructura y personas para el crecimiento», sin cuantificar esa inversión.</w:t>
      </w:r>
    </w:p>
    <w:p>
      <w:pPr>
        <w:pStyle w:val="ListBullet"/>
      </w:pPr>
      <w:r>
        <w:rPr>
          <w:b w:val="0"/>
          <w:i w:val="0"/>
        </w:rPr>
        <w:t xml:space="preserve">🔴 </w:t>
      </w:r>
      <w:r>
        <w:rPr>
          <w:b/>
          <w:i w:val="0"/>
        </w:rPr>
        <w:t>Explicación que cambia</w:t>
      </w:r>
      <w:r>
        <w:rPr>
          <w:b w:val="0"/>
          <w:i w:val="0"/>
        </w:rPr>
        <w:t>: FY2/2025 → inversión; FY2/2026 → «agotamiento del efecto precio», «cambios con clientes» y «competencia en precios»; 1T FY2/2027 → «logística» y «cambios con clientes». La causa estructural (presión de clientes y erosión del margen) aparece tarde.</w:t>
      </w:r>
    </w:p>
    <w:p>
      <w:pPr>
        <w:pStyle w:val="ListBullet"/>
      </w:pPr>
      <w:r>
        <w:rPr>
          <w:b w:val="0"/>
          <w:i w:val="0"/>
        </w:rPr>
        <w:t xml:space="preserve">🔴 </w:t>
      </w:r>
      <w:r>
        <w:rPr>
          <w:b/>
          <w:i w:val="0"/>
        </w:rPr>
        <w:t>Métricas que nunca aparecen</w:t>
      </w:r>
      <w:r>
        <w:rPr>
          <w:b w:val="0"/>
          <w:i w:val="0"/>
        </w:rPr>
        <w:t>: los objetivos numéricos del plan «I3☆55» (citados pero no publicados en el Yuho); volúmenes; margen por canal.</w:t>
      </w:r>
    </w:p>
    <w:p>
      <w:pPr>
        <w:pStyle w:val="ListBullet"/>
      </w:pPr>
      <w:r>
        <w:rPr>
          <w:b w:val="0"/>
          <w:i w:val="0"/>
        </w:rPr>
        <w:t xml:space="preserve">🟡 </w:t>
      </w:r>
      <w:r>
        <w:rPr>
          <w:b/>
          <w:i w:val="0"/>
        </w:rPr>
        <w:t>Métricas que aparecen</w:t>
      </w:r>
      <w:r>
        <w:rPr>
          <w:b w:val="0"/>
          <w:i w:val="0"/>
        </w:rPr>
        <w:t>: cliente &gt;10% (Rakuten) en FY2/2026; margen operativo y ROE en el MD&amp;A desde FY2/2026 (positivo).</w:t>
      </w:r>
    </w:p>
    <w:p>
      <w:pPr>
        <w:pStyle w:val="ListBullet"/>
      </w:pPr>
      <w:r>
        <w:rPr>
          <w:b w:val="0"/>
          <w:i w:val="0"/>
        </w:rPr>
        <w:t xml:space="preserve">🟡 </w:t>
      </w:r>
      <w:r>
        <w:rPr>
          <w:b/>
          <w:i w:val="0"/>
        </w:rPr>
        <w:t>Métrica en declive sostenido</w:t>
      </w:r>
      <w:r>
        <w:rPr>
          <w:b w:val="0"/>
          <w:i w:val="0"/>
        </w:rPr>
        <w:t>: tiendas gestionadas por Pets Value, explicado como «cambios en la forma de algunos contratos».</w:t>
      </w:r>
    </w:p>
    <w:p>
      <w:pPr>
        <w:pStyle w:val="ListBullet"/>
      </w:pPr>
      <w:r>
        <w:rPr>
          <w:b w:val="0"/>
          <w:i w:val="0"/>
        </w:rPr>
        <w:t xml:space="preserve">🟢 </w:t>
      </w:r>
      <w:r>
        <w:rPr>
          <w:b/>
          <w:i w:val="0"/>
        </w:rPr>
        <w:t>Buena práctica</w:t>
      </w:r>
      <w:r>
        <w:rPr>
          <w:b w:val="0"/>
          <w:i w:val="0"/>
        </w:rPr>
        <w:t>: explica con transparencia el efecto de los cierres en festivo sobre clientes, proveedores y OCF.</w:t>
      </w:r>
    </w:p>
    <w:p>
      <w:pPr>
        <w:pStyle w:val="Heading1"/>
      </w:pPr>
      <w:r>
        <w:t>12.6 Perspectivas para el año siguiente (FY2/2027): análisis crítico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Partida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Previsión de la dirección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💡 Estimación base propia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Rango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Comentario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Ventas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110.000 (+4,0%)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≈108.000 (+2%)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106.000-110.000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1T +2,9%; Rakuten y precios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BO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1.150 (+3,6%)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≈700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400-1.000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1T: 8. El resto del año a ritmo de FY2/2026 (904) menos presión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Bº ordinario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1.147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≈700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400-1.000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BN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758 (−2,6%)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≈460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260-650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Incluye la venta de valores (+15 en el 1T)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BPA (JPY)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124,81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≈75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43-107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DPA (JPY)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Payout ≈40% en el caso base</w:t>
            </w:r>
          </w:p>
        </w:tc>
      </w:tr>
    </w:tbl>
    <w:p/>
    <w:p>
      <w:pPr>
        <w:pStyle w:val="Heading1"/>
      </w:pPr>
      <w:r>
        <w:t>12.7 Valoración final de la calidad y transparencia del comentario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A"/>
          </w:tcPr>
          <w:p>
            <w:r/>
            <w:r>
              <w:rPr>
                <w:b/>
                <w:i w:val="0"/>
              </w:rPr>
              <w:t>Calificación: 🔴/🟡 BAJA-MEDIA (4/10).</w:t>
            </w:r>
          </w:p>
          <w:p>
            <w:r>
              <w:rPr>
                <w:b w:val="0"/>
                <w:i w:val="0"/>
              </w:rPr>
              <w:t>🟢 Fortalezas: informes completos y puntuales; explicación honesta del efecto calendario; reconocimiento reciente de la competencia en precios y de los cambios con clientes; publicación del margen y del ROE.</w:t>
            </w:r>
          </w:p>
          <w:p>
            <w:r>
              <w:rPr>
                <w:b w:val="0"/>
                <w:i w:val="0"/>
              </w:rPr>
              <w:t>🔴 Debilidades: previsiones poco fiables y no revisadas a tiempo; eufemismos («según el plan»); objetivos del plan no publicados; lenguaje cada vez más grandilocuente frente a resultados en caída; sin presentaciones ni conferencias para inversores.</w:t>
            </w:r>
          </w:p>
          <w:p>
            <w:r>
              <w:rPr>
                <w:b/>
                <w:i w:val="0"/>
              </w:rPr>
              <w:t>Implicación para la inversión:</w:t>
            </w:r>
            <w:r>
              <w:rPr>
                <w:b w:val="0"/>
                <w:i w:val="0"/>
              </w:rPr>
              <w:t xml:space="preserve"> no hay que tomar la previsión de la dirección como escenario base. Conviene descontar ≈30-40% del BO previsto y esperar a ver datos reales (1S, oct-2026) antes de aumentar la posición.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