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Perspectiva del Cliente y Ventaja Competitiva (Pat Dorsey)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2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2.1 Moat Económico (Pat Dorsey)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 de moat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¿Presente?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Intangibles (marcas, patentes, licencias)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No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 hay marcas de consumo. I+D de 79 M JPY (0,17% de ventas) sin patentes relevantes. La fabricación de pienso exige registro sanitario, pero es una barrera común a todo el sector.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Costes de cambio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Débil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Cambiar de proveedor de pienso exige ajustar dietas y tiene algo de riesgo productivo, pero es habitual. El crédito comercial y los préstamos que Nichiwa da a ganaderos crean una dependencia financiera (lock-in), aunque concentrada en los clientes más débiles.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Efecto red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No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 aplica.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Ventajas de coste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Parcial/local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Fábricas en puertos con silos propios (menor coste de descarga y transporte). Pero los competidores grandes tienen escala de compra superior (Feed One ≈6,7x y Chubu ≈4,9x las ventas de piensos de Nichiwa) y plantas más modernas. Margen operativo medio de 1,2% frente a 2,8% de Feed One y 3,1% de Chubu en FY3/2026.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🟡/🔴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Escala eficiente / mercado local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Parcial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El pienso es voluminoso y de bajo valor por kg, así que el radio económico de una fábrica es regional. En zonas como el sur de Kyushu o Aomori el número de proveedores es limitado.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p.11-12; datos de peers: resultados FY3/2026 de Feed One y Chubu Shiryo (TDnet, mayo-2026)]</w:t>
      </w:r>
    </w:p>
    <w:p>
      <w:r>
        <w:rPr>
          <w:b w:val="0"/>
          <w:i w:val="0"/>
          <w:color w:val="1F4E79"/>
          <w:sz w:val="19"/>
        </w:rPr>
        <w:t>💡 ESTIMACIÓN / CÁLCULO PROPIO: Margen operativo FY3/2026: Nichiwa 1.456/45.579 = 3,2%; Feed One 8.091/290.675 = 2,8%; Chubu Shiryo 6.584/211.814 = 3,1%. En FY3/2026 el margen de Nichiwa está en línea con los grandes, pero su media de 6 años (1,2%) es claramente inferior.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/>
                <w:i w:val="0"/>
              </w:rPr>
              <w:t>Conclusión moat: INEXISTENTE.</w:t>
            </w:r>
            <w:r>
              <w:rPr>
                <w:b w:val="0"/>
                <w:i w:val="0"/>
              </w:rPr>
              <w:t xml:space="preserve"> 🔴 Nichiwa no tiene ninguna de las cuatro fuentes de foso de Dorsey de forma sostenible. Su ROE medio de 1,5% (FY3/2021-26) está muy por debajo de su coste de capital (6,7-8,0% según sus propias pruebas de deterioro), que es la prueba empírica de la ausencia de ventaja competitiva.</w:t>
            </w:r>
          </w:p>
        </w:tc>
      </w:tr>
    </w:tbl>
    <w:p/>
    <w:p>
      <w:pPr>
        <w:pStyle w:val="Heading1"/>
      </w:pPr>
      <w:r>
        <w:t>2.2 Concentración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Clientes &gt;10% de ventas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Ninguno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FY3/2026 (F_2025.pdf, 25-jun-2026), p.9 y p.59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Tipología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Ganaderos (avícola, porcino, vacuno), integradoras, distribuidores (特約店), acuicultura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FY3/2026 (F_2025.pdf, 25-jun-2026), p.5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Clientes con relación accionarial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Jumonji Chicken Co. (8,70%, integradora avícola de Iwate); Tohoku Grain Terminal (6,37%, terminal de grano de Hachinohe)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FY3/2026 (F_2025.pdf, 25-jun-2026), p.15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Créditos dudosos y concursales (bruto)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1.243 M JPY (2,7% de ventas); provisión de 1.364 M JPY (cubre el 100%)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FY3/2026 (F_2025.pdf, 25-jun-2026), p.31 y KAM del auditor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Préstamos a largo plazo a clientes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756 M JPY (+442 M JPY en FY3/2026)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FY3/2026 (F_2025.pdf, 25-jun-2026), p.31 y p.37</w:t>
            </w:r>
          </w:p>
        </w:tc>
      </w:tr>
    </w:tbl>
    <w:p/>
    <w:p>
      <w:r>
        <w:rPr>
          <w:b w:val="0"/>
          <w:i w:val="0"/>
        </w:rPr>
        <w:t xml:space="preserve">🟡 No hay concentración comercial relevante, pero sí </w:t>
      </w:r>
      <w:r>
        <w:rPr>
          <w:b/>
          <w:i w:val="0"/>
        </w:rPr>
        <w:t>riesgo de crédito</w:t>
      </w:r>
      <w:r>
        <w:rPr>
          <w:b w:val="0"/>
          <w:i w:val="0"/>
        </w:rPr>
        <w:t xml:space="preserve">: la empresa actúa en parte como financiador de explotaciones ganaderas. El auditor (EY ShinNihon) señala como </w:t>
      </w:r>
      <w:r>
        <w:rPr>
          <w:b/>
          <w:i w:val="0"/>
        </w:rPr>
        <w:t>asunto clave de auditoría (KAM)</w:t>
      </w:r>
      <w:r>
        <w:rPr>
          <w:b w:val="0"/>
          <w:i w:val="0"/>
        </w:rPr>
        <w:t xml:space="preserve"> la valoración de los créditos dudosos y concursales, cuya garantía son </w:t>
      </w:r>
      <w:r>
        <w:rPr>
          <w:b/>
          <w:i w:val="0"/>
        </w:rPr>
        <w:t>animales vivos (vacas, cerdos, pollos) y terrenos</w:t>
      </w:r>
      <w:r>
        <w:rPr>
          <w:b w:val="0"/>
          <w:i w:val="0"/>
        </w:rPr>
        <w:t>.</w:t>
      </w:r>
    </w:p>
    <w:p>
      <w:r>
        <w:rPr>
          <w:b w:val="0"/>
          <w:i/>
          <w:color w:val="555555"/>
          <w:sz w:val="17"/>
        </w:rPr>
        <w:t>[Fuente: Yuho FY3/2026 (F_2025.pdf, 25-jun-2026), p.79 «監査上の主要な検討事項»]</w:t>
      </w:r>
    </w:p>
    <w:p>
      <w:pPr>
        <w:pStyle w:val="Heading1"/>
      </w:pPr>
      <w:r>
        <w:t>2.3 Posicionamiento Competitivo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Evaluación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Posición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Nicho regional / seguidor.</w:t>
            </w:r>
            <w:r>
              <w:rPr>
                <w:b w:val="0"/>
                <w:i w:val="0"/>
                <w:sz w:val="17"/>
              </w:rPr>
              <w:t xml:space="preserve"> Independiente pequeño (≈2% del volumen nacional, ⚠️ estimación).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Competidores principales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JA Zen-Noh y filiales (referencia de precios); Feed One (2060); Chubu Shiryo (2053) / Itochu Feed; Marubeni-Nisshin Feed; Nosan (Mitsubishi); Showa Sangyo; fabricantes regionales y de acuicultura como Higashimaru (2058).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Diferenciadores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Atención técnica cercana; financiación al ganadero; logística portuaria; flexibilidad de un fabricante pequeño.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Barreras de entrada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Moderadas: fábricas con silos portuarios, licencias sanitarias, capital circulante elevado y relación con importadores de grano (Toyota Tsusho, Cargill, Kanematsu son proveedores y accionistas). Pero el sector está en sobrecapacidad y no atrae nuevos entrantes.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Amenaza de sustitutos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Baja: el pienso compuesto es imprescindible en la ganadería intensiva japonesa.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Poder de los clientes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Alto y creciente: menos explotaciones y más grandes; integradoras con varios proveedores.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Poder de los proveedores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Alto: el grano es una commodity global; el precio lo fija Chicago y el tipo de cambio.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p.15 y p.27 (Toyota Tsusho y Kanematsu como «principales proveedores del negocio de piensos»)]</w:t>
      </w:r>
    </w:p>
    <w:p>
      <w:pPr>
        <w:pStyle w:val="Heading1"/>
      </w:pPr>
      <w:r>
        <w:t>2.4 Análisis del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FY3/2022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FY3/2023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FY3/2024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FY3/2025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FY3/2026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Producción nacional de pienso compuesto (Mt)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≈23-24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⚠️ Fuente secundaria; mercado estable/ligeramente decreciente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Ventas de piensos Nichiwa (M JPY)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43.211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52.952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51.157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46.698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43.669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🔍 Yuho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Feed One ventas (M JPY)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≈285.500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290.675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Fuente secundaria (TDnet)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Chubu Shiryo ventas (M JPY)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≈209.900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211.814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Fuente secundaria (TDnet)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Ratio Nichiwa / (Feed One + Chubu)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≈9,4%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≈8,7%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💡 La cuota relativa frente a los dos grandes cotizados cae ≈0,7 pp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 xml:space="preserve">💡 ESTIMACIÓN / CÁLCULO PROPIO: Ventas de Feed One FY3/2025 = 290.675/1,018 ≈ 285.500; Chubu FY3/2025 = 211.814/1,009 ≈ 209.900 (a partir de las variaciones publicadas de +1,8% y +0,9%). Ratio FY3/2026 = 43.669/(290.675+211.814) = 8,7%. 🔴 Nichiwa vendió −6,5% en piensos en FY3/2026 frente a +1,8% y +0,9% de los dos grandes, lo que apunta a </w:t>
      </w:r>
      <w:r>
        <w:rPr>
          <w:b/>
          <w:i w:val="0"/>
          <w:color w:val="1F4E79"/>
          <w:sz w:val="19"/>
        </w:rPr>
        <w:t>pérdida de volumen o de mix</w:t>
      </w:r>
      <w:r>
        <w:rPr>
          <w:b w:val="0"/>
          <w:i w:val="0"/>
          <w:color w:val="1F4E79"/>
          <w:sz w:val="19"/>
        </w:rPr>
        <w:t>, no solo a efecto precio.</w:t>
      </w:r>
    </w:p>
    <w:p>
      <w:r>
        <w:rPr>
          <w:b w:val="0"/>
          <w:i/>
          <w:color w:val="555555"/>
          <w:sz w:val="17"/>
        </w:rPr>
        <w:t>[Fuente: Feed One: resultados FY3/2026 (+1,8% ventas, +27,6% BO); Chubu Shiryo: FY3/2026 (+0,9% ventas, +53,8% BO), vía TDnet/búsquedas web 3-oct-2026]</w:t>
      </w:r>
    </w:p>
    <w:p>
      <w:pPr>
        <w:pStyle w:val="Heading1"/>
      </w:pPr>
      <w:r>
        <w:t>2.5 Necesidad del Cliente</w:t>
      </w:r>
    </w:p>
    <w:p>
      <w:r>
        <w:rPr>
          <w:b w:val="0"/>
          <w:i w:val="0"/>
        </w:rPr>
        <w:t xml:space="preserve">🟢 </w:t>
      </w:r>
      <w:r>
        <w:rPr>
          <w:b/>
          <w:i w:val="0"/>
        </w:rPr>
        <w:t>Crítica.</w:t>
      </w:r>
      <w:r>
        <w:rPr>
          <w:b w:val="0"/>
          <w:i w:val="0"/>
        </w:rPr>
        <w:t xml:space="preserve"> El pienso supone ≈50-70% del coste de producción de huevo, pollo y cerdo en Japón; sin suministro estable las explotaciones intensivas no pueden operar. Esto da </w:t>
      </w:r>
      <w:r>
        <w:rPr>
          <w:b/>
          <w:i w:val="0"/>
        </w:rPr>
        <w:t>estabilidad de volumen</w:t>
      </w:r>
      <w:r>
        <w:rPr>
          <w:b w:val="0"/>
          <w:i w:val="0"/>
        </w:rPr>
        <w:t>, pero no poder de precio, porque el producto es intercambiable entre fabricantes y su precio de referencia es público (Zen-Noh). ⚠️ El porcentaje de coste es una referencia sectorial general, no un dato de la empresa.</w:t>
      </w:r>
    </w:p>
    <w:p>
      <w:pPr>
        <w:pStyle w:val="Heading1"/>
      </w:pPr>
      <w:r>
        <w:t>2.6 Costes de Cambio</w:t>
      </w:r>
    </w:p>
    <w:p>
      <w:r>
        <w:rPr>
          <w:b/>
          <w:i w:val="0"/>
        </w:rPr>
        <w:t>Switching costs: BAJOS-MODERADOS.</w:t>
      </w:r>
      <w:r>
        <w:rPr>
          <w:b w:val="0"/>
          <w:i w:val="0"/>
        </w:rPr>
        <w:t xml:space="preserve"> 🟡 Cambiar de pienso implica un periodo de adaptación de dietas y cierto riesgo productivo, pero los grandes clientes licitan y comparan precios cada trimestre. El vínculo más fuerte es </w:t>
      </w:r>
      <w:r>
        <w:rPr>
          <w:b/>
          <w:i w:val="0"/>
        </w:rPr>
        <w:t>financiero</w:t>
      </w:r>
      <w:r>
        <w:rPr>
          <w:b w:val="0"/>
          <w:i w:val="0"/>
        </w:rPr>
        <w:t xml:space="preserve">: los ganaderos que deben dinero a Nichiwa (créditos comerciales largos, préstamos, compra de su producción) tienen difícil cambiar. Es un «moat» de mala calidad, porque </w:t>
      </w:r>
      <w:r>
        <w:rPr>
          <w:b/>
          <w:i w:val="0"/>
        </w:rPr>
        <w:t>ata precisamente a los clientes de mayor riesgo</w:t>
      </w:r>
      <w:r>
        <w:rPr>
          <w:b w:val="0"/>
          <w:i w:val="0"/>
        </w:rPr>
        <w:t>.</w:t>
      </w:r>
    </w:p>
    <w:p>
      <w:pPr>
        <w:pStyle w:val="Heading1"/>
      </w:pPr>
      <w:r>
        <w:t>2.7 Ventaja Competitiva Sostenible</w:t>
      </w:r>
    </w:p>
    <w:p>
      <w:r>
        <w:rPr>
          <w:b w:val="0"/>
          <w:i w:val="0"/>
        </w:rPr>
        <w:t xml:space="preserve">No hay una ventaja competitiva sostenible identificable. Las ventajas relativas son: (1) </w:t>
      </w:r>
      <w:r>
        <w:rPr>
          <w:b/>
          <w:i w:val="0"/>
        </w:rPr>
        <w:t>ubicación portuaria con silos</w:t>
      </w:r>
      <w:r>
        <w:rPr>
          <w:b w:val="0"/>
          <w:i w:val="0"/>
        </w:rPr>
        <w:t xml:space="preserve"> en cinco puntos del país; (2) </w:t>
      </w:r>
      <w:r>
        <w:rPr>
          <w:b/>
          <w:i w:val="0"/>
        </w:rPr>
        <w:t>relaciones con proveedores de grano que además son accionistas</w:t>
      </w:r>
      <w:r>
        <w:rPr>
          <w:b w:val="0"/>
          <w:i w:val="0"/>
        </w:rPr>
        <w:t xml:space="preserve"> (Toyota Tsusho 7,52%, Cargill Japan 5,52%, Tohoku Grain Terminal 6,37%), que dan seguridad de suministro; y (3) </w:t>
      </w:r>
      <w:r>
        <w:rPr>
          <w:b/>
          <w:i w:val="0"/>
        </w:rPr>
        <w:t>balance sin riesgo</w:t>
      </w:r>
      <w:r>
        <w:rPr>
          <w:b w:val="0"/>
          <w:i w:val="0"/>
        </w:rPr>
        <w:t xml:space="preserve">, que permite financiar clientes y sobrevivir ciclos que podrían quebrar a competidores más pequeños. 🟡 Estas ventajas permiten </w:t>
      </w:r>
      <w:r>
        <w:rPr>
          <w:b/>
          <w:i w:val="0"/>
        </w:rPr>
        <w:t>sobrevivir</w:t>
      </w:r>
      <w:r>
        <w:rPr>
          <w:b w:val="0"/>
          <w:i w:val="0"/>
        </w:rPr>
        <w:t xml:space="preserve"> (casi 102 años de historia), pero no </w:t>
      </w:r>
      <w:r>
        <w:rPr>
          <w:b/>
          <w:i w:val="0"/>
        </w:rPr>
        <w:t>generar retornos superiores</w:t>
      </w:r>
      <w:r>
        <w:rPr>
          <w:b w:val="0"/>
          <w:i w:val="0"/>
        </w:rPr>
        <w:t>.</w:t>
      </w:r>
    </w:p>
    <w:p>
      <w:r>
        <w:rPr>
          <w:b w:val="0"/>
          <w:i/>
          <w:color w:val="555555"/>
          <w:sz w:val="17"/>
        </w:rPr>
        <w:t>[Fuente: Yuho FY3/2026 (F_2025.pdf, 25-jun-2026), p.15 y p.27]</w:t>
      </w:r>
    </w:p>
    <w:p>
      <w:pPr>
        <w:pStyle w:val="Heading1"/>
      </w:pPr>
      <w:r>
        <w:t>2.8 Poder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Episodio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Coste del grano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Acción de precio de Nichiwa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Resultado en margen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↑ (China, etanol, Ucrania)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Subidas en abr, jul y ene; bajada en oct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BO 118 (−58,5%); margen 0,3%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↑↑ (máximo histórico, yen débil)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Tres subidas (abr, jul, oct)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Pérdida operativa de −200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↓ (buena cosecha EE. UU.)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Bajadas en abr, jul y oct; subida en ene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BO 905; margen 1,7%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↓/volátil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Bajadas en abr y oct; subidas en jul y ene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BO 906; margen 1,9%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↓ y luego ↑ (Oriente Medio)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Bajadas en abr, jul y oct; subida en ene-2026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BO 1.456; margen 3,2% (máximo)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1T FY3/2027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↑ por fletes, ↓ por cosecha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Subida en abr-2026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BO 382 (+39%)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MD&amp;A de cada Yuho FY3/2022-FY3/2026 (p.9) y Kessan Tanshin 1T FY3/2027 (Q1_2026.pdf, 12-ago-2026) p.4]</w:t>
      </w:r>
    </w:p>
    <w:p>
      <w:r>
        <w:rPr>
          <w:b/>
          <w:i w:val="0"/>
        </w:rPr>
        <w:t>Conclusión:</w:t>
      </w:r>
      <w:r>
        <w:rPr>
          <w:b w:val="0"/>
          <w:i w:val="0"/>
        </w:rPr>
        <w:t xml:space="preserve"> 🔴 Nichiwa </w:t>
      </w:r>
      <w:r>
        <w:rPr>
          <w:b/>
          <w:i w:val="0"/>
        </w:rPr>
        <w:t>no tiene poder de precio</w:t>
      </w:r>
      <w:r>
        <w:rPr>
          <w:b w:val="0"/>
          <w:i w:val="0"/>
        </w:rPr>
        <w:t xml:space="preserve">: sigue al mercado. Traslada el coste con retraso, lo que produce un patrón «anticíclico» del margen respecto al grano: pierde cuando el grano sube y gana cuando baja. Con el grano y el yen otra vez al alza en 2026, el patrón apunta a </w:t>
      </w:r>
      <w:r>
        <w:rPr>
          <w:b/>
          <w:i w:val="0"/>
        </w:rPr>
        <w:t>compresión de márgenes en FY3/2027</w:t>
      </w:r>
      <w:r>
        <w:rPr>
          <w:b w:val="0"/>
          <w:i w:val="0"/>
        </w:rPr>
        <w:t>, que es lo que prevé la dirección (BO de 500 M JPY).</w:t>
      </w:r>
    </w:p>
    <w:p>
      <w:pPr>
        <w:pStyle w:val="Heading1"/>
      </w:pPr>
      <w:r>
        <w:t>2.9 Proveedores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Proveedor / grupo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Relación accionarial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Toyota Tsusho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Principal proveedor de materias primas de piensos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Accionista (7,52%); Nichiwa tiene 172.779 acciones de Toyota Tsusho (1.028 M JPY): participación cruzada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Yuho FY3/2026 (F_2025.pdf, 25-jun-2026), p.15 y p.27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Cargill Japan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Trading global de grano (proveedor probable ⚠️)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Accionista (5,52%)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Yuho FY3/2026 (F_2025.pdf, 25-jun-2026), p.15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Tohoku Grain Terminal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Terminal de grano de Hachinohe (descarga y silos)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Accionista (6,37%)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Yuho FY3/2026 (F_2025.pdf, 25-jun-2026), p.15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Kanematsu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Principal proveedor del negocio de piensos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Participación cruzada (Nichiwa tiene 3.600 acciones)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Yuho FY3/2026 (F_2025.pdf, 25-jun-2026), p.27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Michinoku Shiryo (asociada)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Fabrica por encargo pienso para vacuno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Asociada (método de coste, no se aplica puesta en equivalencia)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Yuho FY3/2026 (F_2025.pdf, 25-jun-2026), p.5 y p.38</w:t>
            </w:r>
          </w:p>
        </w:tc>
      </w:tr>
    </w:tbl>
    <w:p/>
    <w:p>
      <w:r>
        <w:rPr>
          <w:b w:val="0"/>
          <w:i w:val="0"/>
        </w:rPr>
        <w:t xml:space="preserve">🟡 </w:t>
      </w:r>
      <w:r>
        <w:rPr>
          <w:b/>
          <w:i w:val="0"/>
        </w:rPr>
        <w:t>Concentración moderada</w:t>
      </w:r>
      <w:r>
        <w:rPr>
          <w:b w:val="0"/>
          <w:i w:val="0"/>
        </w:rPr>
        <w:t xml:space="preserve">: dependencia de pocas tradings para un insumo commodity, mitigada porque el grano es fungible y hay varios proveedores alternativos. Las participaciones cruzadas (政策保有株式) con proveedores son típicas en Japón y una </w:t>
      </w:r>
      <w:r>
        <w:rPr>
          <w:b/>
          <w:i w:val="0"/>
        </w:rPr>
        <w:t>señal de gobierno corporativo a vigilar</w:t>
      </w:r>
      <w:r>
        <w:rPr>
          <w:b w:val="0"/>
          <w:i w:val="0"/>
        </w:rPr>
        <w:t xml:space="preserve"> (ver Sección 7).</w:t>
      </w:r>
    </w:p>
    <w:p>
      <w:pPr>
        <w:pStyle w:val="Heading1"/>
      </w:pPr>
      <w:r>
        <w:t>Conclusión de la Sección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Sin moat. Precio aceptante. Clientes con poder creciente y proveedores con poder total sobre el coste.</w:t>
            </w:r>
            <w:r>
              <w:rPr>
                <w:b w:val="0"/>
                <w:i w:val="0"/>
              </w:rPr>
              <w:t xml:space="preserve"> La ventaja de Nichiwa es de supervivencia (balance y ubicación), no de rentabilidad. Para un horizonte de 6-18 meses la tesis </w:t>
            </w:r>
            <w:r>
              <w:rPr>
                <w:b/>
                <w:i w:val="0"/>
              </w:rPr>
              <w:t>no puede apoyarse en la calidad del negocio</w:t>
            </w:r>
            <w:r>
              <w:rPr>
                <w:b w:val="0"/>
                <w:i w:val="0"/>
              </w:rPr>
              <w:t xml:space="preserve">; tiene que apoyarse en la </w:t>
            </w:r>
            <w:r>
              <w:rPr>
                <w:b/>
                <w:i w:val="0"/>
              </w:rPr>
              <w:t>valoración de activos</w:t>
            </w:r>
            <w:r>
              <w:rPr>
                <w:b w:val="0"/>
                <w:i w:val="0"/>
              </w:rPr>
              <w:t xml:space="preserve"> y en catalizadores de capital (Sección 10).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