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Análisis del Balance - Nichiwa Sangyo Co (2055) - 3/10/2026</w:t>
      </w:r>
    </w:p>
    <w:p>
      <w:r>
        <w:rPr>
          <w:b w:val="0"/>
          <w:i/>
          <w:color w:val="1F3A5F"/>
          <w:sz w:val="18"/>
        </w:rPr>
        <w:t>Análisis de Inversión - Nichiwa Sangyo Co (2055) - 3/10/2026 · Sección 3 de 12</w:t>
      </w:r>
    </w:p>
    <w:p>
      <w:r>
        <w:rPr>
          <w:b w:val="0"/>
          <w:i w:val="0"/>
          <w:sz w:val="18"/>
        </w:rPr>
        <w:t xml:space="preserve">Moneda: </w:t>
      </w:r>
      <w:r>
        <w:rPr>
          <w:b/>
          <w:i w:val="0"/>
          <w:sz w:val="18"/>
        </w:rPr>
        <w:t>JPY</w:t>
      </w:r>
      <w:r>
        <w:rPr>
          <w:b w:val="0"/>
          <w:i w:val="0"/>
          <w:sz w:val="18"/>
        </w:rPr>
        <w:t xml:space="preserve"> (millones de yenes salvo indicación). Ejercicio fiscal cerrado a 31 de marzo (FY3/2026 = abr-2025 a mar-2026). Precio de referencia: </w:t>
      </w:r>
      <w:r>
        <w:rPr>
          <w:b/>
          <w:i w:val="0"/>
          <w:sz w:val="18"/>
        </w:rPr>
        <w:t>346 JPY</w:t>
      </w:r>
      <w:r>
        <w:rPr>
          <w:b w:val="0"/>
          <w:i w:val="0"/>
          <w:sz w:val="18"/>
        </w:rPr>
        <w:t xml:space="preserve"> (cierre del último día hábil, 2-oct-2026; verificado en rango 345-346 JPY a 25-sep-2026). Normas contables: J-GAAP. Leyenda: 🔍 DATO VERIFICADO · 💡 ESTIMACIÓN · ⚠️ ESPECULACIÓN · 🟢 Positivo / 🟡 Neutral / 🔴 Negativo.</w:t>
      </w:r>
    </w:p>
    <w:p>
      <w:pPr>
        <w:pStyle w:val="Heading1"/>
      </w:pPr>
      <w:r>
        <w:t>Visión general del balance consolidado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 JPY (31-mar)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FY3/2021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FY3/2022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FY3/2023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FY3/2024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FY3/2025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FY3/2026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Caja y depósitos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9.818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7.618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5.182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7.041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9.019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9.390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Clientes (efectos + e-créditos + cuentas)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8.560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10.581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13.448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14.876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11.197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11.363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Existencias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2.447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3.026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3.259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2.853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2.852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2.782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Activo corriente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20.935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21.871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22.511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25.600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23.625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24.050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Inmovilizado material neto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5.334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5.603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5.833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5.547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4.702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4.016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Inversiones financieras (valores)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557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591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643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1.020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950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1.908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Préstamos a largo plazo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1.481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1.203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1.097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477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313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756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Créditos concursales (bruto)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1.379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1.809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1.574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1.648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1.669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1.243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Provisión insolvencias (no corriente)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2.000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2.257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2.216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1.810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1.718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1.364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ACTIVO TOTAL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27.828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29.046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29.708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32.633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29.706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30.816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Proveedores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4.574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5.859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6.675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8.557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6.140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5.822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Deuda financiera total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4.269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4.269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4.269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3.969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3.969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4.362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Pasivo corriente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9.967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11.450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12.066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14.000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11.219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10.340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PASIVO TOTAL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10.070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11.636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12.272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14.468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11.469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11.777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PATRIMONIO NETO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17.757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17.410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17.435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18.164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18.237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19.039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Balances consolidados: Yuho FY3/2021 (F_2020.pdf, presentado jun-2021) p.31-32; Yuho FY3/2022 (F_2021.pdf, presentado jun-2022) p.32-33; Yuho FY3/2023 (F_2022.pdf, presentado jun-2023) p.33-34; Yuho FY3/2024 (F_2023.pdf, presentado jun-2024) p.32-33; Yuho FY3/2025 (F_2024.pdf, presentado jun-2025) p.32-33; Yuho FY3/2026 (F_2025.pdf, 25-jun-2026) p.31-32]</w:t>
      </w:r>
    </w:p>
    <w:p>
      <w:r>
        <w:rPr>
          <w:b/>
          <w:i w:val="0"/>
        </w:rPr>
        <w:t>Balance a 30-jun-2026 (1T FY3/2027):</w:t>
      </w:r>
      <w:r>
        <w:rPr>
          <w:b w:val="0"/>
          <w:i w:val="0"/>
        </w:rPr>
        <w:t xml:space="preserve"> activo total 32.010; caja 10.089 (+699); clientes 11.360; existencias 3.168; PP&amp;E 3.931; deuda financiera ≈4.312 (CP 3.379 + LP 733 + ≈199 de vencimiento corriente ⚠️ incluido en «otros»); patrimonio neto 19.314; ratio de solvencia 60,3%.</w:t>
      </w:r>
    </w:p>
    <w:p>
      <w:r>
        <w:rPr>
          <w:b w:val="0"/>
          <w:i/>
          <w:color w:val="555555"/>
          <w:sz w:val="17"/>
        </w:rPr>
        <w:t>[Fuente: Kessan Tanshin 1T FY3/2027 (Q1_2026.pdf, 12-ago-2026), p.5]</w:t>
      </w:r>
    </w:p>
    <w:p>
      <w:pPr>
        <w:pStyle w:val="Heading1"/>
      </w:pPr>
      <w:r>
        <w:t>3.1 Activos Fijos (PP&amp;E)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Partida (FY3/2026)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Coste bruto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Amort. acumulada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Neto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% amortizado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Edificios y construcciones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5.846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4.816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1.030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82%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Maquinaria y vehículos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15.097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13.593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1.503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Herramientas y mobiliario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1.103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955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148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87%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Terrenos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1.330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1.330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Obra en curso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Total inmovilizado material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23.380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19.364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4.016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≈86% (ex terrenos)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FY3/2026 (F_2025.pdf, 25-jun-2026), p.31 (連結貸借対照表)]</w:t>
      </w:r>
    </w:p>
    <w:p>
      <w:r>
        <w:rPr>
          <w:b w:val="0"/>
          <w:i w:val="0"/>
        </w:rPr>
        <w:t xml:space="preserve">🔴 </w:t>
      </w:r>
      <w:r>
        <w:rPr>
          <w:b/>
          <w:i w:val="0"/>
        </w:rPr>
        <w:t>Red flag: activo muy envejecido.</w:t>
      </w:r>
      <w:r>
        <w:rPr>
          <w:b w:val="0"/>
          <w:i w:val="0"/>
        </w:rPr>
        <w:t xml:space="preserve"> La maquinaria está amortizada al 90%, señal de plantas antiguas (Kobe 1968, Mihara 1963/1987, Kagoshima 1974, Hachinohe 1983, Sakaide 1995). El CapEx de FY3/2026 (106 M JPY declarados) fue </w:t>
      </w:r>
      <w:r>
        <w:rPr>
          <w:b/>
          <w:i w:val="0"/>
        </w:rPr>
        <w:t>0,2x la amortización</w:t>
      </w:r>
      <w:r>
        <w:rPr>
          <w:b w:val="0"/>
          <w:i w:val="0"/>
        </w:rPr>
        <w:t>, algo que no puede mantenerse en el tiempo sin pérdida de eficiencia.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Centro (31-mar-2026)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Segmento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Edificios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Maquinaria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Terreno (m²)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Terreno (valor contable)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Total contable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Empleados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Fábrica de Kobe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Piensos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213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6.611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457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22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Fábrica de Mihara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Piensos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133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12.521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169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407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26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Fábrica de Kagoshima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Piensos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121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590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16.497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82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831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44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Fábrica de Hachinohe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Piensos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379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19.368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295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822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42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Fábrica de Sakaide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Piensos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9.140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200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351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19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Oficina de Nagasaki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Piensos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177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17.158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250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Sede central (Kobe)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Corporativo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Towa Chikusan (granjas)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Ganadería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137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411.277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162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300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54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FY3/2026 (F_2025.pdf, 25-jun-2026), p.12 «主要な設備の状況»]</w:t>
      </w:r>
    </w:p>
    <w:p>
      <w:r>
        <w:rPr>
          <w:b w:val="0"/>
          <w:i w:val="0"/>
        </w:rPr>
        <w:t xml:space="preserve">⚠️ ESPECULACIÓN: los terrenos están al </w:t>
      </w:r>
      <w:r>
        <w:rPr>
          <w:b/>
          <w:i w:val="0"/>
        </w:rPr>
        <w:t>coste histórico</w:t>
      </w:r>
      <w:r>
        <w:rPr>
          <w:b w:val="0"/>
          <w:i w:val="0"/>
        </w:rPr>
        <w:t xml:space="preserve"> (1.330 M JPY por ≈81.000 m² industriales portuarios más 411.000 m² de granjas). Japón no obliga a revalorizarlos. En FY3/2024 la venta de un terreno generó una plusvalía de 371 M JPY, lo que sugiere </w:t>
      </w:r>
      <w:r>
        <w:rPr>
          <w:b/>
          <w:i w:val="0"/>
        </w:rPr>
        <w:t>plusvalías latentes</w:t>
      </w:r>
      <w:r>
        <w:rPr>
          <w:b w:val="0"/>
          <w:i w:val="0"/>
        </w:rPr>
        <w:t xml:space="preserve"> en el inmobiliario. No es cuantificable sin tasaciones.</w:t>
      </w:r>
    </w:p>
    <w:p>
      <w:r>
        <w:rPr>
          <w:b w:val="0"/>
          <w:i/>
          <w:color w:val="555555"/>
          <w:sz w:val="17"/>
        </w:rPr>
        <w:t>[Fuente: Yuho FY3/2024 (F_2023.pdf, presentado jun-2024), nota ※5 «固定資産売却益» (terreno 371 M JPY)]</w:t>
      </w:r>
    </w:p>
    <w:p>
      <w:pPr>
        <w:pStyle w:val="Heading1"/>
      </w:pPr>
      <w:r>
        <w:t>3.2 Deuda a Largo Plazo</w:t>
      </w:r>
    </w:p>
    <w:p>
      <w:pPr>
        <w:pStyle w:val="Heading2"/>
      </w:pPr>
      <w:r>
        <w:t>Estructura de la deuda (31-mar-2026)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Instrumento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Saldo (M JPY)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Tipo medio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Vencimiento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Préstamos a corto plazo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3.379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1,83%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&lt;1 año (renovables)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Variable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Préstamo a largo plazo (parte corriente)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199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1,36%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&lt;1 año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Variable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Préstamo a largo plazo (no corriente)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783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1,36%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abr-2027 a feb-2031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Variable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Total deuda financiera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4.362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≈1,74% (ponderado)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Línea de crédito comprometida (8 bancos)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 xml:space="preserve">5.230 total; 523 dispuestos; </w:t>
            </w:r>
            <w:r>
              <w:rPr>
                <w:b/>
                <w:i w:val="0"/>
                <w:sz w:val="17"/>
              </w:rPr>
              <w:t>4.707 disponibles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</w:tr>
    </w:tbl>
    <w:p/>
    <w:p>
      <w:r>
        <w:rPr>
          <w:b w:val="0"/>
          <w:i/>
          <w:color w:val="555555"/>
          <w:sz w:val="17"/>
        </w:rPr>
        <w:t>[Fuente: Yuho FY3/2026 (F_2025.pdf, 25-jun-2026), p.42 (貸出コミットメント), p.50 y p.61 «借入金等明細表»]</w:t>
      </w:r>
    </w:p>
    <w:p>
      <w:pPr>
        <w:pStyle w:val="Heading2"/>
      </w:pPr>
      <w:r>
        <w:t>Calendario de vencimientos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Plazo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&lt;1 año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1-2 años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2-3 años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3-4 años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4-5 años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&gt;5 años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7"/>
              </w:rPr>
              <w:t>Préstamos CP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3.379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7"/>
              </w:rPr>
              <w:t>Préstamos LP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199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199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199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199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183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7"/>
              </w:rPr>
              <w:t>Total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3.578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199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199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199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183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FY3/2026 (F_2025.pdf, 25-jun-2026), p.50 nota 3]</w:t>
      </w:r>
    </w:p>
    <w:p>
      <w:pPr>
        <w:pStyle w:val="Heading2"/>
      </w:pPr>
      <w:r>
        <w:t>Evolución histórica del apalancamiento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Ejercicio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Deuda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Caja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Deuda neta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Deuda/FP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DN/EBITDA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EBITDA/Intereses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Solvencia (FP/AT)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FY3/2021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4.269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9.818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-5.549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0,24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-6,6x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14,7x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63,8%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FY3/2022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4.269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7.618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-3.349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0,25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-4,6x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12,9x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59,9%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FY3/2023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4.269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5.182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-913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0,24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-2,2x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7,5x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58,7%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FY3/2024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3.969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7.041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-3.072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0,22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-2,1x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26,8x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55,7%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FY3/2025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3.969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9.019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-5.050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0,22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-3,4x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26,2x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61,4%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FY3/2026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4.362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9.390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-5.028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0,23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-2,6x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27,7x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61,8%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>💡 ESTIMACIÓN / CÁLCULO PROPIO: EBITDA = BO + amortización. Deuda neta negativa = caja neta. Intereses = gasto financiero de la cuenta de resultados.</w:t>
      </w:r>
    </w:p>
    <w:p>
      <w:r>
        <w:rPr>
          <w:b w:val="0"/>
          <w:i w:val="0"/>
        </w:rPr>
        <w:t xml:space="preserve">🟢 </w:t>
      </w:r>
      <w:r>
        <w:rPr>
          <w:b/>
          <w:i w:val="0"/>
        </w:rPr>
        <w:t>Caja neta durante todo el periodo</w:t>
      </w:r>
      <w:r>
        <w:rPr>
          <w:b w:val="0"/>
          <w:i w:val="0"/>
        </w:rPr>
        <w:t>, incluido el peor año del ciclo (FY3/2023, caja neta de 913 M JPY). El préstamo a largo de 1.000 M JPY tomado en FY3/2026 sustituyó parcialmente deuda a corto (−590). ⚠️ Probablemente busca alargar vencimientos ante la subida de tipos en Japón; no hay inversión que lo justifique.</w:t>
      </w:r>
    </w:p>
    <w:p>
      <w:pPr>
        <w:pStyle w:val="Heading2"/>
      </w:pPr>
      <w:r>
        <w:t>Covenants</w:t>
      </w:r>
    </w:p>
    <w:p>
      <w:r>
        <w:rPr>
          <w:b w:val="0"/>
          <w:i w:val="0"/>
        </w:rPr>
        <w:t>🔍 Los informes no revelan covenants financieros en los préstamos ni en la línea comprometida. Dado el apalancamiento negativo, el riesgo de incumplimiento es despreciable. 🟢</w:t>
      </w:r>
    </w:p>
    <w:p>
      <w:pPr>
        <w:pStyle w:val="Heading1"/>
      </w:pPr>
      <w:r>
        <w:t>3.3 NCAV (Net Current Asset Value) – Método Benjamin Graham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Concepto (M JPY)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31-mar-2026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30-jun-2026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Activo corriente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24.050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25.147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(−) Pasivo total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11.777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12.696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NCAV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12.273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12.451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Acciones en circulación (ex autocartera)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18.111.793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18.111.793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NCAV por acción (JPY)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677,6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687,5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Precio / NCAV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0,51x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0,50x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>💡 ESTIMACIÓN / CÁLCULO PROPIO: NCAV = AC − Pasivo total. Por acción: 12.451 M / 18.111.793 = 687,5 JPY. Precio 346 / 687,5 = 0,50x.</w:t>
      </w:r>
    </w:p>
    <w:p>
      <w:pPr>
        <w:pStyle w:val="Heading2"/>
      </w:pPr>
      <w:r>
        <w:t>Net-Net Working Capital (versión conservadora de Graham)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Partida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Saldo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Factor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Valor ajustado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Caja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9.390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100%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9.390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Clientes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11.363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75%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8.522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Existencias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2.782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50%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1.391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(−) Pasivo total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11.777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100%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−11.777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NNWC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7.526 → 415,5 JPY/acción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b w:val="0"/>
                <w:i w:val="0"/>
              </w:rPr>
              <w:t xml:space="preserve">🟢 </w:t>
            </w:r>
            <w:r>
              <w:rPr>
                <w:b/>
                <w:i w:val="0"/>
              </w:rPr>
              <w:t>La acción cotiza a 346 JPY, por debajo de su NCAV (≈688 JPY) e incluso de su NNWC (≈416 JPY).</w:t>
            </w:r>
            <w:r>
              <w:rPr>
                <w:b w:val="0"/>
                <w:i w:val="0"/>
              </w:rPr>
              <w:t xml:space="preserve"> Es una «net-net» clásica de Graham: el mercado valora a cero las cinco fábricas, los terrenos (al coste), las inversiones financieras (1.908 M JPY) y el negocio en marcha.</w:t>
            </w:r>
          </w:p>
          <w:p>
            <w:r>
              <w:rPr>
                <w:b w:val="0"/>
                <w:i w:val="0"/>
              </w:rPr>
              <w:t>🔴 Matices: (i) parte de la caja está atada al ciclo de circulante del grano; (ii) la calidad de los clientes es dudosa (KAM del auditor), aunque las provisiones ya cubren el 100% de los créditos concursales; (iii) sin un catalizador (recompras, OPA o reparto de caja) el descuento puede durar años: el precio/NCAV ya estaba en ≈0,4-0,5x en 2021-2025.</w:t>
            </w:r>
          </w:p>
        </w:tc>
      </w:tr>
    </w:tbl>
    <w:p/>
    <w:p>
      <w:pPr>
        <w:pStyle w:val="Heading1"/>
      </w:pPr>
      <w:r>
        <w:t>3.4 Ratios de Liquidez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Current Ratio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Quick Ratio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Cash Ratio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Fondo de maniobra (M JPY)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FY3/2021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2,10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1,85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0,99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10.968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FY3/2022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1,91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1,65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0,67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10.421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FY3/2023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1,87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1,60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0,43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10.445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FY3/2024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1,83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1,62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0,50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11.600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FY3/2025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2,11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1,85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0,80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12.406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FY3/2026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2,33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2,06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0,91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13.710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30-jun-2026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2,23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1,95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0,90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13.876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>💡 ESTIMACIÓN / CÁLCULO PROPIO: Quick ratio = (AC − existencias)/PC; cash ratio = caja/PC. Existencias a 30-jun-2026 = 127 + 437 + 2.604 = 3.168.</w:t>
      </w:r>
    </w:p>
    <w:p>
      <w:r>
        <w:rPr>
          <w:b w:val="0"/>
          <w:i w:val="0"/>
        </w:rPr>
        <w:t>🟢 Liquidez holgada. El current ratio (1,8-2,3x) supera el benchmark de Dorsey para sectores cíclicos (&gt;1,5x). El mínimo del cash ratio (0,43x en FY3/2023) muestra cuánto consume el circulante en un ciclo de grano caro.</w:t>
      </w:r>
    </w:p>
    <w:p>
      <w:pPr>
        <w:pStyle w:val="Heading1"/>
      </w:pPr>
      <w:r>
        <w:t>3.5 Working Capital Trends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Ejercicio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Clientes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Existencias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Proveedores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Circulante operativo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% Ventas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CCC (días)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7"/>
              </w:rPr>
              <w:t>FY3/2021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8.560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2.447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4.574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6.433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16,1%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58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7"/>
              </w:rPr>
              <w:t>FY3/2022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10.581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3.026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5.859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7.748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17,3%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62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7"/>
              </w:rPr>
              <w:t>FY3/2023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13.448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3.259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6.675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10.032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18,4%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66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7"/>
              </w:rPr>
              <w:t>FY3/2024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14.876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2.853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8.557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9.172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17,3%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61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7"/>
              </w:rPr>
              <w:t>FY3/2025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11.197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2.852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6.140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7.909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16,3%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57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7"/>
              </w:rPr>
              <w:t>FY3/2026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11.363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2.782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5.822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8.323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18,3%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>💡 ESTIMACIÓN / CÁLCULO PROPIO: Circulante operativo = clientes + existencias − proveedores.</w:t>
      </w:r>
    </w:p>
    <w:p>
      <w:r>
        <w:rPr>
          <w:b/>
          <w:i w:val="0"/>
        </w:rPr>
        <w:t>Lectura:</w:t>
      </w:r>
      <w:r>
        <w:rPr>
          <w:b w:val="0"/>
          <w:i w:val="0"/>
        </w:rPr>
        <w:t xml:space="preserve"> el circulante operativo pasó de 6.433 M JPY (FY3/2021) a 9.172 (FY3/2024) en plena inflación del grano: </w:t>
      </w:r>
      <w:r>
        <w:rPr>
          <w:b/>
          <w:i w:val="0"/>
        </w:rPr>
        <w:t>absorbió ≈2.700 M JPY de caja</w:t>
      </w:r>
      <w:r>
        <w:rPr>
          <w:b w:val="0"/>
          <w:i w:val="0"/>
        </w:rPr>
        <w:t>. Se liberó parcialmente en FY3/2025 (−1.263) y se mantiene en ≈8.300 M JPY (18% de ventas). 🟡 El repunte del grano y del yen en 2026 podría volver a absorber caja en FY3/2027: en el 1T las existencias de materias primas subieron +345 M JPY y los proveedores +836.</w:t>
      </w:r>
    </w:p>
    <w:p>
      <w:r>
        <w:rPr>
          <w:b w:val="0"/>
          <w:i/>
          <w:color w:val="555555"/>
          <w:sz w:val="17"/>
        </w:rPr>
        <w:t>[Fuente: Kessan Tanshin 1T FY3/2027 (Q1_2026.pdf, 12-ago-2026), p.4]</w:t>
      </w:r>
    </w:p>
    <w:p>
      <w:pPr>
        <w:pStyle w:val="Heading1"/>
      </w:pPr>
      <w:r>
        <w:t>3.6 CapEx Histórico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Ejercicio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CapEx declarado (devengo)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CapEx caja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Amortización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CapEx/D&amp;A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💡 Mantenimiento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💡 Crecimiento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CapEx/Ventas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FY3/2021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708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893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557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1,60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557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336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2,24%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FY3/2022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874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797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603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1,32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603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194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1,77%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FY3/2023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892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906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618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1,47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618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288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1,66%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FY3/2024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704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658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568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1,16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568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1,24%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FY3/2025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863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448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588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0,76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448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0,92%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/>
                <w:i w:val="0"/>
                <w:sz w:val="16"/>
              </w:rPr>
              <w:t>FY3/2026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381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511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0,75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381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0,84%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>💡 ESTIMACIÓN / CÁLCULO PROPIO: Sin desglose oficial entre mantenimiento y crecimiento, se aproxima el CapEx de mantenimiento por el menor entre CapEx y amortización, y el resto se trata como crecimiento/modernización. CapEx caja = adquisición de inmovilizado material + inmaterial (estado de flujos).</w:t>
      </w:r>
    </w:p>
    <w:p>
      <w:r>
        <w:rPr>
          <w:b w:val="0"/>
          <w:i/>
          <w:color w:val="555555"/>
          <w:sz w:val="17"/>
        </w:rPr>
        <w:t>[Fuente: Estados de flujos de efectivo y «設備投資等の概要» de cada Yuho]</w:t>
      </w:r>
    </w:p>
    <w:p>
      <w:r>
        <w:rPr>
          <w:b w:val="0"/>
          <w:i w:val="0"/>
        </w:rPr>
        <w:t xml:space="preserve">🟡 Entre FY3/2021 y FY3/2024 la empresa invirtió por encima de la amortización (renovación de líneas y obra de reubicación por un proyecto público que generó una compensación de 331 M JPY en FY3/2023). Desde FY3/2025 </w:t>
      </w:r>
      <w:r>
        <w:rPr>
          <w:b/>
          <w:i w:val="0"/>
        </w:rPr>
        <w:t>ha recortado el CapEx a 0,75x la amortización</w:t>
      </w:r>
      <w:r>
        <w:rPr>
          <w:b w:val="0"/>
          <w:i w:val="0"/>
        </w:rPr>
        <w:t xml:space="preserve">. Esto mejora el FCF a corto plazo pero es </w:t>
      </w:r>
      <w:r>
        <w:rPr>
          <w:b/>
          <w:i w:val="0"/>
        </w:rPr>
        <w:t>insostenible</w:t>
      </w:r>
      <w:r>
        <w:rPr>
          <w:b w:val="0"/>
          <w:i w:val="0"/>
        </w:rPr>
        <w:t>.</w:t>
      </w:r>
    </w:p>
    <w:p>
      <w:pPr>
        <w:pStyle w:val="Heading1"/>
      </w:pPr>
      <w:r>
        <w:t>3.7 CapEx Futuro Estimado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Ejercicio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💡 CapEx estimado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Base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Fuente/justificación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FY3/2027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400-550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Amortización ≈480 (1T: 119 × 4)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Yuho FY3/2026 p.13: «no hay planes significativos de nuevas instalaciones ni bajas». Q1: amortización de 119 M JPY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FY3/2028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500-700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Reposición de maquinaria (90% amortizada)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💡 Estimación propia: vuelta a CapEx/D&amp;A ≈1,0-1,3x como en FY3/2021-24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FY3/2029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500-800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Posible renovación de una línea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⚠️ Especulación: plantas de 1963-1983 requerirán inversiones; la NIIF16-J (nueva norma de arrendamientos desde FY3/2028) no cambia el CapEx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FY3/2026 (F_2025.pdf, 25-jun-2026), p.13 «設備の新設、除却等の計画» y p.41 (nueva norma de arrendamientos desde FY3/2028); Kessan Tanshin 1T FY3/2027 (Q1_2026.pdf, 12-ago-2026), p.9]</w:t>
      </w:r>
    </w:p>
    <w:p>
      <w:pPr>
        <w:pStyle w:val="Heading1"/>
      </w:pPr>
      <w:r>
        <w:t>Otros elementos del balance relevantes</w:t>
      </w:r>
    </w:p>
    <w:p>
      <w:pPr>
        <w:pStyle w:val="ListBullet"/>
      </w:pPr>
      <w:r>
        <w:rPr>
          <w:b/>
          <w:i w:val="0"/>
        </w:rPr>
        <w:t>Cartera de valores:</w:t>
      </w:r>
      <w:r>
        <w:rPr>
          <w:b w:val="0"/>
          <w:i w:val="0"/>
        </w:rPr>
        <w:t xml:space="preserve"> 1.908 M JPY, de los que 1.665 M JPY son cotizados con un coste de solo 198 M JPY (plusvalía latente antes de impuestos de 1.466 M JPY). Principales posiciones: Toyota Tsusho 1.028, Resona HD 478, Mizuho 52, S Foods 51; además, un fondo monetario de 200 M JPY. 🟢 Activo líquido no operativo.</w:t>
      </w:r>
    </w:p>
    <w:p>
      <w:pPr>
        <w:pStyle w:val="ListBullet"/>
      </w:pPr>
      <w:r>
        <w:rPr>
          <w:b/>
          <w:i w:val="0"/>
        </w:rPr>
        <w:t>Pensiones:</w:t>
      </w:r>
      <w:r>
        <w:rPr>
          <w:b w:val="0"/>
          <w:i w:val="0"/>
        </w:rPr>
        <w:t xml:space="preserve"> sobrefinanciadas (activo neto de 117 M JPY). 🟢</w:t>
      </w:r>
    </w:p>
    <w:p>
      <w:pPr>
        <w:pStyle w:val="ListBullet"/>
      </w:pPr>
      <w:r>
        <w:rPr>
          <w:b/>
          <w:i w:val="0"/>
        </w:rPr>
        <w:t>Impuestos diferidos:</w:t>
      </w:r>
      <w:r>
        <w:rPr>
          <w:b w:val="0"/>
          <w:i w:val="0"/>
        </w:rPr>
        <w:t xml:space="preserve"> provisión de valoración de 1.283 M JPY sobre activos fiscales (créditos dudosos, deterioros, bases imponibles negativas de 237 M JPY), es decir, activos fiscales no reconocidos que podrían aflorar. 🟡</w:t>
      </w:r>
    </w:p>
    <w:p>
      <w:pPr>
        <w:pStyle w:val="ListBullet"/>
      </w:pPr>
      <w:r>
        <w:rPr>
          <w:b/>
          <w:i w:val="0"/>
        </w:rPr>
        <w:t>Préstamos de la matriz a Towa Chikusan:</w:t>
      </w:r>
      <w:r>
        <w:rPr>
          <w:b w:val="0"/>
          <w:i w:val="0"/>
        </w:rPr>
        <w:t xml:space="preserve"> 2.163 M JPY con una provisión de 1.604 M JPY (en las cuentas individuales). Confirma que la filial ganadera es </w:t>
      </w:r>
      <w:r>
        <w:rPr>
          <w:b/>
          <w:i w:val="0"/>
        </w:rPr>
        <w:t>técnicamente insolvente</w:t>
      </w:r>
      <w:r>
        <w:rPr>
          <w:b w:val="0"/>
          <w:i w:val="0"/>
        </w:rPr>
        <w:t xml:space="preserve"> y depende de la matriz. 🔴</w:t>
      </w:r>
    </w:p>
    <w:p>
      <w:pPr>
        <w:pStyle w:val="ListBullet"/>
      </w:pPr>
      <w:r>
        <w:rPr>
          <w:b/>
          <w:i w:val="0"/>
        </w:rPr>
        <w:t>Autocartera:</w:t>
      </w:r>
      <w:r>
        <w:rPr>
          <w:b w:val="0"/>
          <w:i w:val="0"/>
        </w:rPr>
        <w:t xml:space="preserve"> 2.719.032 acciones (13,05% del capital) a un coste de 722 M JPY (≈265 JPY/acción); no se han amortizado. 🟡</w:t>
      </w:r>
    </w:p>
    <w:p>
      <w:r>
        <w:rPr>
          <w:b w:val="0"/>
          <w:i/>
          <w:color w:val="555555"/>
          <w:sz w:val="17"/>
        </w:rPr>
        <w:t>[Fuente: Yuho FY3/2026 (F_2025.pdf, 25-jun-2026), p.27-28, p.52 (valores), p.54 (pensiones), p.55 (impuestos), p.63-65 (cuentas individuales), p.16 (autocartera)]</w:t>
      </w:r>
    </w:p>
    <w:p>
      <w:pPr>
        <w:pStyle w:val="Heading1"/>
      </w:pPr>
      <w:r>
        <w:t>Conclusión de la Sección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b w:val="0"/>
                <w:i w:val="0"/>
              </w:rPr>
              <w:t xml:space="preserve">🟢 </w:t>
            </w:r>
            <w:r>
              <w:rPr>
                <w:b/>
                <w:i w:val="0"/>
              </w:rPr>
              <w:t>Balance de fortaleza excepcional</w:t>
            </w:r>
            <w:r>
              <w:rPr>
                <w:b w:val="0"/>
                <w:i w:val="0"/>
              </w:rPr>
              <w:t>: caja neta de 5.028 M JPY (80% de la capitalización), solvencia del 62%, cobertura de intereses de 28x, NCAV del doble del precio y valores cotizados con plusvalías.</w:t>
            </w:r>
          </w:p>
          <w:p>
            <w:r>
              <w:rPr>
                <w:b w:val="0"/>
                <w:i w:val="0"/>
              </w:rPr>
              <w:t>🔴 Puntos débiles: activos fijos muy envejecidos con infrainversión reciente; riesgo de crédito a ganaderos; filial ganadera insolvente; caja sensible al ciclo del grano.</w:t>
            </w:r>
          </w:p>
          <w:p>
            <w:r>
              <w:rPr>
                <w:b/>
                <w:i w:val="0"/>
              </w:rPr>
              <w:t>Veredicto:</w:t>
            </w:r>
            <w:r>
              <w:rPr>
                <w:b w:val="0"/>
                <w:i w:val="0"/>
              </w:rPr>
              <w:t xml:space="preserve"> el balance </w:t>
            </w:r>
            <w:r>
              <w:rPr>
                <w:b/>
                <w:i w:val="0"/>
              </w:rPr>
              <w:t>limita mucho el riesgo de pérdida permanente</w:t>
            </w:r>
            <w:r>
              <w:rPr>
                <w:b w:val="0"/>
                <w:i w:val="0"/>
              </w:rPr>
              <w:t xml:space="preserve"> y es el principal argumento de la tesis.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