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Análisis de Rentabilidad - Nichiwa Sangyo Co (2055) - 3/10/2026</w:t>
      </w:r>
    </w:p>
    <w:p>
      <w:r>
        <w:rPr>
          <w:b w:val="0"/>
          <w:i/>
          <w:color w:val="1F3A5F"/>
          <w:sz w:val="18"/>
        </w:rPr>
        <w:t>Análisis de Inversión - Nichiwa Sangyo Co (2055) - 3/10/2026 · Sección 5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31 de marzo (FY3/2026 = abr-2025 a mar-2026). Precio de referencia: </w:t>
      </w:r>
      <w:r>
        <w:rPr>
          <w:b/>
          <w:i w:val="0"/>
          <w:sz w:val="18"/>
        </w:rPr>
        <w:t>346 JPY</w:t>
      </w:r>
      <w:r>
        <w:rPr>
          <w:b w:val="0"/>
          <w:i w:val="0"/>
          <w:sz w:val="18"/>
        </w:rPr>
        <w:t xml:space="preserve"> (cierre del último día hábil, 2-oct-2026; verificado en rango 345-346 JPY a 25-sep-2026).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5.1 Evolución de Márgenes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Margen bruto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SG&amp;A/Ventas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Margen EBITDA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Margen operativo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Margen ordinario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Margen neto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5,9%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5,2%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2,11%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0,71%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0,95%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0,35%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5,5%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5,2%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1,61%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0,26%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0,48%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0,26%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4,4%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4,8%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0,76%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-0,37%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-0,18%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0,29%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5,9%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4,2%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2,79%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1,71%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1,73%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1,02%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7,3%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5,5%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3,08%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1,87%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2,35%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0,64%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9,1%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5,9%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4,32%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3,19%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3,16%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0,83%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Cálculo propio sobre las cuentas de resultados consolidadas (Yuho FY3/2021-FY3/2026)]</w:t>
      </w:r>
    </w:p>
    <w:p>
      <w:r>
        <w:rPr>
          <w:b w:val="0"/>
          <w:i w:val="0"/>
        </w:rPr>
        <w:t xml:space="preserve">1T FY3/2027: margen bruto </w:t>
      </w:r>
      <w:r>
        <w:rPr>
          <w:b/>
          <w:i w:val="0"/>
        </w:rPr>
        <w:t>8,98%</w:t>
      </w:r>
      <w:r>
        <w:rPr>
          <w:b w:val="0"/>
          <w:i w:val="0"/>
        </w:rPr>
        <w:t xml:space="preserve"> (1.056/11.764), margen operativo </w:t>
      </w:r>
      <w:r>
        <w:rPr>
          <w:b/>
          <w:i w:val="0"/>
        </w:rPr>
        <w:t>3,25%</w:t>
      </w:r>
      <w:r>
        <w:rPr>
          <w:b w:val="0"/>
          <w:i w:val="0"/>
        </w:rPr>
        <w:t xml:space="preserve"> (382/11.764) y margen neto </w:t>
      </w:r>
      <w:r>
        <w:rPr>
          <w:b/>
          <w:i w:val="0"/>
        </w:rPr>
        <w:t>2,55%</w:t>
      </w:r>
      <w:r>
        <w:rPr>
          <w:b w:val="0"/>
          <w:i w:val="0"/>
        </w:rPr>
        <w:t xml:space="preserve"> (300/11.764), frente a 8,28%, 2,38% y 1,86% en el 1T FY3/2026. 🟢</w:t>
      </w:r>
    </w:p>
    <w:p>
      <w:r>
        <w:rPr>
          <w:b w:val="0"/>
          <w:i/>
          <w:color w:val="555555"/>
          <w:sz w:val="17"/>
        </w:rPr>
        <w:t>[Fuente: Kessan Tanshin 1T FY3/2027 (Q1_2026.pdf, 12-ago-2026), p.6]</w:t>
      </w:r>
    </w:p>
    <w:p>
      <w:pPr>
        <w:pStyle w:val="Heading2"/>
      </w:pPr>
      <w:r>
        <w:t>Desglose de SG&amp;A y factores que explican el margen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SG&amp;A total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Aportación al fondo de estabilización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Dotación (+)/reversión (−) de insolvencias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Resto de SG&amp;A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2.068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1.528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283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2.355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463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407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1.485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2.602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876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296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1.430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-200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2.238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986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-191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1.443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905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2.651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1.240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1.433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906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FY3/2026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2.675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1.198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1.452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1.456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Notas «販売費及び一般管理費» de cada Yuho (consolidado)]</w:t>
      </w:r>
    </w:p>
    <w:p>
      <w:r>
        <w:rPr>
          <w:b/>
          <w:i w:val="0"/>
        </w:rPr>
        <w:t>Lectura:</w:t>
      </w:r>
      <w:r>
        <w:rPr>
          <w:b w:val="0"/>
          <w:i w:val="0"/>
        </w:rPr>
        <w:t xml:space="preserve"> el «resto de SG&amp;A» (personal, fletes y almacenaje de 537-613, amortización corporativa, etc.) es estable en ≈1.430-1.530 M JPY. La volatilidad viene de (i) el </w:t>
      </w:r>
      <w:r>
        <w:rPr>
          <w:b/>
          <w:i w:val="0"/>
        </w:rPr>
        <w:t>margen bruto</w:t>
      </w:r>
      <w:r>
        <w:rPr>
          <w:b w:val="0"/>
          <w:i w:val="0"/>
        </w:rPr>
        <w:t xml:space="preserve"> (diferencial grano-precio) y (ii) dos partidas «semi-cíclicas»: la aportación al </w:t>
      </w:r>
      <w:r>
        <w:rPr>
          <w:b/>
          <w:i w:val="0"/>
        </w:rPr>
        <w:t>fondo</w:t>
      </w:r>
      <w:r>
        <w:rPr>
          <w:b w:val="0"/>
          <w:i w:val="0"/>
        </w:rPr>
        <w:t xml:space="preserve"> y las </w:t>
      </w:r>
      <w:r>
        <w:rPr>
          <w:b/>
          <w:i w:val="0"/>
        </w:rPr>
        <w:t>provisiones por clientes</w:t>
      </w:r>
      <w:r>
        <w:rPr>
          <w:b w:val="0"/>
          <w:i w:val="0"/>
        </w:rPr>
        <w:t>, que en FY3/2021-23 restaron entre 400 y 1.200 M JPY por año.</w:t>
      </w:r>
    </w:p>
    <w:p>
      <w:pPr>
        <w:pStyle w:val="Heading1"/>
      </w:pPr>
      <w:r>
        <w:t>5.2 EBITDA Ajustado vs Reportado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BO reportado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+ Amortización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= EBITDA reportado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+ Dotación neta de insolvencias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= EBITDA ajustado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Margen ajustado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283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840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540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1.380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3,46%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603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407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1.128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2,51%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-200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618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418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296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714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1,31%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905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568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1.473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-191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1.282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2,42%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906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588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1.494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-22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1.472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3,03%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7"/>
              </w:rPr>
              <w:t>FY3/2026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1.456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511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1.967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1.992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4,37%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 xml:space="preserve">💡 ESTIMACIÓN / CÁLCULO PROPIO: EBITDA ajustado medio FY3/2021-26 = 1.328 M JPY. Pérdida media por insolvencias en el ciclo = (540+407+296−191−22+25)/6 = 176 M JPY/año. </w:t>
      </w:r>
      <w:r>
        <w:rPr>
          <w:b/>
          <w:i w:val="0"/>
          <w:color w:val="1F4E79"/>
          <w:sz w:val="19"/>
        </w:rPr>
        <w:t>EBITDA normalizado (mitad de ciclo) ≈ 1.330 − 176 ≈ 1.150 M JPY</w:t>
      </w:r>
      <w:r>
        <w:rPr>
          <w:b w:val="0"/>
          <w:i w:val="0"/>
          <w:color w:val="1F4E79"/>
          <w:sz w:val="19"/>
        </w:rPr>
        <w:t xml:space="preserve"> y </w:t>
      </w:r>
      <w:r>
        <w:rPr>
          <w:b/>
          <w:i w:val="0"/>
          <w:color w:val="1F4E79"/>
          <w:sz w:val="19"/>
        </w:rPr>
        <w:t>BO normalizado ≈ 600 M JPY</w:t>
      </w:r>
      <w:r>
        <w:rPr>
          <w:b w:val="0"/>
          <w:i w:val="0"/>
          <w:color w:val="1F4E79"/>
          <w:sz w:val="19"/>
        </w:rPr>
        <w:t xml:space="preserve"> (media FY3/2020-26: 571).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Partida excluida del ajuste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Justificación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Deterioros de activos (168 / 644 / 633)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Partida extraordinaria por debajo del BO. Recurrente en la práctica: tres años seguidos en ganadería. 🔴 No se suma al EBITDA, pero se tiene en cuenta en la valoración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Compensación por reubicación (331, FY3/2023) y venta de terreno (395, FY3/2024)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Extraordinarios no recurrentes; ya fuera del BO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Reversión de provisión no operativa (186, FY3/2025)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No operativo; se excluye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i w:val="0"/>
                <w:sz w:val="17"/>
              </w:rPr>
              <w:t>Aportación al fondo de estabilización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 xml:space="preserve">🟡 </w:t>
            </w:r>
            <w:r>
              <w:rPr>
                <w:b/>
                <w:i w:val="0"/>
                <w:sz w:val="17"/>
              </w:rPr>
              <w:t>No se ajusta</w:t>
            </w:r>
            <w:r>
              <w:rPr>
                <w:b w:val="0"/>
                <w:i w:val="0"/>
                <w:sz w:val="17"/>
              </w:rPr>
              <w:t>: es un coste real y recurrente del negocio, aunque cíclico</w:t>
            </w:r>
          </w:p>
        </w:tc>
      </w:tr>
    </w:tbl>
    <w:p/>
    <w:p>
      <w:pPr>
        <w:pStyle w:val="Heading1"/>
      </w:pPr>
      <w:r>
        <w:t>5.3 Comparación con Competidores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Métrica (FY3/2026)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Nichiwa (2055)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Feed One (2060)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Chubu Shiryo (2053)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Higashimaru (2058)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Posición Nichiwa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Ventas (M JPY)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45.579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290.675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211.814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13.332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Pequeño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Margen operativo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3,19%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2,78%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3,11%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3,26%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 En línea (pico de ciclo)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Margen ordinario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3,16%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2,96%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3,38%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≈3,8% ⚠️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Margen neto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0,83%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2,19%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2,62%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Deterioros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ROE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≈11,0%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≈7,9%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−6 a −9 pp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ROA (BN/activo)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1,25%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≈5% ⚠️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≈5,1%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ROIC (NOPAT/CI)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7,2%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Solvencia (FP/AT)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61,8%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46,4%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66,8%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Margen operativo medio de 6 años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1,2%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 (≈2% ⚠️)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 (≈2-2,5% ⚠️)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Inferior en el ciclo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Nichiwa: Yuho FY3/2026. Feed One: resultados FY3/2026 (ventas 290.675, BO 8.091, Bº ordinario 8.612, BN 6.377), ROE 10,97% y solvencia 46,4% (Monex Scouter/kabuyoho, sep-2026). Chubu Shiryo: FY3/2026 (ventas 211.814, BO 6.584, Bº ordinario 7.168, BN 5.551; activo 108.935; PN 72.824; ROE 7,9%; solvencia 66,8%) vía edinetdb/TDnet. Higashimaru: ventas 13.332, BO 434 (kabuyoho/logmi). Todas las búsquedas a 3-oct-2026; ⚠️ datos secundarios no verificados contra los documentos originales]</w:t>
      </w:r>
    </w:p>
    <w:p>
      <w:r>
        <w:rPr>
          <w:b w:val="0"/>
          <w:i w:val="0"/>
          <w:color w:val="1F4E79"/>
          <w:sz w:val="19"/>
        </w:rPr>
        <w:t>💡 ESTIMACIÓN / CÁLCULO PROPIO: ROA de Chubu = 5.551/108.935 = 5,1%. Margen ordinario de Higashimaru ≈ 512/13.332 (el dato de 512 puede ser acumulado a 3T) ⚠️.</w:t>
      </w:r>
    </w:p>
    <w:p>
      <w:pPr>
        <w:pStyle w:val="Heading2"/>
      </w:pPr>
      <w:r>
        <w:t>Descomposición DuPont del ROE de Nichiwa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Margen neto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Rotación de activos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Apalancamiento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ROE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FY3/2021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0,35%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1,45x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1,56x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0,79%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FY3/2022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0,26%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1,58x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1,62x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0,66%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FY3/2023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1,86x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1,69x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0,90%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FY3/2024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1,02%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1,70x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1,75x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3,04%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FY3/2025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0,64%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1,56x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1,71x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1,70%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7"/>
              </w:rPr>
              <w:t>FY3/2026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0,83%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1,51x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1,62x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2,03%</w:t>
            </w:r>
          </w:p>
        </w:tc>
      </w:tr>
    </w:tbl>
    <w:p/>
    <w:p>
      <w:r>
        <w:rPr>
          <w:b w:val="0"/>
          <w:i w:val="0"/>
        </w:rPr>
        <w:t xml:space="preserve">🔴 La rotación (≈1,5-1,9x) y el apalancamiento (≈1,6-1,7x) son normales para el sector. </w:t>
      </w:r>
      <w:r>
        <w:rPr>
          <w:b/>
          <w:i w:val="0"/>
        </w:rPr>
        <w:t>El ROE bajo se debe enteramente al margen neto</w:t>
      </w:r>
      <w:r>
        <w:rPr>
          <w:b w:val="0"/>
          <w:i w:val="0"/>
        </w:rPr>
        <w:t>, lastrado por (i) un margen bruto estructuralmente fino, (ii) las aportaciones al fondo y las insolvencias, y (iii) los deterioros del segmento ganadero. A esto se suma el exceso de caja: con 9.390 M JPY en depósitos casi sin rendimiento (intereses cobrados de 18 M JPY), el ROE sobre capital operativo sería mayor.</w:t>
      </w:r>
    </w:p>
    <w:p>
      <w:r>
        <w:rPr>
          <w:b w:val="0"/>
          <w:i w:val="0"/>
          <w:color w:val="1F4E79"/>
          <w:sz w:val="19"/>
        </w:rPr>
        <w:t>💡 ESTIMACIÓN / CÁLCULO PROPIO: ROE sobre capital operativo FY3/2026 ≈ (BN 378 − intereses netos de caja ≈ 0) / (PN 19.039 − caja neta 5.028 − valores 1.908) = 378 / 12.103 = 3,1%. Sigue siendo bajo: el problema no es solo la caja ociosa.</w:t>
      </w:r>
    </w:p>
    <w:p>
      <w:pPr>
        <w:pStyle w:val="Heading1"/>
      </w:pPr>
      <w:r>
        <w:t>Conclusión de la Sección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A"/>
          </w:tcPr>
          <w:p>
            <w:r/>
            <w:r>
              <w:rPr>
                <w:b w:val="0"/>
                <w:i w:val="0"/>
              </w:rPr>
              <w:t xml:space="preserve">🔴 </w:t>
            </w:r>
            <w:r>
              <w:rPr>
                <w:b/>
                <w:i w:val="0"/>
              </w:rPr>
              <w:t>Rentabilidad estructuralmente pobre</w:t>
            </w:r>
            <w:r>
              <w:rPr>
                <w:b w:val="0"/>
                <w:i w:val="0"/>
              </w:rPr>
              <w:t xml:space="preserve">: ROE medio de 1,5% y margen operativo medio de 1,2% en seis años. FY3/2026 es un </w:t>
            </w:r>
            <w:r>
              <w:rPr>
                <w:b/>
                <w:i w:val="0"/>
              </w:rPr>
              <w:t>pico</w:t>
            </w:r>
            <w:r>
              <w:rPr>
                <w:b w:val="0"/>
                <w:i w:val="0"/>
              </w:rPr>
              <w:t xml:space="preserve"> (margen operativo de 3,2%, el más alto de la serie), en línea con los grandes del sector solo en el mejor momento del ciclo. 🟡 El EBITDA ajustado por insolvencias es más estable (≈1.100-2.000 M JPY), lo que soporta una valoración por EV muy baja (Sección 10).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