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Cash Flow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6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6.1 Operating Cash Flow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BN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Flujo operativo (OCF)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OCF/BN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EBITDA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OCF/EBITDA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FY3/2017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2.723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8,4x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569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FY3/2019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4,2x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-1.038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-8,9x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-144%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-1.533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-9,8x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-367%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2.052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3,8x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1.473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2.444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7,9x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3,1x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1.967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59%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FY3/2017-21: Yuho FY3/2021 (F_2020.pdf, presentado jun-2021) p.2; FY3/2022-26: Yuho FY3/2026 (F_2025.pdf, 25-jun-2026) p.2 y estados de flujos de cada Yuho]</w:t>
      </w:r>
    </w:p>
    <w:p>
      <w:r>
        <w:rPr>
          <w:b w:val="0"/>
          <w:i w:val="0"/>
        </w:rPr>
        <w:t xml:space="preserve">🟡 La conversión de caja es </w:t>
      </w:r>
      <w:r>
        <w:rPr>
          <w:b/>
          <w:i w:val="0"/>
        </w:rPr>
        <w:t>muy volátil</w:t>
      </w:r>
      <w:r>
        <w:rPr>
          <w:b w:val="0"/>
          <w:i w:val="0"/>
        </w:rPr>
        <w:t xml:space="preserve"> y está dominada por el capital circulante: en FY3/2022-23 el grano caro inflaba clientes y existencias (OCF de −1.038 y −1.533) y en FY3/2024-25 el proceso se invirtió (+2.052 y +2.444). </w:t>
      </w:r>
      <w:r>
        <w:rPr>
          <w:b/>
          <w:i w:val="0"/>
        </w:rPr>
        <w:t>Media de 10 años del OCF: 970 M JPY/año</w:t>
      </w:r>
      <w:r>
        <w:rPr>
          <w:b w:val="0"/>
          <w:i w:val="0"/>
        </w:rPr>
        <w:t>, unas 3,1x la media del BN de 10 años (312), gracias a una amortización y unas provisiones no monetarias elevadas.</w:t>
      </w:r>
    </w:p>
    <w:p>
      <w:pPr>
        <w:pStyle w:val="Heading2"/>
      </w:pPr>
      <w:r>
        <w:t>Detalle FY3/2026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 OCF FY3/2026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Bº antes de impuestos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807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+ Amortización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511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+ Deterioros (no monetarios)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633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− Aplicación de provisiones de insolvencias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−373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Clientes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−165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Existencias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+69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Δ Proveedores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−317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Otros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+442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Subtotal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1.607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Intereses y dividendos netos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−22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Impuestos pagados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−430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OCF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1.154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p.37]</w:t>
      </w:r>
    </w:p>
    <w:p>
      <w:pPr>
        <w:pStyle w:val="Heading1"/>
      </w:pPr>
      <w:r>
        <w:t>6.2 Free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OCF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Préstamos netos a clientes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 tras préstamos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 yield (cap. actual)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FCF/BN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1.263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-893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370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5,9%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2,7x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-1.038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-797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-1.835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-1.675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-29,3%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-15,8x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-1.533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-2.439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-2.334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-38,9%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-15,5x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2.052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-658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1.394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1.682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22,2%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2,6x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2.444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-448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1.996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2.122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31,9%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6,4x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1.154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-381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773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-493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12,3%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2,0x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 xml:space="preserve">💡 ESTIMACIÓN / CÁLCULO PROPIO: FCF = OCF − CapEx (inmovilizado material + inmaterial). FCF yield = FCF / capitalización actual (346 JPY × 18.111.793 acciones = 6.267 M JPY). FCF acumulado FY3/2021-26 = 259 M JPY (media de 43/año): </w:t>
      </w:r>
      <w:r>
        <w:rPr>
          <w:b/>
          <w:i w:val="0"/>
          <w:color w:val="1F4E79"/>
          <w:sz w:val="19"/>
        </w:rPr>
        <w:t>el ciclo del circulante consume casi todo el FCF de los años buenos</w:t>
      </w:r>
      <w:r>
        <w:rPr>
          <w:b w:val="0"/>
          <w:i w:val="0"/>
          <w:color w:val="1F4E79"/>
          <w:sz w:val="19"/>
        </w:rPr>
        <w:t>.</w:t>
      </w:r>
    </w:p>
    <w:p>
      <w:pPr>
        <w:pStyle w:val="Heading2"/>
      </w:pPr>
      <w:r>
        <w:t>💡 FCF NORMALIZADO y FCF yield sobre normalizado (obligatorio)</w:t>
      </w:r>
    </w:p>
    <w:p>
      <w:r>
        <w:rPr>
          <w:b w:val="0"/>
          <w:i w:val="0"/>
        </w:rPr>
        <w:t xml:space="preserve">Como el FCF anual está distorsionado por el circulante (que se neutraliza en el ciclo) y por un CapEx temporalmente bajo, se estima un </w:t>
      </w:r>
      <w:r>
        <w:rPr>
          <w:b/>
          <w:i w:val="0"/>
        </w:rPr>
        <w:t>FCF normalizado de mitad de ciclo</w:t>
      </w:r>
      <w:r>
        <w:rPr>
          <w:b w:val="0"/>
          <w:i w:val="0"/>
        </w:rPr>
        <w:t xml:space="preserve"> con tres métodos: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FCF normalizado (M JPY)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A. Medias históricas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OCF medio de 10 años (970) − CapEx medio de 7 años (728)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242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B. NOPAT de mitad de ciclo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normalizado 600 × (1 − 30,6%) = 416 + amortización 540 − CapEx de mantenimiento 600 (≈1,1x D&amp;A por plantas envejecidas) ± ΔWC 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356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C. EBITDA ajustado normalizado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EBITDA normalizado 1.150 − impuestos sobre BO normalizado (184) − CapEx de mantenimiento 600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366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Base (media B y C, ponderando 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(242 + 356 + 366) / 3 ≈ 321 → redondeo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≈330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Conservador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**Base**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Optimista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normalizado (M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330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normalizado por acción (JPY)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13,3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18,2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yield sobre capitalización (6.267 M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3,8%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5,3%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7,2%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EV (cap. − caja neta 5.028) = 1.239 M JPY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FCF yield sobre EV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19,4%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26,6%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36,3%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P/FCF normalizado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26,1x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19,0x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13,9x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FCF yield normalizado (base) = 330 / 6.267 = 5,3%. Sobre EV = 330 / 1.239 = 26,6%. El supuesto optimista (450) usa un BO de mitad de ciclo de 750 (la media FY3/2024-26 es 1.089, pero contiene el pico).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FCF yield normalizado ≈5,3% sobre capitalización</w:t>
            </w:r>
            <w:r>
              <w:rPr>
                <w:b w:val="0"/>
                <w:i w:val="0"/>
              </w:rPr>
              <w:t xml:space="preserve"> (rango 3,8-7,2%): razonable, sin ser llamativo, para una empresa sin crecimiento. 🟢 </w:t>
            </w:r>
            <w:r>
              <w:rPr>
                <w:b/>
                <w:i w:val="0"/>
              </w:rPr>
              <w:t>Sobre EV es ≈27%</w:t>
            </w:r>
            <w:r>
              <w:rPr>
                <w:b w:val="0"/>
                <w:i w:val="0"/>
              </w:rPr>
              <w:t>, porque casi toda la capitalización está respaldada por caja neta. El inversor compra ≈80% caja neta y ≈20% un negocio que genera ≈330 M JPY/año de caja de mitad de ciclo.</w:t>
            </w:r>
          </w:p>
        </w:tc>
      </w:tr>
    </w:tbl>
    <w:p/>
    <w:p>
      <w:pPr>
        <w:pStyle w:val="Heading1"/>
      </w:pPr>
      <w:r>
        <w:t>6.3 Cash Burn Rate</w:t>
      </w:r>
    </w:p>
    <w:p>
      <w:r>
        <w:rPr>
          <w:b w:val="0"/>
          <w:i w:val="0"/>
        </w:rPr>
        <w:t xml:space="preserve">No aplica: la empresa es FCF positiva en el ciclo. Como </w:t>
      </w:r>
      <w:r>
        <w:rPr>
          <w:b/>
          <w:i w:val="0"/>
        </w:rPr>
        <w:t>prueba de estrés</w:t>
      </w:r>
      <w:r>
        <w:rPr>
          <w:b w:val="0"/>
          <w:i w:val="0"/>
        </w:rPr>
        <w:t xml:space="preserve">, en el peor bienio (FY3/2022-23) el FCF acumulado fue de </w:t>
      </w:r>
      <w:r>
        <w:rPr>
          <w:b/>
          <w:i w:val="0"/>
        </w:rPr>
        <w:t>−4.274 M JPY</w:t>
      </w:r>
      <w:r>
        <w:rPr>
          <w:b w:val="0"/>
          <w:i w:val="0"/>
        </w:rPr>
        <w:t xml:space="preserve"> (−1.835 y −2.439) y, con dividendos y la recompra, la caja bajó de 9.818 a 5.182 M JPY </w:t>
      </w:r>
      <w:r>
        <w:rPr>
          <w:b/>
          <w:i w:val="0"/>
        </w:rPr>
        <w:t>sin necesidad de nueva deuda</w:t>
      </w:r>
      <w:r>
        <w:rPr>
          <w:b w:val="0"/>
          <w:i w:val="0"/>
        </w:rPr>
        <w:t>. 🟢 La caja actual (10.089 M JPY a jun-2026) cubriría ≈2,4 ciclos de estrés equivalentes.</w:t>
      </w:r>
    </w:p>
    <w:p>
      <w:r>
        <w:rPr>
          <w:b w:val="0"/>
          <w:i/>
          <w:color w:val="555555"/>
          <w:sz w:val="17"/>
        </w:rPr>
        <w:t>[Fuente: Yuho FY3/2023 (F_2022.pdf, presentado jun-2023), p.39; Kessan Tanshin 1T FY3/2027 (Q1_2026.pdf, 12-ago-2026), p.5]</w:t>
      </w:r>
    </w:p>
    <w:p>
      <w:pPr>
        <w:pStyle w:val="Heading1"/>
      </w:pPr>
      <w:r>
        <w:t>6.4 Sostenibilidad de las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 / necesidad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 JPY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Caja (30-jun-2026)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10.089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Línea comprometida no dispuesta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4.707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 bancos (FY3/2026)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Valores cotizados (valor de mercado)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≈1.750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Toyota Tsusho, Resona, etc. (a mar-2026: 1.665)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Liquidez total disponible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≈16.500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Deuda que vence a &lt;12 meses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≈3.578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Préstamos a corto renovables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Dividendo anual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≈109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 JPY × 18,1 M acciones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CapEx de mantenimiento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≈500-600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Necesidad de circulante en un shock de grano (peor caso histórico)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≈2.700-4.300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FY3/2022-23</w:t>
            </w:r>
          </w:p>
        </w:tc>
      </w:tr>
    </w:tbl>
    <w:p/>
    <w:p>
      <w:r>
        <w:rPr>
          <w:b w:val="0"/>
          <w:i w:val="0"/>
        </w:rPr>
        <w:t xml:space="preserve">🟢 </w:t>
      </w:r>
      <w:r>
        <w:rPr>
          <w:b/>
          <w:i w:val="0"/>
        </w:rPr>
        <w:t>Altamente sostenible.</w:t>
      </w:r>
      <w:r>
        <w:rPr>
          <w:b w:val="0"/>
          <w:i w:val="0"/>
        </w:rPr>
        <w:t xml:space="preserve"> Incluso en un escenario de estrés severo la empresa conserva más de 8.000 M JPY de liquidez.</w:t>
      </w:r>
    </w:p>
    <w:p>
      <w:pPr>
        <w:pStyle w:val="Heading1"/>
      </w:pPr>
      <w:r>
        <w:t>6.5 CapEx y FCF: mantenimiento vs crecimiento (5 años)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CapEx total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Mantenimiento (≈min[CapEx; D&amp;A])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Crecimiento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FCF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FCF «de propietario» (OCF − mantenimiento)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797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603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-1.835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-1.641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-2.439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-2.151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568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1.484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448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448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1.996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1.996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773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773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No hay desglose oficial. El supuesto de mantenimiento ≈ amortización es estándar; con plantas de 40-60 años probablemente infraestima el mantenimiento real.</w:t>
      </w:r>
    </w:p>
    <w:p>
      <w:r>
        <w:rPr>
          <w:b w:val="0"/>
          <w:i w:val="0"/>
        </w:rPr>
        <w:t xml:space="preserve">🔴 En FY3/2025-26 el CapEx (448 y 381) estuvo </w:t>
      </w:r>
      <w:r>
        <w:rPr>
          <w:b/>
          <w:i w:val="0"/>
        </w:rPr>
        <w:t>por debajo de la amortización</w:t>
      </w:r>
      <w:r>
        <w:rPr>
          <w:b w:val="0"/>
          <w:i w:val="0"/>
        </w:rPr>
        <w:t xml:space="preserve"> (588 y 511). Parte del FCF reciente es «prestado» del futuro.</w:t>
      </w:r>
    </w:p>
    <w:p>
      <w:pPr>
        <w:pStyle w:val="Heading1"/>
      </w:pPr>
      <w:r>
        <w:t>Conclusión de la Sección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 FCF real muy volátil (acumulado de 6 años de solo 259 M JPY) por el circulante del grano. </w:t>
            </w:r>
            <w:r>
              <w:rPr>
                <w:b/>
                <w:i w:val="0"/>
              </w:rPr>
              <w:t>FCF normalizado ≈330 M JPY → FCF yield normalizado del 5,3% sobre capitalización y del ≈27% sobre EV.</w:t>
            </w:r>
            <w:r>
              <w:rPr>
                <w:b w:val="0"/>
                <w:i w:val="0"/>
              </w:rPr>
              <w:t xml:space="preserve"> 🟢 La liquidez (≈16.500 M JPY entre caja, línea comprometida y valores) elimina cualquier riesgo de financiación. 🔴 La calidad del FCF reciente está inflada por la infrainversión.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