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Management y Governance - Nichiwa Sangyo Co (2055) - 3/10/2026</w:t>
      </w:r>
    </w:p>
    <w:p>
      <w:r>
        <w:rPr>
          <w:b w:val="0"/>
          <w:i/>
          <w:color w:val="1F3A5F"/>
          <w:sz w:val="18"/>
        </w:rPr>
        <w:t>Análisis de Inversión - Nichiwa Sangyo Co (2055) - 3/10/2026 · Sección 7 de 12</w:t>
      </w:r>
    </w:p>
    <w:p>
      <w:r>
        <w:rPr>
          <w:b w:val="0"/>
          <w:i w:val="0"/>
          <w:sz w:val="18"/>
        </w:rPr>
        <w:t xml:space="preserve">Moneda: </w:t>
      </w:r>
      <w:r>
        <w:rPr>
          <w:b/>
          <w:i w:val="0"/>
          <w:sz w:val="18"/>
        </w:rPr>
        <w:t>JPY</w:t>
      </w:r>
      <w:r>
        <w:rPr>
          <w:b w:val="0"/>
          <w:i w:val="0"/>
          <w:sz w:val="18"/>
        </w:rPr>
        <w:t xml:space="preserve"> (millones de yenes salvo indicación). Ejercicio fiscal cerrado a 31 de marzo (FY3/2026 = abr-2025 a mar-2026). Precio de referencia: </w:t>
      </w:r>
      <w:r>
        <w:rPr>
          <w:b/>
          <w:i w:val="0"/>
          <w:sz w:val="18"/>
        </w:rPr>
        <w:t>346 JPY</w:t>
      </w:r>
      <w:r>
        <w:rPr>
          <w:b w:val="0"/>
          <w:i w:val="0"/>
          <w:sz w:val="18"/>
        </w:rPr>
        <w:t xml:space="preserve"> (cierre del último día hábil, 2-oct-2026; verificado en rango 345-346 JPY a 25-sep-2026). Normas contables: J-GAAP. Leyenda: 🔍 DATO VERIFICADO · 💡 ESTIMACIÓN · ⚠️ ESPECULACIÓN · 🟢 Positivo / 🟡 Neutral / 🔴 Negativo.</w:t>
      </w:r>
    </w:p>
    <w:p>
      <w:pPr>
        <w:pStyle w:val="Heading1"/>
      </w:pPr>
      <w:r>
        <w:t>7.1 Historia de la Compañía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Periodo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Hito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Relevancia para el inversor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1924-1961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Fundación en Kobe; cambio de nombre en 1948; salida a bolsa en Osaka en 1961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Más de 100 años de historia; supervivencia demostrada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1963-1995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Red de 5 fábricas portuarias (Mihara, Kobe, Kagoshima, Hachinohe, Sakaide)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La base de activos actual es de esta época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1975-1999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Entrada en la ganadería (Towa Chikusan, granjas)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🔴 Origen del segmento deficitario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1999-2017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Masatoshi Nakahashi, presidente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Gestión familiar y conservadora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2017-2024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Masatoshi Nakahashi, presidente del consejo; Taichiro Nakahashi, director general de ventas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Transición familiar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feb-2022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Recompra del 5,8% del capital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🟢 La única recompra significativa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jun-2024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Taichiro Nakahashi (hijo), presidente y consejero delegado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Segunda generación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jun-2025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Paso a sociedad con comité de auditoría y supervisión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🟡 Mejora formal de gobierno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2024-2026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Deterioros en ganadería por 1.277 M JPY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Señal de reconocimiento de problemas por la nueva dirección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FY3/2026 (F_2025.pdf, 25-jun-2026), p.4 y p.22-23]</w:t>
      </w:r>
    </w:p>
    <w:p>
      <w:pPr>
        <w:pStyle w:val="Heading1"/>
      </w:pPr>
      <w:r>
        <w:t>7.2 Equipo Directivo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Nombre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Cargo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Nacimiento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Trayectoria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Acciones (miles)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% capital*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Taichiro Nakahashi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Presidente y consejero delegado (desde jun-2024)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1979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Entra en 2007; director de administración (2011), director general de ventas (2018)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0,13%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Masatoshi Nakahashi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Consejero y asesor (相談役); padre del presidente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1945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Presidente 1999-2017; presidente del consejo 2017-2024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411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2,27%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Yukihisa Matsumoto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Consejero, director de la fábrica de Mihara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1952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En la empresa desde 1975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0,02%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Hideo Yasui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Consejero, director de administración y asuntos generales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1956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En la empresa desde 1978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0,14%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Satoshi Higashimokuhino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Consejero, director de la fábrica de Kagoshima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1961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En la empresa desde 1984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Tsuneo Wakimura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Consejero miembro del comité de auditoría (interno)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1952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Ex director de administración; auditor desde 2008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211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1,16%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Shiro Kawasaki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Consejero externo independiente (comité de auditoría)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1953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Ex Sanwa/MUFG; EY ShinNihon; consejero desde 2017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Kenji Yoshida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Consejero externo independiente (comité de auditoría)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1972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Auditor (CPA, ex Tohmatsu); consejero en Monstar Lab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Total consejo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674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3,72%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FY3/2026 (F_2025.pdf, 25-jun-2026), p.22-23 «役員の状況». *% sobre 18.111.793 acciones en circulación]</w:t>
      </w:r>
    </w:p>
    <w:p>
      <w:r>
        <w:rPr>
          <w:b w:val="0"/>
          <w:i w:val="0"/>
        </w:rPr>
        <w:t xml:space="preserve">🔴 </w:t>
      </w:r>
      <w:r>
        <w:rPr>
          <w:b/>
          <w:i w:val="0"/>
        </w:rPr>
        <w:t>Consejo de 8 hombres, sin mujeres</w:t>
      </w:r>
      <w:r>
        <w:rPr>
          <w:b w:val="0"/>
          <w:i w:val="0"/>
        </w:rPr>
        <w:t xml:space="preserve">, con edad media elevada (cuatro consejeros nacidos antes de 1957), 6 internos de carrera y solo </w:t>
      </w:r>
      <w:r>
        <w:rPr>
          <w:b/>
          <w:i w:val="0"/>
        </w:rPr>
        <w:t>2 independientes (25%)</w:t>
      </w:r>
      <w:r>
        <w:rPr>
          <w:b w:val="0"/>
          <w:i w:val="0"/>
        </w:rPr>
        <w:t>. El código de gobierno corporativo japonés pide al menos 1/3 de independientes en Prime; en Standard se pide un mínimo de 2. 🟡 Cumple el mínimo.</w:t>
      </w:r>
    </w:p>
    <w:p>
      <w:pPr>
        <w:pStyle w:val="Heading1"/>
      </w:pPr>
      <w:r>
        <w:t>7.3 Estructura de Propiedad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Accionista (31-mar-2026)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Acciones (miles)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%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Naturaleza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Evolución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Jumonji Chicken Company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1.576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8,70%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Cliente (integradora avícola, Iwate)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🟢↑ 733 (2021) → 991 → 1.139 → 1.385 → 1.576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Toyota Tsusho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1.362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7,52%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Proveedor de grano; participación cruzada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Estable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Tohoku Grain Terminal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1.153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6,37%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Terminal de grano de Hachinohe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Estable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Cargill Japan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1.000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5,52%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Trading de grano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Estable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Minato Bank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903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4,99%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Banco local (Kobe)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Estable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MUFG Bank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873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4,82%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Banco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↓ desde 923 (2021)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SMBC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873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4,82%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Banco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↓ desde 923 (2021)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Hyogo Shinren (JA Hyogo)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849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4,69%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Cooperativa agrícola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Estable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Japan Securities Finance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767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4,24%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Financiación de valores (préstamo de margen)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 Nuevo en el top 10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Seigo Naito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601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3,32%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Particular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 Nuevo en el top 10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Top 10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9.958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54,98%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</w:p>
        </w:tc>
        <w:tc>
          <w:tcPr>
            <w:tcW w:type="dxa" w:w="1994"/>
          </w:tcPr>
          <w:p>
            <w:pPr>
              <w:jc w:val="center"/>
            </w:pPr>
            <w:r/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Autocartera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2.719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13,05% del total emitido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Sin amortizar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FY3/2026 (F_2025.pdf, 25-jun-2026) p.15; Yuho FY3/2021 (F_2020.pdf, presentado jun-2021) p.17; Yuho FY3/2022 (F_2021.pdf, presentado jun-2022) p.17; Yuho FY3/2023 (F_2022.pdf, presentado jun-2023) p.17; Yuho FY3/2024 (F_2023.pdf, presentado jun-2024) p.16]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Tipo de accionista (% acciones)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FY3/2021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FY3/2026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Instituciones financieras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28,29%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27,32%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Sociedades de valores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1,25%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0,72%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Otras sociedades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31,18%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34,36%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Extranjeros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9,84%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3,60%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Particulares y otros (incl. autocartera)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29,44%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34,00%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Número de accionistas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1.970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1.596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FY3/2021 (F_2020.pdf, presentado jun-2021) p.17 y Yuho FY3/2026 (F_2025.pdf, 25-jun-2026) p.15 «所有者別状況»]</w:t>
      </w:r>
    </w:p>
    <w:p>
      <w:r>
        <w:rPr>
          <w:b/>
          <w:i w:val="0"/>
        </w:rPr>
        <w:t>Lectura:</w:t>
      </w:r>
      <w:r>
        <w:rPr>
          <w:b w:val="0"/>
          <w:i w:val="0"/>
        </w:rPr>
        <w:t xml:space="preserve"> ≈62% del capital está en manos de bancos, tradings, clientes y cooperativas (accionistas «estables» o de relación). 🔴 El free float real es pequeño y la acción es </w:t>
      </w:r>
      <w:r>
        <w:rPr>
          <w:b/>
          <w:i w:val="0"/>
        </w:rPr>
        <w:t>muy ilíquida</w:t>
      </w:r>
      <w:r>
        <w:rPr>
          <w:b w:val="0"/>
          <w:i w:val="0"/>
        </w:rPr>
        <w:t xml:space="preserve">. 🟢 La </w:t>
      </w:r>
      <w:r>
        <w:rPr>
          <w:b/>
          <w:i w:val="0"/>
        </w:rPr>
        <w:t>acumulación continuada de Jumonji Chicken</w:t>
      </w:r>
      <w:r>
        <w:rPr>
          <w:b w:val="0"/>
          <w:i w:val="0"/>
        </w:rPr>
        <w:t xml:space="preserve"> (+115% en acciones desde 2021) es la señal de propiedad más relevante: un cliente estratégico que aumenta posición cada año. ⚠️ ESPECULACIÓN: podría anticipar una integración vertical o una operación corporativa. No hay ningún anuncio al respecto. 🟡 La salida de los extranjeros (9,8% → 3,6%) coincide con la recompra de feb-2022 a 355 JPY, probablemente a Unearth International (Seychelles, 4,95% en 2021).</w:t>
      </w:r>
    </w:p>
    <w:p>
      <w:pPr>
        <w:pStyle w:val="Heading1"/>
      </w:pPr>
      <w:r>
        <w:t>7.4 Situación Financiera del Controlador</w:t>
      </w:r>
    </w:p>
    <w:p>
      <w:r>
        <w:rPr>
          <w:b w:val="0"/>
          <w:i w:val="0"/>
        </w:rPr>
        <w:t>No hay accionista de control ni matriz (la empresa declara «no tener sociedad matriz»). La familia Nakahashi, con ≈2,4% directo, controla la gestión pero no la propiedad. Los accionistas industriales relevantes (Toyota Tsusho, Cargill) son solventes; Jumonji Chicken es una empresa privada de Iwate de tamaño medio. ⚠️ No hay datos públicos verificados de su situación financiera.</w:t>
      </w:r>
    </w:p>
    <w:p>
      <w:r>
        <w:rPr>
          <w:b w:val="0"/>
          <w:i/>
          <w:color w:val="555555"/>
          <w:sz w:val="17"/>
        </w:rPr>
        <w:t>[Fuente: Yuho FY3/2026 (F_2025.pdf, 25-jun-2026), p.76 «提出会社の親会社等の情報»]</w:t>
      </w:r>
    </w:p>
    <w:p>
      <w:pPr>
        <w:pStyle w:val="Heading1"/>
      </w:pPr>
      <w:r>
        <w:t>7.5 Track Record del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Masatoshi Nakahashi como presidente del consejo (FY3/2018-24, media)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Taichiro Nakahashi como presidente (FY3/2025-26, media)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Comentario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Ventas (M JPY)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≈45.000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47.078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Efecto precio del grano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BO (M JPY)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≈300 (FY3/2020-24)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1.181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🟢 Coincide con el grano a la baja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Margen operativo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≈0,7%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2,5%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ROE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≈1,6%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1,9%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Los deterioros anulan la mejora operativa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Deterioros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168 (FY3/2024)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1.277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 Saneamiento de la ganadería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Dividendo por acción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5-8 JPY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 JPY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Sin cambios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Recompras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426 M JPY (2022)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</w:t>
            </w:r>
          </w:p>
        </w:tc>
      </w:tr>
    </w:tbl>
    <w:p/>
    <w:p>
      <w:r>
        <w:rPr>
          <w:b w:val="0"/>
          <w:i w:val="0"/>
          <w:color w:val="1F4E79"/>
          <w:sz w:val="19"/>
        </w:rPr>
        <w:t>💡 ESTIMACIÓN / CÁLCULO PROPIO: BO medio FY3/2020-24 = (528+283+118−200+905)/5 = 327; FY3/2025-26 = (906+1.456)/2 = 1.181. ROE FY3/2018-24 a partir de los Yuho (3,08 / 1,46 / 2,12 / 0,79 / 0,67 / 0,90 / 3,04) → media 1,72%; FY3/2025-26: (1,70+2,03)/2 = 1,87%.</w:t>
      </w:r>
    </w:p>
    <w:p>
      <w:r>
        <w:rPr>
          <w:b w:val="0"/>
          <w:i w:val="0"/>
        </w:rPr>
        <w:t xml:space="preserve">🟡 Es demasiado pronto para juzgar al nuevo presidente: la mejora del BO se explica por el ciclo del grano. Lo positivo: ha reconocido deterioros (limpieza contable) y ha reforzado formalmente el gobierno (comité de auditoría). Lo negativo: </w:t>
      </w:r>
      <w:r>
        <w:rPr>
          <w:b/>
          <w:i w:val="0"/>
        </w:rPr>
        <w:t>ningún cambio en la política de capital</w:t>
      </w:r>
      <w:r>
        <w:rPr>
          <w:b w:val="0"/>
          <w:i w:val="0"/>
        </w:rPr>
        <w:t xml:space="preserve"> con P/B de 0,33x.</w:t>
      </w:r>
    </w:p>
    <w:p>
      <w:pPr>
        <w:pStyle w:val="Heading1"/>
      </w:pPr>
      <w:r>
        <w:t>7.6 Insider Ownership y transacciones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Consejero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Acciones FY3/2025 (miles)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Acciones FY3/2026 (miles)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Variación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Taichiro Nakahashi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Masatoshi Nakahashi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411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411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Yukihisa Matsumoto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Hideo Yasui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25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25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Tsuneo Wakimura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211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211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FY3/2025 (F_2024.pdf, presentado jun-2025) p.24 y Yuho FY3/2026 (F_2025.pdf, 25-jun-2026) p.22]</w:t>
      </w:r>
    </w:p>
    <w:p>
      <w:r>
        <w:rPr>
          <w:b w:val="0"/>
          <w:i w:val="0"/>
        </w:rPr>
        <w:t xml:space="preserve">🟡 </w:t>
      </w:r>
      <w:r>
        <w:rPr>
          <w:b/>
          <w:i w:val="0"/>
        </w:rPr>
        <w:t>Sin compras ni ventas de directivos en el último año.</w:t>
      </w:r>
      <w:r>
        <w:rPr>
          <w:b w:val="0"/>
          <w:i w:val="0"/>
        </w:rPr>
        <w:t xml:space="preserve"> Con un 3,7% en manos del consejo, la alineación con el minoritario es baja. Japón no tiene un registro tipo «Form 4» de fácil acceso; los cambios se ven en el Yuho anual y en los informes de participaciones significativas (≥5%) de EDINET. No se han localizado informes de participación relevantes de directivos.</w:t>
      </w:r>
    </w:p>
    <w:p>
      <w:pPr>
        <w:pStyle w:val="Heading1"/>
      </w:pPr>
      <w:r>
        <w:t>7.7 Incentivos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Situación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Alineación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Retribución total de consejeros ejecutivos (6)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79 M JPY (≈13 M por persona)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Retribución variable ligada a resultados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Ninguna</w:t>
            </w:r>
            <w:r>
              <w:rPr>
                <w:b w:val="0"/>
                <w:i w:val="0"/>
                <w:sz w:val="17"/>
              </w:rPr>
              <w:t xml:space="preserve"> (solo salario fijo mensual)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Stock options / acciones restringidas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Ninguna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Indemnización por jubilación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Ninguna en el ejercicio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Quién fija la retribución individual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El presidente, por delegación del consejo, oído un comité voluntario (presidente + 2 externos)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🔴 Autorreferencial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Límite aprobado por la junta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160 M JPY/año (ejecutivos); 40 M JPY (comité de auditoría)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</w:p>
        </w:tc>
      </w:tr>
    </w:tbl>
    <w:p/>
    <w:p>
      <w:r>
        <w:rPr>
          <w:b w:val="0"/>
          <w:i/>
          <w:color w:val="555555"/>
          <w:sz w:val="17"/>
        </w:rPr>
        <w:t>[Fuente: Yuho FY3/2026 (F_2025.pdf, 25-jun-2026), p.26 «役員の報酬等»]</w:t>
      </w:r>
    </w:p>
    <w:p>
      <w:r>
        <w:rPr>
          <w:b w:val="0"/>
          <w:i w:val="0"/>
        </w:rPr>
        <w:t xml:space="preserve">🔴 </w:t>
      </w:r>
      <w:r>
        <w:rPr>
          <w:b/>
          <w:i w:val="0"/>
        </w:rPr>
        <w:t>Incentivos desalineados</w:t>
      </w:r>
      <w:r>
        <w:rPr>
          <w:b w:val="0"/>
          <w:i w:val="0"/>
        </w:rPr>
        <w:t>: nada en la remuneración premia el ROE, el valor contable por acción ni el precio de la acción. La gestión no tiene motivos económicos para corregir el descuento de valoración.</w:t>
      </w:r>
    </w:p>
    <w:p>
      <w:pPr>
        <w:pStyle w:val="Heading1"/>
      </w:pPr>
      <w:r>
        <w:t>7.8 Red Flags de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Señal de alerta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¿Presente?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Comentario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Auditor con mandato excesivo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Sí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 xml:space="preserve">EY ShinNihon audita a la empresa desde hace </w:t>
            </w:r>
            <w:r>
              <w:rPr>
                <w:b/>
                <w:i w:val="0"/>
                <w:sz w:val="16"/>
              </w:rPr>
              <w:t>66 años</w:t>
            </w:r>
            <w:r>
              <w:rPr>
                <w:b w:val="0"/>
                <w:i w:val="0"/>
                <w:sz w:val="16"/>
              </w:rPr>
              <w:t xml:space="preserve"> (rotación de socios correcta)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Participaciones cruzadas con proveedores (政策保有株式)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Sí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 valores cotizados por 1.153 M JPY; el valor de Toyota Tsusho se ha multiplicado (430 → 1.028) sin desinversión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Remuneración sin variable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Sí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Solo salario fijo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Gestión familiar sin control de capital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 Sí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Sucesión padre-hijo; el padre sigue en el consejo como 相談役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Consejo sin diversidad y con pocos independientes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Sí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0% mujeres; 25% independientes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Plan de acción sobre el P/B (petición de la TSE para Prime y Standard)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No localizado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No aparece en el Yuho; no se ha encontrado publicación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Caja excesiva sin plan de uso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Sí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Caja neta del 80% de la capitalización y sin programa de recompra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Préstamos a filial insolvente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 Sí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2.163 M JPY a Towa Chikusan, provisionados en 1.604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Transacciones con partes vinculadas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🟢 No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«該当事項はありません»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Salvedades del auditor / control interno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🟢 No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Opinión favorable sin salvedades; control interno efectivo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Cambios de auditor o reexpresiones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🟢 No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Ampliaciones de capital dilutivas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🟢 No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Número de acciones sin cambios desde 1998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FY3/2026 (F_2025.pdf, 25-jun-2026), p.24, p.27, p.59, p.78-81]</w:t>
      </w:r>
    </w:p>
    <w:p>
      <w:pPr>
        <w:pStyle w:val="Heading1"/>
      </w:pPr>
      <w:r>
        <w:t>7.9 Calidad de la Información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Evaluación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Nota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Informes anuales y trimestrales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🟢 Completos y auditados (J-GAAP)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Yuho y Tanshin en plazo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Presentación de resultados / conferencia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🔴 No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El Tanshin indica: material complementario «無» y reunión informativa «無»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Información en inglés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🔴 Muy limitada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⚠️ No se ha encontrado IR en inglés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KPIs operativos (toneladas, cuota)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🔴 No publicados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Plan a medio plazo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🔴 No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Solo la previsión anual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Política de capital / objetivo de ROE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🔴 No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Cobertura de analistas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🔴 Nula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⚠️ Ningún informe de bróker localizado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Puntuación global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🔴 2/10 en transparencia para el inversor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Cumple lo legal, nada más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Kessan Tanshin 1T FY3/2027 (Q1_2026.pdf, 12-ago-2026), p.1]</w:t>
      </w:r>
    </w:p>
    <w:p>
      <w:pPr>
        <w:pStyle w:val="Heading1"/>
      </w:pPr>
      <w:r>
        <w:t>7.10 Guidance y Cumplimiento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Ejercicio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Ventas previstas → reales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BO previsto → real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Bº ordinario previsto → real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BN previsto → real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FY3/2022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40.000 → 44.906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400 → 118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500 → 217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300 → 116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Incumple (grano ↑)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FY3/2023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48.000 → 54.659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300 → −200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400 → −99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200 → 157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Incumple (grano ↑↑)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FY3/2024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50.000 → 52.887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200 → 905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300 → 915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200 → 541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🟢 Supera ampliamente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FY3/2025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50.000 → 48.577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400 → 906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400 → 1.143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300 → 310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🟢 BO x2,3; BN en línea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FY3/2026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50.000 → 45.579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400 → 1.456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400 → 1.440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300 → 378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🟢 BO x3,6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FY3/2027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50.000 → 1T: 11.764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500 → 1T: 382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500 → 1T: 413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300 → 1T: 300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🟢 1T ya cubre el 76% del BO y el 100% del BN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Previsiones del apartado «経営戦略等» de cada Yuho: Yuho FY3/2021 (F_2020.pdf, presentado jun-2021) p.7; Yuho FY3/2022 (F_2021.pdf, presentado jun-2022) p.7; Yuho FY3/2023 (F_2022.pdf, presentado jun-2023) p.7; Yuho FY3/2024 (F_2023.pdf, presentado jun-2024) p.7; Yuho FY3/2025 (F_2024.pdf, presentado jun-2025) p.7; Yuho FY3/2026 (F_2025.pdf, 25-jun-2026) p.6. Resultados reales de cada Yuho siguiente]</w:t>
      </w:r>
    </w:p>
    <w:p>
      <w:r>
        <w:rPr>
          <w:b w:val="0"/>
          <w:i w:val="0"/>
        </w:rPr>
        <w:t xml:space="preserve">🟡 La previsión de la dirección es </w:t>
      </w:r>
      <w:r>
        <w:rPr>
          <w:b/>
          <w:i w:val="0"/>
        </w:rPr>
        <w:t>mecánica y conservadora</w:t>
      </w:r>
      <w:r>
        <w:rPr>
          <w:b w:val="0"/>
          <w:i w:val="0"/>
        </w:rPr>
        <w:t xml:space="preserve">: repite 50.000 M JPY de ventas cuatro años seguidos y una cifra «redonda» de beneficio. Falla en las dos direcciones según el ciclo del grano. 🟢 Desde FY3/2024 ha sido superada de forma sistemática. </w:t>
      </w:r>
      <w:r>
        <w:rPr>
          <w:b/>
          <w:i w:val="0"/>
        </w:rPr>
        <w:t>La previsión de FY3/2027 (BN 300) ya se ha alcanzado en el 1T</w:t>
      </w:r>
      <w:r>
        <w:rPr>
          <w:b w:val="0"/>
          <w:i w:val="0"/>
        </w:rPr>
        <w:t>, lo que hace probable una revisión al alza en el informe del 2T (noviembre 2026).</w:t>
      </w:r>
    </w:p>
    <w:p>
      <w:pPr>
        <w:pStyle w:val="Heading1"/>
      </w:pPr>
      <w:r>
        <w:t>Conclusión de la Sección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DECEA"/>
          </w:tcPr>
          <w:p>
            <w:r/>
            <w:r>
              <w:rPr>
                <w:b w:val="0"/>
                <w:i w:val="0"/>
              </w:rPr>
              <w:t xml:space="preserve">🔴 </w:t>
            </w:r>
            <w:r>
              <w:rPr>
                <w:b/>
                <w:i w:val="0"/>
              </w:rPr>
              <w:t>Gobierno corporativo débil para el accionista minoritario</w:t>
            </w:r>
            <w:r>
              <w:rPr>
                <w:b w:val="0"/>
                <w:i w:val="0"/>
              </w:rPr>
              <w:t xml:space="preserve">: gestión familiar con un 3,7% del capital, retribución fija sin incentivos, auditor desde hace 66 años, participaciones cruzadas, caja ociosa y ningún plan sobre el P/B. 🟢 Contabilidad limpia, sin salvedades ni transacciones vinculadas, y saneamiento reciente del segmento ganadero. 🟢 Accionista industrial (Jumonji Chicken) acumulando año tras año. </w:t>
            </w:r>
            <w:r>
              <w:rPr>
                <w:b/>
                <w:i w:val="0"/>
              </w:rPr>
              <w:t>La gobernanza es la principal razón del descuento y, a la vez, su principal palanca de revalorización si cambia.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