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Análisis de Riesgos (Top 5 priorizados) - Nichiwa Sangyo Co (2055) - 3/10/2026</w:t>
      </w:r>
    </w:p>
    <w:p>
      <w:r>
        <w:rPr>
          <w:b w:val="0"/>
          <w:i/>
          <w:color w:val="1F3A5F"/>
          <w:sz w:val="18"/>
        </w:rPr>
        <w:t>Análisis de Inversión - Nichiwa Sangyo Co (2055) - 3/10/2026 · Sección 9 de 12</w:t>
      </w:r>
    </w:p>
    <w:p>
      <w:r>
        <w:rPr>
          <w:b w:val="0"/>
          <w:i w:val="0"/>
          <w:sz w:val="18"/>
        </w:rPr>
        <w:t xml:space="preserve">Moneda: </w:t>
      </w:r>
      <w:r>
        <w:rPr>
          <w:b/>
          <w:i w:val="0"/>
          <w:sz w:val="18"/>
        </w:rPr>
        <w:t>JPY</w:t>
      </w:r>
      <w:r>
        <w:rPr>
          <w:b w:val="0"/>
          <w:i w:val="0"/>
          <w:sz w:val="18"/>
        </w:rPr>
        <w:t xml:space="preserve"> (millones de yenes salvo indicación). Ejercicio fiscal cerrado a 31 de marzo (FY3/2026 = abr-2025 a mar-2026). Precio de referencia: </w:t>
      </w:r>
      <w:r>
        <w:rPr>
          <w:b/>
          <w:i w:val="0"/>
          <w:sz w:val="18"/>
        </w:rPr>
        <w:t>346 JPY</w:t>
      </w:r>
      <w:r>
        <w:rPr>
          <w:b w:val="0"/>
          <w:i w:val="0"/>
          <w:sz w:val="18"/>
        </w:rPr>
        <w:t xml:space="preserve"> (cierre del último día hábil, 2-oct-2026; verificado en rango 345-346 JPY a 25-sep-2026). Normas contables: J-GAAP. Leyenda: 🔍 DATO VERIFICADO · 💡 ESTIMACIÓN · ⚠️ ESPECULACIÓN · 🟢 Positivo / 🟡 Neutral / 🔴 Negativo.</w:t>
      </w:r>
    </w:p>
    <w:p>
      <w:r>
        <w:rPr>
          <w:b w:val="0"/>
          <w:i w:val="0"/>
        </w:rPr>
        <w:t>Riesgos declarados por la empresa (事業等のリスク): (1) precio del grano; (2) tipo de cambio; (3) precios de productos ganaderos y cobro a clientes; (4) fondo de estabilización del precio del pienso; (5) enfermedades animales; (6) cambio climático y desastres naturales. Abajo se priorizan los que más afectan a la tesis a 6-18 meses, añadiendo riesgos propios del inversor (gobierno corporativo, liquidez).</w:t>
      </w:r>
    </w:p>
    <w:p>
      <w:r>
        <w:rPr>
          <w:b w:val="0"/>
          <w:i/>
          <w:color w:val="555555"/>
          <w:sz w:val="17"/>
        </w:rPr>
        <w:t>[Fuente: Yuho FY3/2026 (F_2025.pdf, 25-jun-2026), p.7 «事業等のリスク»]</w:t>
      </w:r>
    </w:p>
    <w:p>
      <w:pPr>
        <w:pStyle w:val="Heading1"/>
      </w:pPr>
      <w:r>
        <w:t>9.1 Top 5 Riesgos Priorizados</w:t>
      </w:r>
    </w:p>
    <w:p>
      <w:pPr>
        <w:pStyle w:val="Heading2"/>
      </w:pPr>
      <w:r>
        <w:t>Riesgo 1 – Reversión del ciclo de márgenes (grano, yen, fletes)</w:t>
      </w:r>
    </w:p>
    <w:p>
      <w:pPr>
        <w:pStyle w:val="ListBullet"/>
      </w:pPr>
      <w:r>
        <w:rPr>
          <w:b/>
          <w:i w:val="0"/>
        </w:rPr>
        <w:t>Descripción:</w:t>
      </w:r>
      <w:r>
        <w:rPr>
          <w:b w:val="0"/>
          <w:i w:val="0"/>
        </w:rPr>
        <w:t xml:space="preserve"> FY3/2026 marcó un margen bruto récord de 9,1% gracias a la bajada del grano. En 2026 el maíz y la soja suben por fletes y tensiones en Oriente Medio y el yen sigue débil. Zen-Noh subió el pienso 3.700 JPY/t para jul-sep 2026. Si el coste sube más deprisa de lo que Nichiwa traslada, el margen se comprime como en FY3/2022-23 (BO de 118 y −200). La propia dirección prevé un BO de 500 (−66%) en FY3/2027.</w:t>
      </w:r>
    </w:p>
    <w:p>
      <w:pPr>
        <w:pStyle w:val="ListBullet"/>
      </w:pPr>
      <w:r>
        <w:rPr>
          <w:b/>
          <w:i w:val="0"/>
        </w:rPr>
        <w:t>Probabilidad:</w:t>
      </w:r>
      <w:r>
        <w:rPr>
          <w:b w:val="0"/>
          <w:i w:val="0"/>
        </w:rPr>
        <w:t xml:space="preserve"> 🔴 Alta (60%) de que el BO de FY3/2027 sea inferior al de FY3/2026.</w:t>
      </w:r>
    </w:p>
    <w:p>
      <w:pPr>
        <w:pStyle w:val="ListBullet"/>
      </w:pPr>
      <w:r>
        <w:rPr>
          <w:b/>
          <w:i w:val="0"/>
        </w:rPr>
        <w:t>Impacto:</w:t>
      </w:r>
      <w:r>
        <w:rPr>
          <w:b w:val="0"/>
          <w:i w:val="0"/>
        </w:rPr>
        <w:t xml:space="preserve"> 🟡 Medio sobre el valor (el balance amortigua); 🔴 alto sobre el sentimiento: un BPA por debajo de 17 JPY eleva el PER por encima de 20x.</w:t>
      </w:r>
    </w:p>
    <w:p>
      <w:pPr>
        <w:pStyle w:val="ListBullet"/>
      </w:pPr>
      <w:r>
        <w:rPr>
          <w:b/>
          <w:i w:val="0"/>
        </w:rPr>
        <w:t>Mitigantes:</w:t>
      </w:r>
      <w:r>
        <w:rPr>
          <w:b w:val="0"/>
          <w:i w:val="0"/>
        </w:rPr>
        <w:t xml:space="preserve"> revisiones trimestrales de precio; coberturas de divisa; fuerte 1T (BO de 382); caja que absorbe el circulante.</w:t>
      </w:r>
    </w:p>
    <w:p>
      <w:pPr>
        <w:pStyle w:val="ListBullet"/>
      </w:pPr>
      <w:r>
        <w:rPr>
          <w:b/>
          <w:i w:val="0"/>
        </w:rPr>
        <w:t>Señales de alerta:</w:t>
      </w:r>
      <w:r>
        <w:rPr>
          <w:b w:val="0"/>
          <w:i w:val="0"/>
        </w:rPr>
        <w:t xml:space="preserve"> margen bruto trimestral &lt;7%; USD/JPY &gt;160; maíz CBOT &gt;5,5 USD/bu; existencias y proveedores al alza en el 2T.</w:t>
      </w:r>
    </w:p>
    <w:p>
      <w:r>
        <w:rPr>
          <w:b w:val="0"/>
          <w:i/>
          <w:color w:val="555555"/>
          <w:sz w:val="17"/>
        </w:rPr>
        <w:t>[Fuente: Yuho FY3/2026 (F_2025.pdf, 25-jun-2026) p.6 y p.8; Kessan Tanshin 1T FY3/2027 (Q1_2026.pdf, 12-ago-2026) p.4; JA Zen-Noh (jul-2026)]</w:t>
      </w:r>
    </w:p>
    <w:p>
      <w:pPr>
        <w:pStyle w:val="Heading2"/>
      </w:pPr>
      <w:r>
        <w:t>Riesgo 2 – Trampa de valor: el descuento no se corrige por el gobierno corporativo</w:t>
      </w:r>
    </w:p>
    <w:p>
      <w:pPr>
        <w:pStyle w:val="ListBullet"/>
      </w:pPr>
      <w:r>
        <w:rPr>
          <w:b/>
          <w:i w:val="0"/>
        </w:rPr>
        <w:t>Descripción:</w:t>
      </w:r>
      <w:r>
        <w:rPr>
          <w:b w:val="0"/>
          <w:i w:val="0"/>
        </w:rPr>
        <w:t xml:space="preserve"> la acción cotiza por debajo de 0,5x el valor contable desde hace años (P/B de 0,25-0,39 al cierre de cada ejercicio entre FY3/2021 y FY3/2026). Sin recompras, sin plan de P/B, con incentivos fijos y accionistas «estables» cercanos al 62%, el descuento puede no cerrarse en 6-18 meses.</w:t>
      </w:r>
    </w:p>
    <w:p>
      <w:pPr>
        <w:pStyle w:val="ListBullet"/>
      </w:pPr>
      <w:r>
        <w:rPr>
          <w:b/>
          <w:i w:val="0"/>
        </w:rPr>
        <w:t>Probabilidad:</w:t>
      </w:r>
      <w:r>
        <w:rPr>
          <w:b w:val="0"/>
          <w:i w:val="0"/>
        </w:rPr>
        <w:t xml:space="preserve"> 🔴 Alta (55-65%) de que no haya cambios de política de capital en el horizonte.</w:t>
      </w:r>
    </w:p>
    <w:p>
      <w:pPr>
        <w:pStyle w:val="ListBullet"/>
      </w:pPr>
      <w:r>
        <w:rPr>
          <w:b/>
          <w:i w:val="0"/>
        </w:rPr>
        <w:t>Impacto:</w:t>
      </w:r>
      <w:r>
        <w:rPr>
          <w:b w:val="0"/>
          <w:i w:val="0"/>
        </w:rPr>
        <w:t xml:space="preserve"> 🟡 Medio: no destruye valor, pero inmoviliza capital y reduce el rendimiento a ≈dividendo (1,7%) + crecimiento del VC (≈2-4%).</w:t>
      </w:r>
    </w:p>
    <w:p>
      <w:pPr>
        <w:pStyle w:val="ListBullet"/>
      </w:pPr>
      <w:r>
        <w:rPr>
          <w:b/>
          <w:i w:val="0"/>
        </w:rPr>
        <w:t>Mitigantes:</w:t>
      </w:r>
      <w:r>
        <w:rPr>
          <w:b w:val="0"/>
          <w:i w:val="0"/>
        </w:rPr>
        <w:t xml:space="preserve"> presión de la TSE sobre las empresas con P/B&lt;1; posible entrada de activistas en microcaps japonesas; acumulación de Jumonji Chicken.</w:t>
      </w:r>
    </w:p>
    <w:p>
      <w:pPr>
        <w:pStyle w:val="ListBullet"/>
      </w:pPr>
      <w:r>
        <w:rPr>
          <w:b/>
          <w:i w:val="0"/>
        </w:rPr>
        <w:t>Señales de alerta:</w:t>
      </w:r>
      <w:r>
        <w:rPr>
          <w:b w:val="0"/>
          <w:i w:val="0"/>
        </w:rPr>
        <w:t xml:space="preserve"> junta de jun-2027 sin propuestas de capital; ausencia de un documento «資本コストや株価を意識した経営».</w:t>
      </w:r>
    </w:p>
    <w:p>
      <w:pPr>
        <w:pStyle w:val="Heading2"/>
      </w:pPr>
      <w:r>
        <w:t>Riesgo 3 – Crédito a clientes y enfermedades animales</w:t>
      </w:r>
    </w:p>
    <w:p>
      <w:pPr>
        <w:pStyle w:val="ListBullet"/>
      </w:pPr>
      <w:r>
        <w:rPr>
          <w:b/>
          <w:i w:val="0"/>
        </w:rPr>
        <w:t>Descripción:</w:t>
      </w:r>
      <w:r>
        <w:rPr>
          <w:b w:val="0"/>
          <w:i w:val="0"/>
        </w:rPr>
        <w:t xml:space="preserve"> Nichiwa financia a ganaderos (DSO de 91 días, préstamos de 756 M JPY, créditos concursales de 1.243 M JPY). La gripe aviar (casi anual), la peste porcina clásica (CSF, presente en Japón desde 2018) y una hipotética llegada de la peste porcina africana (ASF) pueden diezmar cabañas y quebrar clientes. En FY3/2021-23 se dotaron ≈1.240 M JPY por insolvencias. El auditor lo considera un asunto clave (las garantías son animales vivos).</w:t>
      </w:r>
    </w:p>
    <w:p>
      <w:pPr>
        <w:pStyle w:val="ListBullet"/>
      </w:pPr>
      <w:r>
        <w:rPr>
          <w:b/>
          <w:i w:val="0"/>
        </w:rPr>
        <w:t>Probabilidad:</w:t>
      </w:r>
      <w:r>
        <w:rPr>
          <w:b w:val="0"/>
          <w:i w:val="0"/>
        </w:rPr>
        <w:t xml:space="preserve"> 🟡 Media (30-40% de un episodio relevante en 18 meses).</w:t>
      </w:r>
    </w:p>
    <w:p>
      <w:pPr>
        <w:pStyle w:val="ListBullet"/>
      </w:pPr>
      <w:r>
        <w:rPr>
          <w:b/>
          <w:i w:val="0"/>
        </w:rPr>
        <w:t>Impacto:</w:t>
      </w:r>
      <w:r>
        <w:rPr>
          <w:b w:val="0"/>
          <w:i w:val="0"/>
        </w:rPr>
        <w:t xml:space="preserve"> 🟡 Medio: una dotación de 300-500 M JPY borraría el 30-60% del BO de un año normal.</w:t>
      </w:r>
    </w:p>
    <w:p>
      <w:pPr>
        <w:pStyle w:val="ListBullet"/>
      </w:pPr>
      <w:r>
        <w:rPr>
          <w:b/>
          <w:i w:val="0"/>
        </w:rPr>
        <w:t>Mitigantes:</w:t>
      </w:r>
      <w:r>
        <w:rPr>
          <w:b w:val="0"/>
          <w:i w:val="0"/>
        </w:rPr>
        <w:t xml:space="preserve"> provisiones que ya cubren el 100% de los créditos concursales; diversificación por especies y regiones; ningún cliente &gt;10%.</w:t>
      </w:r>
    </w:p>
    <w:p>
      <w:pPr>
        <w:pStyle w:val="ListBullet"/>
      </w:pPr>
      <w:r>
        <w:rPr>
          <w:b/>
          <w:i w:val="0"/>
        </w:rPr>
        <w:t>Señales de alerta:</w:t>
      </w:r>
      <w:r>
        <w:rPr>
          <w:b w:val="0"/>
          <w:i w:val="0"/>
        </w:rPr>
        <w:t xml:space="preserve"> brotes de gripe aviar en Kyushu y Tohoku en invierno 2026-27; aumento de «破産更生債権等»; dotaciones en SG&amp;A.</w:t>
      </w:r>
    </w:p>
    <w:p>
      <w:r>
        <w:rPr>
          <w:b w:val="0"/>
          <w:i/>
          <w:color w:val="555555"/>
          <w:sz w:val="17"/>
        </w:rPr>
        <w:t>[Fuente: Yuho FY3/2026 (F_2025.pdf, 25-jun-2026), p.7, p.39-40 y p.79 (KAM)]</w:t>
      </w:r>
    </w:p>
    <w:p>
      <w:pPr>
        <w:pStyle w:val="Heading2"/>
      </w:pPr>
      <w:r>
        <w:t>Riesgo 4 – Pérdidas y deterioros en el segmento ganadero</w:t>
      </w:r>
    </w:p>
    <w:p>
      <w:pPr>
        <w:pStyle w:val="ListBullet"/>
      </w:pPr>
      <w:r>
        <w:rPr>
          <w:b/>
          <w:i w:val="0"/>
        </w:rPr>
        <w:t>Descripción:</w:t>
      </w:r>
      <w:r>
        <w:rPr>
          <w:b w:val="0"/>
          <w:i w:val="0"/>
        </w:rPr>
        <w:t xml:space="preserve"> Towa Chikusan ha perdido dinero en 4 de los últimos 6 años, ha registrado 1.445 M JPY de deterioros en tres ejercicios y debe 2.163 M JPY a la matriz (provisionados en 1.604). Los precios del cerdo y del pollo son volátiles y la filial compra el pienso a precio de mercado.</w:t>
      </w:r>
    </w:p>
    <w:p>
      <w:pPr>
        <w:pStyle w:val="ListBullet"/>
      </w:pPr>
      <w:r>
        <w:rPr>
          <w:b/>
          <w:i w:val="0"/>
        </w:rPr>
        <w:t>Probabilidad:</w:t>
      </w:r>
      <w:r>
        <w:rPr>
          <w:b w:val="0"/>
          <w:i w:val="0"/>
        </w:rPr>
        <w:t xml:space="preserve"> 🟡 Media (40%) de nuevos deterioros o pérdidas significativas.</w:t>
      </w:r>
    </w:p>
    <w:p>
      <w:pPr>
        <w:pStyle w:val="ListBullet"/>
      </w:pPr>
      <w:r>
        <w:rPr>
          <w:b/>
          <w:i w:val="0"/>
        </w:rPr>
        <w:t>Impacto:</w:t>
      </w:r>
      <w:r>
        <w:rPr>
          <w:b w:val="0"/>
          <w:i w:val="0"/>
        </w:rPr>
        <w:t xml:space="preserve"> 🟢/🟡 Bajo-medio: la PP&amp;E restante del segmento es pequeña (≈300 M JPY contables), así que el daño contable futuro está acotado.</w:t>
      </w:r>
    </w:p>
    <w:p>
      <w:pPr>
        <w:pStyle w:val="ListBullet"/>
      </w:pPr>
      <w:r>
        <w:rPr>
          <w:b/>
          <w:i w:val="0"/>
        </w:rPr>
        <w:t>Mitigantes:</w:t>
      </w:r>
      <w:r>
        <w:rPr>
          <w:b w:val="0"/>
          <w:i w:val="0"/>
        </w:rPr>
        <w:t xml:space="preserve"> la base de activos ya está saneada; BO de 60 M JPY en el 1T FY3/2027.</w:t>
      </w:r>
    </w:p>
    <w:p>
      <w:pPr>
        <w:pStyle w:val="ListBullet"/>
      </w:pPr>
      <w:r>
        <w:rPr>
          <w:b/>
          <w:i w:val="0"/>
        </w:rPr>
        <w:t>Señales de alerta:</w:t>
      </w:r>
      <w:r>
        <w:rPr>
          <w:b w:val="0"/>
          <w:i w:val="0"/>
        </w:rPr>
        <w:t xml:space="preserve"> BO del segmento negativo en el 2T; nuevos préstamos de la matriz.</w:t>
      </w:r>
    </w:p>
    <w:p>
      <w:r>
        <w:rPr>
          <w:b w:val="0"/>
          <w:i/>
          <w:color w:val="555555"/>
          <w:sz w:val="17"/>
        </w:rPr>
        <w:t>[Fuente: Yuho FY3/2026 (F_2025.pdf, 25-jun-2026), p.12, p.44 y p.63-65; Kessan Tanshin 1T FY3/2027 (Q1_2026.pdf, 12-ago-2026) p.8]</w:t>
      </w:r>
    </w:p>
    <w:p>
      <w:pPr>
        <w:pStyle w:val="Heading2"/>
      </w:pPr>
      <w:r>
        <w:t>Riesgo 5 – Iliquidez, tamaño y aumento de costes regulados (fondo de estabilización)</w:t>
      </w:r>
    </w:p>
    <w:p>
      <w:pPr>
        <w:pStyle w:val="ListBullet"/>
      </w:pPr>
      <w:r>
        <w:rPr>
          <w:b/>
          <w:i w:val="0"/>
        </w:rPr>
        <w:t>Descripción:</w:t>
      </w:r>
      <w:r>
        <w:rPr>
          <w:b w:val="0"/>
          <w:i w:val="0"/>
        </w:rPr>
        <w:t xml:space="preserve"> con una capitalización de ≈6.300 M JPY (≈42 M USD), un free float reducido y 1.596 accionistas, la liquidez es muy baja: entrar y salir mueve el precio. A esto se suma un coste regulado creciente: la aportación al fondo de estabilización ha pasado de 0 (FY3/2021) a 1.198 M JPY (82% del BO de FY3/2026) y puede seguir alta para recapitalizar el fondo tras años de compensaciones. Las plantas envejecidas pueden exigir inversiones extraordinarias.</w:t>
      </w:r>
    </w:p>
    <w:p>
      <w:pPr>
        <w:pStyle w:val="ListBullet"/>
      </w:pPr>
      <w:r>
        <w:rPr>
          <w:b/>
          <w:i w:val="0"/>
        </w:rPr>
        <w:t>Probabilidad:</w:t>
      </w:r>
      <w:r>
        <w:rPr>
          <w:b w:val="0"/>
          <w:i w:val="0"/>
        </w:rPr>
        <w:t xml:space="preserve"> 🔴 Alta (iliquidez: certeza); 🟡 media (fondo y CapEx).</w:t>
      </w:r>
    </w:p>
    <w:p>
      <w:pPr>
        <w:pStyle w:val="ListBullet"/>
      </w:pPr>
      <w:r>
        <w:rPr>
          <w:b/>
          <w:i w:val="0"/>
        </w:rPr>
        <w:t>Impacto:</w:t>
      </w:r>
      <w:r>
        <w:rPr>
          <w:b w:val="0"/>
          <w:i w:val="0"/>
        </w:rPr>
        <w:t xml:space="preserve"> 🟡 Medio.</w:t>
      </w:r>
    </w:p>
    <w:p>
      <w:pPr>
        <w:pStyle w:val="ListBullet"/>
      </w:pPr>
      <w:r>
        <w:rPr>
          <w:b/>
          <w:i w:val="0"/>
        </w:rPr>
        <w:t>Mitigantes:</w:t>
      </w:r>
      <w:r>
        <w:rPr>
          <w:b w:val="0"/>
          <w:i w:val="0"/>
        </w:rPr>
        <w:t xml:space="preserve"> horizonte paciente; órdenes limitadas; el balance cubre cualquier CapEx extraordinario.</w:t>
      </w:r>
    </w:p>
    <w:p>
      <w:pPr>
        <w:pStyle w:val="ListBullet"/>
      </w:pPr>
      <w:r>
        <w:rPr>
          <w:b/>
          <w:i w:val="0"/>
        </w:rPr>
        <w:t>Señales de alerta:</w:t>
      </w:r>
      <w:r>
        <w:rPr>
          <w:b w:val="0"/>
          <w:i w:val="0"/>
        </w:rPr>
        <w:t xml:space="preserve"> volumen diario &lt;2.000 acciones; anuncios del MAFF sobre el fondo; un CapEx declarado &gt;1.000 M JPY.</w:t>
      </w:r>
    </w:p>
    <w:p>
      <w:r>
        <w:rPr>
          <w:b w:val="0"/>
          <w:i/>
          <w:color w:val="555555"/>
          <w:sz w:val="17"/>
        </w:rPr>
        <w:t>[Fuente: Yuho FY3/2026 (F_2025.pdf, 25-jun-2026), p.15 y p.43]</w:t>
      </w:r>
    </w:p>
    <w:p>
      <w:pPr>
        <w:pStyle w:val="Heading1"/>
      </w:pPr>
      <w:r>
        <w:t>9.2 Matriz de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Probabilidad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Horizonte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Prioridad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Reversión de márgenes (grano/yen/fletes)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Alta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Medio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6-12 meses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ALTA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Trampa de valor por gobierno corporativo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Alta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Medio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6-18 meses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ALTA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Crédito a clientes y enfermedades animales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Media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Medio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Invierno 2026-27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MEDIA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Segmento ganadero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Media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 Bajo-medio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Continuo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MEDIA-BAJA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Iliquidez, fondo de estabilización y CapEx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🔴/🟡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Medio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Continuo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MEDIA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Riesgos no prioritarios: desastre natural en una planta portuaria (terremoto o tsunami en Kobe/Kagoshima); cambios regulatorios; subida de tipos (🟢 neta positiva: caja &gt; deuda)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 Baja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Alto (desastre)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BAJA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/>
                <w:i w:val="0"/>
              </w:rPr>
              <w:t>Balance de riesgos:</w:t>
            </w:r>
            <w:r>
              <w:rPr>
                <w:b w:val="0"/>
                <w:i w:val="0"/>
              </w:rPr>
              <w:t xml:space="preserve"> 🟡 los riesgos de </w:t>
            </w:r>
            <w:r>
              <w:rPr>
                <w:b/>
                <w:i w:val="0"/>
              </w:rPr>
              <w:t>beneficio</w:t>
            </w:r>
            <w:r>
              <w:rPr>
                <w:b w:val="0"/>
                <w:i w:val="0"/>
              </w:rPr>
              <w:t xml:space="preserve"> son elevados (ciclo), pero los de </w:t>
            </w:r>
            <w:r>
              <w:rPr>
                <w:b/>
                <w:i w:val="0"/>
              </w:rPr>
              <w:t>pérdida permanente de capital</w:t>
            </w:r>
            <w:r>
              <w:rPr>
                <w:b w:val="0"/>
                <w:i w:val="0"/>
              </w:rPr>
              <w:t xml:space="preserve"> son bajos gracias al balance (precio &lt; NNWC). El riesgo dominante para un horizonte de 6-18 meses es el </w:t>
            </w:r>
            <w:r>
              <w:rPr>
                <w:b/>
                <w:i w:val="0"/>
              </w:rPr>
              <w:t>coste de oportunidad</w:t>
            </w:r>
            <w:r>
              <w:rPr>
                <w:b w:val="0"/>
                <w:i w:val="0"/>
              </w:rPr>
              <w:t>: que nada cambie y la acción siga barata.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