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Factores a Monitorear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11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11.1 KPIs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Último dato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Umbral 🟢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Umbral 🔴 (alerta)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Fuente / frecuencia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Margen bruto trimestral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8,98% (1T FY3/2027)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&lt;6,5%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Tanshin trimestral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BO del segmento piensos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343 M JPY (1T)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&gt;250 / trimestre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&lt;100 / trimestre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Tanshin (nota de segmentos)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BO del segmento ganadero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60 M JPY (1T)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≥0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&lt;−50 / trimestre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Tanshin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Previsión anual de BO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500 M JPY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Revisión al alza ≥800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Revisión a la baja &lt;400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TDnet (業績予想の修正)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Caja neta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≈5.777 M JPY (jun-26)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&gt;5.000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&lt;3.000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Balance trimestral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Clientes + existencias − proveedores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≈7.900 M JPY (jun-26 💡)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&lt;9.000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&gt;10.500 (absorción de caja)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Balance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Créditos concursales (bruto)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1.293 M JPY (jun-26)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Estable/bajando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&gt;1.700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Balance (破産更生債権等)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Aportación al fondo de estabilización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1.198 M JPY/año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&lt;900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&gt;1.400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Yuho (gastos de venta)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USD/JPY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Yen débil (Tanshin 1T) ⚠️ verificar el tipo diario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&lt;140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&gt;160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Mercado diario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Maíz CBOT (diciembre)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Bajista por la cosecha de EE. UU. (jul-26)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&lt;4,5 USD/bu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&gt;5,5 USD/bu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CBOT diario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Precio de referencia Zen-Noh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+3.700 JPY/t (jul-sep 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Subidas trasladadas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Bajadas con coste al alza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Trimestral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P/B de la acción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0,32x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&gt;0,40x (objetivo base)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&lt;0,28x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Diario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Participación de Jumonji Chicken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8,70% (mar-26)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Aumenta / informe de participación significativa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Vende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EDINET (大量保有報告書)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Kessan Tanshin 1T FY3/2027 (Q1_2026.pdf, 12-ago-2026); Yuho FY3/2026 (F_2025.pdf, 25-jun-2026)]</w:t>
      </w:r>
    </w:p>
    <w:p>
      <w:r>
        <w:rPr>
          <w:b w:val="0"/>
          <w:i w:val="0"/>
          <w:color w:val="1F4E79"/>
          <w:sz w:val="19"/>
        </w:rPr>
        <w:t>💡 ESTIMACIÓN / CÁLCULO PROPIO: Circulante operativo a jun-2026 = clientes 11.360 + existencias 3.168 − proveedores 6.659 = 7.869 M JPY.</w:t>
      </w:r>
    </w:p>
    <w:p>
      <w:pPr>
        <w:pStyle w:val="Heading1"/>
      </w:pPr>
      <w:r>
        <w:t>11.2 Catalizadores Positivos (12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Catalizador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Fecha estimada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 en precio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Revisión al alza de la previsión de FY3/2027</w:t>
            </w:r>
            <w:r>
              <w:rPr>
                <w:b w:val="0"/>
                <w:i w:val="0"/>
                <w:sz w:val="16"/>
              </w:rPr>
              <w:t xml:space="preserve"> (el 1T ya cubre el 76% del BO y el 100% del BN previstos)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Resultados del 1S: ≈mediados de nov-2026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Alta (60-70%)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+5-15%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Plan de mejora de P/B / política de capital</w:t>
            </w:r>
            <w:r>
              <w:rPr>
                <w:b w:val="0"/>
                <w:i w:val="0"/>
                <w:sz w:val="16"/>
              </w:rPr>
              <w:t xml:space="preserve"> (petición de la TSE): recompra, amortización de autocartera, mayor payout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Resultados anuales may-2027 / junta jun-2027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Media-baja (20-25%)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+20-50%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Operación corporativa</w:t>
            </w:r>
            <w:r>
              <w:rPr>
                <w:b w:val="0"/>
                <w:i w:val="0"/>
                <w:sz w:val="16"/>
              </w:rPr>
              <w:t>: aumento de Jumonji Chicken por encima del 10%, OPA o integración con un accionista estratégico (Toyota Tsusho, Cargill) o un consolidador del sector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Indeterminado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Baja (5-10%) ⚠️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+60-120%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Entrada de un inversor activista</w:t>
            </w:r>
            <w:r>
              <w:rPr>
                <w:b w:val="0"/>
                <w:i w:val="0"/>
                <w:sz w:val="16"/>
              </w:rPr>
              <w:t xml:space="preserve"> (tendencia en microcaps japonesas con P/B&lt;0,5 y caja neta)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Indeterminado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Baja-media (10-15%)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+15-40%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Saneamiento definitivo del segmento ganadero</w:t>
            </w:r>
            <w:r>
              <w:rPr>
                <w:b w:val="0"/>
                <w:i w:val="0"/>
                <w:sz w:val="16"/>
              </w:rPr>
              <w:t xml:space="preserve"> (venta o cierre de granjas, fin de deterioros)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FY3/2027-28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 (30%)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+5-10%</w:t>
            </w:r>
          </w:p>
        </w:tc>
      </w:tr>
    </w:tbl>
    <w:p/>
    <w:p>
      <w:pPr>
        <w:pStyle w:val="Heading1"/>
      </w:pPr>
      <w:r>
        <w:t>11.3 Eventos Invalidantes (kill switches)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Por qué invalida la tesis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Caja neta &lt; 3.000 M JPY</w:t>
            </w:r>
            <w:r>
              <w:rPr>
                <w:b w:val="0"/>
                <w:i w:val="0"/>
                <w:sz w:val="16"/>
              </w:rPr>
              <w:t xml:space="preserve"> sin un uso para el accionista (por shock de circulante o inversión no rentable)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Elimina el margen de seguridad (precio &lt; NNWC)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Vender / reducir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Adquisición o gran CapEx con caja</w:t>
            </w:r>
            <w:r>
              <w:rPr>
                <w:b w:val="0"/>
                <w:i w:val="0"/>
                <w:sz w:val="16"/>
              </w:rPr>
              <w:t xml:space="preserve"> fuera del negocio principal o en ganadería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Riesgo de destrucción del activo principal de la tesis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Vender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Pérdida operativa en dos trimestres consecutivos</w:t>
            </w:r>
            <w:r>
              <w:rPr>
                <w:b w:val="0"/>
                <w:i w:val="0"/>
                <w:sz w:val="16"/>
              </w:rPr>
              <w:t xml:space="preserve"> del segmento piensos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Indica un deterioro competitivo, no solo cíclico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Revisar / reducir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Dotaciones por insolvencias &gt;500 M JPY</w:t>
            </w:r>
            <w:r>
              <w:rPr>
                <w:b w:val="0"/>
                <w:i w:val="0"/>
                <w:sz w:val="16"/>
              </w:rPr>
              <w:t xml:space="preserve"> en un año o salvedad del auditor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El riesgo de crédito oculto sería mayor de lo provisionado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Vender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Ningún cambio de política de capital tras la junta de jun-2027</w:t>
            </w:r>
            <w:r>
              <w:rPr>
                <w:b w:val="0"/>
                <w:i w:val="0"/>
                <w:sz w:val="16"/>
              </w:rPr>
              <w:t xml:space="preserve"> y P/B &lt;0,35x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Confirma la trampa de valor en el horizonte de 18 meses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Salir al cumplir el horizonte</w:t>
            </w:r>
          </w:p>
        </w:tc>
      </w:tr>
    </w:tbl>
    <w:p/>
    <w:p>
      <w:pPr>
        <w:pStyle w:val="Heading1"/>
      </w:pPr>
      <w:r>
        <w:t>Calendario de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Fecha (estimada)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Evento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≈12-14 nov-2026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Resultados del 1S FY3/2027 (半期報告書 + Tanshin); posible revisión de la previsión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Invierno 2026-27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Temporada de gripe aviar (riesgo de clientes)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Mensual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Revisión trimestral del precio del pienso Zen-Noh (oct-dic; ene-mar)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≈12 feb-2027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Resultados del 3T FY3/2027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≈12 may-2027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Resultados anuales FY3/2027 + dividendo + previsión FY3/2028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≈25 jun-2027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Junta General / Yuho FY3/2027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Calendario estimado a partir de las fechas históricas de publicación (Tanshin 1T 12-ago-2026; Yuho 25-jun-2026; acuerdo de dividendo 12-may-2026)]</w:t>
      </w:r>
    </w:p>
    <w:p>
      <w:pPr>
        <w:pStyle w:val="Heading1"/>
      </w:pPr>
      <w:r>
        <w:t>CONCLUSIÓN FINAL Y RECOMENDACIÓN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/>
                <w:i w:val="0"/>
              </w:rPr>
              <w:t>¿Es Nichiwa Sangyo una buena inversión a 6-18 meses al precio de 346 JPY?</w:t>
            </w:r>
          </w:p>
          <w:p/>
          <w:p>
            <w:r>
              <w:rPr>
                <w:b/>
                <w:i w:val="0"/>
              </w:rPr>
              <w:t>Respuesta: SÍ, con matices → 🟢 COMPRA ESPECULATIVA «VALUE» / ACUMULAR con tamaño de posición pequeño (≤2-3% de la cartera), precio objetivo base de 440 JPY (+27%) y valor intrínseco central de ≈505 JPY.</w:t>
            </w:r>
          </w:p>
          <w:p/>
          <w:p>
            <w:r>
              <w:rPr>
                <w:b/>
                <w:i w:val="0"/>
              </w:rPr>
              <w:t>Por qué sí:</w:t>
            </w:r>
          </w:p>
          <w:p>
            <w:r>
              <w:rPr>
                <w:b w:val="0"/>
                <w:i w:val="0"/>
              </w:rPr>
              <w:t>• Cotiza por debajo del capital circulante neto de Graham (NNWC ≈416 JPY) y a la mitad de su NCAV (≈688 JPY). La caja neta (≈319 JPY/acción) cubre el 92% del precio.</w:t>
            </w:r>
          </w:p>
          <w:p>
            <w:r>
              <w:rPr>
                <w:b w:val="0"/>
                <w:i w:val="0"/>
              </w:rPr>
              <w:t>• EV ≈490-1.240 M JPY frente a un EBITDA normalizado de ≈1.150 M JPY y un FCF normalizado de ≈330 M JPY (FCF yield sobre EV del ≈27%).</w:t>
            </w:r>
          </w:p>
          <w:p>
            <w:r>
              <w:rPr>
                <w:b w:val="0"/>
                <w:i w:val="0"/>
              </w:rPr>
              <w:t>• El 1T FY3/2027 es fuerte (BO +39%) y deja la previsión anual muy superable, lo que hace probable una revisión al alza en noviembre de 2026.</w:t>
            </w:r>
          </w:p>
          <w:p>
            <w:r>
              <w:rPr>
                <w:b w:val="0"/>
                <w:i w:val="0"/>
              </w:rPr>
              <w:t>• Riesgo de pérdida permanente bajo; el escenario bajista razonable es ≈−12%.</w:t>
            </w:r>
          </w:p>
          <w:p/>
          <w:p>
            <w:r>
              <w:rPr>
                <w:b/>
                <w:i w:val="0"/>
              </w:rPr>
              <w:t>Por qué con matices:</w:t>
            </w:r>
          </w:p>
          <w:p>
            <w:r>
              <w:rPr>
                <w:b w:val="0"/>
                <w:i w:val="0"/>
              </w:rPr>
              <w:t>• Negocio sin moat, ROE de 1-3%, beneficio en pico de ciclo y previsión de BO −66%.</w:t>
            </w:r>
          </w:p>
          <w:p>
            <w:r>
              <w:rPr>
                <w:b w:val="0"/>
                <w:i w:val="0"/>
              </w:rPr>
              <w:t>• Gobierno corporativo pasivo: sin plan de P/B, sin recompras e incentivos fijos. El descuento puede persistir (trampa de valor).</w:t>
            </w:r>
          </w:p>
          <w:p>
            <w:r>
              <w:rPr>
                <w:b w:val="0"/>
                <w:i w:val="0"/>
              </w:rPr>
              <w:t>• Muy ilíquida (capitalización de ≈42 M USD): hay que usar órdenes limitadas.</w:t>
            </w:r>
          </w:p>
          <w:p/>
          <w:p>
            <w:r>
              <w:rPr>
                <w:b/>
                <w:i w:val="0"/>
              </w:rPr>
              <w:t>Gestión de la posición:</w:t>
            </w:r>
            <w:r>
              <w:rPr>
                <w:b w:val="0"/>
                <w:i w:val="0"/>
              </w:rPr>
              <w:t xml:space="preserve"> comprar escalonadamente por debajo de 360 JPY; reforzar en 300-320; recoger beneficios parciales en 440-480; mantener el resto si hay catalizadores de capital. Revisar la tesis tras los resultados de nov-2026 y tras la junta de jun-2027 (kill switch #5).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