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Análisis del comentario del Management por año y perspectivas - Nichiwa Sangyo Co (2055) - 3/10/2026</w:t>
      </w:r>
    </w:p>
    <w:p>
      <w:r>
        <w:rPr>
          <w:b w:val="0"/>
          <w:i/>
          <w:color w:val="1F3A5F"/>
          <w:sz w:val="18"/>
        </w:rPr>
        <w:t>Análisis de Inversión - Nichiwa Sangyo Co (2055) - 3/10/2026 · Sección 12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31 de marzo (FY3/2026 = abr-2025 a mar-2026). Precio de referencia: </w:t>
      </w:r>
      <w:r>
        <w:rPr>
          <w:b/>
          <w:i w:val="0"/>
          <w:sz w:val="18"/>
        </w:rPr>
        <w:t>346 JPY</w:t>
      </w:r>
      <w:r>
        <w:rPr>
          <w:b w:val="0"/>
          <w:i w:val="0"/>
          <w:sz w:val="18"/>
        </w:rPr>
        <w:t xml:space="preserve"> (cierre del último día hábil, 2-oct-2026; verificado en rango 345-346 JPY a 25-sep-2026). Normas contables: J-GAAP. Leyenda: 🔍 DATO VERIFICADO · 💡 ESTIMACIÓN · ⚠️ ESPECULACIÓN · 🟢 Positivo / 🟡 Neutral / 🔴 Negativo.</w:t>
      </w:r>
    </w:p>
    <w:p>
      <w:r>
        <w:rPr>
          <w:b w:val="0"/>
          <w:i w:val="0"/>
        </w:rPr>
        <w:t xml:space="preserve">Esta sección resume y analiza críticamente, ejercicio a ejercicio, el </w:t>
      </w:r>
      <w:r>
        <w:rPr>
          <w:b/>
          <w:i w:val="0"/>
        </w:rPr>
        <w:t>comentario de la dirección</w:t>
      </w:r>
      <w:r>
        <w:rPr>
          <w:b w:val="0"/>
          <w:i w:val="0"/>
        </w:rPr>
        <w:t xml:space="preserve"> recogido en el apartado «経営者による財政状態、経営成績及びキャッシュ・フローの状況の分析» (MD&amp;A) y «経営方針、経営環境及び対処すべき課題等» de cada Yuho, y el Tanshin del 1T FY3/2027. La traducción del japonés es propia; las cifras están en M JPY.</w:t>
      </w:r>
    </w:p>
    <w:p>
      <w:pPr>
        <w:pStyle w:val="Heading1"/>
      </w:pPr>
      <w:r>
        <w:t>Resumen comparativo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Ejercicio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Grano / yen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Precio del pienso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BO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BN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Mensaje clave de la dirección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Tono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↑ en el 2S / yen fuerte→débil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↓↓↑↑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283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139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COVID y competencia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↑↑ / yen débil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↑↑↓↑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Dudas de cobro; Ucrania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↑↑↑ / yen muy débil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↑↑↑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−200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Coste récord; diversificar aprovisionamiento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↓ / yen débil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↓↓↓↑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905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541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Grano más tranquilo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↓↑ / volátil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↓↑↓↑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906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Deterioros en ganadería; nuevos productos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FY3/2026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↓ y luego ↑ (Oriente Medio)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↓↓↓↑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1.456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378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Margen récord; cautela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🟢/🟡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/>
                <w:i w:val="0"/>
                <w:sz w:val="16"/>
              </w:rPr>
              <w:t>1T FY3/2027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↑ fletes / ↓ cosecha; yen débil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↑ (abr-26)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382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Previsión sin cambios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</w:tbl>
    <w:p/>
    <w:p>
      <w:r>
        <w:rPr>
          <w:b/>
          <w:i w:val="0"/>
        </w:rPr>
        <w:t>Patrón:</w:t>
      </w:r>
      <w:r>
        <w:rPr>
          <w:b w:val="0"/>
          <w:i w:val="0"/>
        </w:rPr>
        <w:t xml:space="preserve"> el comentario es </w:t>
      </w:r>
      <w:r>
        <w:rPr>
          <w:b/>
          <w:i w:val="0"/>
        </w:rPr>
        <w:t>descriptivo y repetitivo</w:t>
      </w:r>
      <w:r>
        <w:rPr>
          <w:b w:val="0"/>
          <w:i w:val="0"/>
        </w:rPr>
        <w:t>. Explica el resultado por el entorno (grano, yen, gripe aviar) y casi nunca por decisiones propias. Las prioridades («reducir costes», «prevenir enfermedades», «talento») se repiten año tras año sin objetivos cuantificados. No hay estrategia de crecimiento, plan a medio plazo ni objetivos de rentabilidad o de capital.</w:t>
      </w:r>
    </w:p>
    <w:p>
      <w:pPr>
        <w:pStyle w:val="Heading1"/>
      </w:pPr>
      <w:r>
        <w:t>FY3/2021 (abr-2020 a mar-2021) – COVID y primer repunte del grano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Contenido (traducción y síntesis)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Entorno según la dirección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Economía muy débil por el COVID (estado de emergencia en abr-2020 y ene-2021). El maíz estuvo flojo hasta el 2S y luego subió por la demanda china y el retraso de siembras en Sudamérica. El yen pasó de fuerte a débil. Los precios del huevo y del pollo subieron en el 2S por la gripe aviar; el cerdo, firme en el 1S y flojo en el 2S; el vacuno, firme.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Acciones de precio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Bajadas en abr y jul-2020; subidas en oct-2020 y ene-2021.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Resultados explicados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Ventas de 39.900 (−4,9%); BO de 283 (−46,3%); Bº ordinario de 379 (−42,6%); BN de 139 (−62,6%). Piensos: BO de 767 (−5,9%). Ganadería: BO de 141 (x7,8). OCF de 1.263, con una dotación de insolvencias de 540 M JPY.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Retos declarados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Grano en máximos, mercado ganadero afectado por el COVID, competencia «cada vez más intensa». Prioridades: nuevos productos y marcas, eficiencia y prevención de contagios.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Previsión para el año siguiente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FY3/2022: ventas de 40.000; BO de 400; Bº ordinario de 500; BN de 300.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Nuestra valoración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La dirección infravaloró el ciclo de inflación del grano que ya había empezado. La dotación de 540 M JPY por clientes es la primera gran señal del riesgo de crédito.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FY3/2021 (F_2020.pdf, presentado jun-2021), p.7-11]</w:t>
      </w:r>
    </w:p>
    <w:p>
      <w:pPr>
        <w:pStyle w:val="Heading1"/>
      </w:pPr>
      <w:r>
        <w:t>FY3/2022 – Inflación del grano y problemas de cobro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Contenido (traducción y síntesis)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Entorno según la dirección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Variantes del COVID, cuellos de botella logísticos, materias primas caras. Maíz al alza por China, el etanol y la invasión de Ucrania; harina de soja también. El yen se debilita por las subidas de tipos en EE. UU. Huevo débil (recuperación de la oferta), pollo débil, cerdo firme desde fin de año y vacuno estable.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Acciones de precio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Subidas en abr y jul-2021; bajada en oct-2021; subida en ene-2022.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Resultados explicados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Ventas de 44.906 (+12,5%); BO de 117 (−58,5%) «porque surgieron dudas sobre el cobro de algunos clientes» que elevaron el SG&amp;A; Bº ordinario de 216; BN de 116. Piensos: BO de 624 (−18,7%). Ganadería: −2. OCF de −1.038 (clientes +2.333). Recompra de 1,2 M de acciones por 426 M JPY.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Retos declarados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Grano caro por Ucrania; COVID; competencia. Prioridades: diversificar el aprovisionamiento, desarrollar productos, reducir costes y prevenir enfermedades.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Previsión para el año siguiente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FY3/2023: ventas de 48.000; BO de 300; Bº ordinario de 400; BN de 200.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Nuestra valoración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Segundo año de problemas de crédito (dotación de 407). 🟢 La recompra a 0,37x VC fue la mejor decisión de capital del periodo. 🔴 Previsión de nuevo demasiado optimista.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FY3/2022 (F_2021.pdf, presentado jun-2022), p.7-11]</w:t>
      </w:r>
    </w:p>
    <w:p>
      <w:pPr>
        <w:pStyle w:val="Heading1"/>
      </w:pPr>
      <w:r>
        <w:t>FY3/2023 – Máximos del grano y pérdida operativa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Contenido (traducción y síntesis)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Entorno según la dirección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Normalización post-COVID, tipo de cambio muy volátil e inflación por Ucrania. Maíz disparado por Ucrania, la demanda de etanol y la sequía en Sudamérica; harina de soja muy cara. El yen, muy débil. La gripe aviar dispara el precio del huevo; el pollo y el cerdo, por encima del año anterior; el vacuno, estable.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Acciones de precio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Tres subidas (abr, jul y oct-2022).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Resultados explicados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 xml:space="preserve">Ventas récord de 54.659 (+21,7%), pero </w:t>
            </w:r>
            <w:r>
              <w:rPr>
                <w:b/>
                <w:i w:val="0"/>
                <w:sz w:val="17"/>
              </w:rPr>
              <w:t>pérdida operativa de −200</w:t>
            </w:r>
            <w:r>
              <w:rPr>
                <w:b w:val="0"/>
                <w:i w:val="0"/>
                <w:sz w:val="17"/>
              </w:rPr>
              <w:t xml:space="preserve"> y Bº ordinario de −99 por los costes de materias primas. BN de 157 gracias a una compensación de 331 por la reubicación de instalaciones por obra pública. Piensos: BO de 258 (−58,6%). Ganadería: −123. OCF de −1.533; la caja baja a 5.182.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Retos declarados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Ucrania y energía; volatilidad de ventas por la gripe aviar. Prioridades: diversificar materias primas y proveedores, reducir costes y prevenir enfermedades.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Previsión para el año siguiente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FY3/2024: ventas de 50.000; BO de 200; Bº ordinario de 300; BN de 200.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Nuestra valoración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 xml:space="preserve">🟡 Año de estrés máximo superado </w:t>
            </w:r>
            <w:r>
              <w:rPr>
                <w:b/>
                <w:i w:val="0"/>
                <w:sz w:val="17"/>
              </w:rPr>
              <w:t>sin endeudarse</w:t>
            </w:r>
            <w:r>
              <w:rPr>
                <w:b w:val="0"/>
                <w:i w:val="0"/>
                <w:sz w:val="17"/>
              </w:rPr>
              <w:t xml:space="preserve"> (la deuda bruta se mantiene en 4.269): prueba de la resistencia del balance. Previsión prudente para el año siguiente.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FY3/2023 (F_2022.pdf, presentado jun-2023), p.7-11]</w:t>
      </w:r>
    </w:p>
    <w:p>
      <w:pPr>
        <w:pStyle w:val="Heading1"/>
      </w:pPr>
      <w:r>
        <w:t>FY3/2024 – Normalización del grano y vuelta a beneficios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Contenido (traducción y síntesis)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Entorno según la dirección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Recuperación por la vuelta del turismo; inflación por el yen débil. Maíz a la baja (buena cosecha en EE. UU. y China floja); soja cara hasta fin de año. Yen débil por la política monetaria del BoJ. El huevo baja al recuperarse la oferta; el pollo y el cerdo, a la baja en el 2S.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Acciones de precio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Bajadas en abr, jul y oct-2023; subida en ene-2024.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Resultados explicados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Ventas de 52.887 (−3,2%); BO de 905 (desde −200); Bº ordinario de 915; BN de 541 (+244%), con una plusvalía por venta de terreno de 395 frente a un deterioro de 168 en Towa Chikusan y la baja de software (−88). Piensos: BO de 968 (x3,7). Ganadería: −249 (peor año). OCF de 2.052. Dividendo de 8 JPY (incluye 2 JPY del centenario).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Retos declarados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Yen débil, desaceleración china, Oriente Medio y Ucrania. Prioridades: reducir costes, captar y formar talento diverso y prevenir enfermedades.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Previsión para el año siguiente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FY3/2025: ventas de 50.000; BO de 400; Bº ordinario de 400; BN de 300.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Nuestra valoración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🟢 El ciclo se da la vuelta como era previsible (el margen se amplía con el grano a la baja). 🔴 El segmento ganadero empeora y empieza la cadena de deterioros.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FY3/2024 (F_2023.pdf, presentado jun-2024), p.7-11]</w:t>
      </w:r>
    </w:p>
    <w:p>
      <w:pPr>
        <w:pStyle w:val="Heading1"/>
      </w:pPr>
      <w:r>
        <w:t>FY3/2025 – Primer año del nuevo presidente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Contenido (traducción y síntesis)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Entorno según la dirección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Recuperación moderada por el turismo con consumo débil; incertidumbre por la política comercial de EE. UU. Maíz bajista por la buena cosecha en EE. UU. y luego al alza por la sequía en Sudamérica (desde sep); soja floja. El yen se recupera algo y luego se vuelve volátil por los aranceles. La gripe aviar vuelve a subir el huevo desde octubre; el cerdo, alto en verano (PPC y calor) y luego a la baja.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Acciones de precio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Bajadas en abr y oct-2024; subidas en jul-2024 y ene-2025.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Resultados explicados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 xml:space="preserve">Ventas de 48.577 (−8,1%); BO de 906 (plano); Bº ordinario de 1.143 (+24,9%) con una reversión de provisiones de 186; BN de 310 (−42,7%) por </w:t>
            </w:r>
            <w:r>
              <w:rPr>
                <w:b/>
                <w:i w:val="0"/>
                <w:sz w:val="17"/>
              </w:rPr>
              <w:t>deterioros de 644</w:t>
            </w:r>
            <w:r>
              <w:rPr>
                <w:b w:val="0"/>
                <w:i w:val="0"/>
                <w:sz w:val="17"/>
              </w:rPr>
              <w:t xml:space="preserve"> (granjas de Miki y Kanoya). Piensos: BO de 1.087 (+12,3%). Ganadería: −127. OCF de 2.444 (liberación de clientes de 3.476). La caja sube a 9.019.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Retos declarados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 xml:space="preserve">Tipo de cambio volátil e incertidumbre internacional. Prioridades: </w:t>
            </w:r>
            <w:r>
              <w:rPr>
                <w:b/>
                <w:i w:val="0"/>
                <w:sz w:val="17"/>
              </w:rPr>
              <w:t>productos para necesidades de clientes cada vez más diversas</w:t>
            </w:r>
            <w:r>
              <w:rPr>
                <w:b w:val="0"/>
                <w:i w:val="0"/>
                <w:sz w:val="17"/>
              </w:rPr>
              <w:t>, talento y prevención de enfermedades.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Previsión para el año siguiente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FY3/2026: ventas de 50.000; BO de 400; Bº ordinario de 400; BN de 300.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Nuestra valoración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 La nueva dirección reconoce pérdidas en ganadería (limpieza contable). 🔴 Ningún anuncio de política de capital pese a acumular caja.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FY3/2025 (F_2024.pdf, presentado jun-2025), p.7-10]</w:t>
      </w:r>
    </w:p>
    <w:p>
      <w:pPr>
        <w:pStyle w:val="Heading1"/>
      </w:pPr>
      <w:r>
        <w:t>FY3/2026 – Máximo de margen en piensos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Contenido (traducción y síntesis)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Entorno según la dirección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 xml:space="preserve">Recuperación gradual con empleo e ingresos mejores; inflación por el yen débil e incertidumbre internacional. Maíz a la baja (buena siembra en EE. UU. y cosecha récord en Sudamérica), al alza desde agosto por las exportaciones de EE. UU. y otra vez al alza al final por </w:t>
            </w:r>
            <w:r>
              <w:rPr>
                <w:b/>
                <w:i w:val="0"/>
                <w:sz w:val="17"/>
              </w:rPr>
              <w:t>el encarecimiento del transporte por la tensión en Oriente Medio</w:t>
            </w:r>
            <w:r>
              <w:rPr>
                <w:b w:val="0"/>
                <w:i w:val="0"/>
                <w:sz w:val="17"/>
              </w:rPr>
              <w:t>. Harina de soja: misma tendencia. Yen débil. Huevo alto todo el año (gripe aviar); pollo por encima del año anterior; cerdo alto en verano y normal en el 2S; vacuno plano.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Acciones de precio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Tres bajadas (abr, jul y oct-2025); subida en ene-2026.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Resultados explicados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 xml:space="preserve">Ventas de 45.579 (−6,2%); </w:t>
            </w:r>
            <w:r>
              <w:rPr>
                <w:b/>
                <w:i w:val="0"/>
                <w:sz w:val="17"/>
              </w:rPr>
              <w:t>BO de 1.456 (+60,7%)</w:t>
            </w:r>
            <w:r>
              <w:rPr>
                <w:b w:val="0"/>
                <w:i w:val="0"/>
                <w:sz w:val="17"/>
              </w:rPr>
              <w:t xml:space="preserve"> por un margen bruto mayor (+573); Bº ordinario de 1.440 (+26,0%); BN de 378 (+22,1%) tras </w:t>
            </w:r>
            <w:r>
              <w:rPr>
                <w:b/>
                <w:i w:val="0"/>
                <w:sz w:val="17"/>
              </w:rPr>
              <w:t>deterioros de 633</w:t>
            </w:r>
            <w:r>
              <w:rPr>
                <w:b w:val="0"/>
                <w:i w:val="0"/>
                <w:sz w:val="17"/>
              </w:rPr>
              <w:t xml:space="preserve"> (granjas de Unzen y otras). Piensos: BO de 1.485 (+36,6%), «por el efecto de los precios de las materias primas». Ganadería: +5 (desde −127). OCF de 1.154; préstamo a largo plazo de 1.000; préstamos a clientes de 585.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Retos declarados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Tipo de cambio impredecible e inestabilidad internacional. Prioridades: reducir costes de producción, talento diverso y prevención de enfermedades.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Previsión para el año siguiente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FY3/2027: ventas de 50.000 (+9,7%); BO de 500 (−65,7%); Bº ordinario de 500 (−65,3%); BN de 300 (−20,8%); dividendo de 6 JPY.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Nuestra valoración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🟢 El mejor año operativo de la serie, pero conseguido por un diferencial temporal de precios. 🔴 Tercer año de deterioros y fuerte aumento de los préstamos a clientes (+442 en largo plazo). La previsión de FY3/2027 descuenta una fuerte reversión del margen.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FY3/2026 (F_2025.pdf, 25-jun-2026), p.6-10]</w:t>
      </w:r>
    </w:p>
    <w:p>
      <w:pPr>
        <w:pStyle w:val="Heading1"/>
      </w:pPr>
      <w:r>
        <w:t>1T FY3/2027 (abr-jun 2026) – Último comentario de la dirección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Entorno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 xml:space="preserve">Recuperación moderada con inflación por la inestabilidad internacional y la subida de tipos. Maíz: al alza por los fletes (petróleo) y a la baja por la buena siembra en EE. UU.; harina de soja, igual. </w:t>
            </w:r>
            <w:r>
              <w:rPr>
                <w:b/>
                <w:i w:val="0"/>
                <w:sz w:val="17"/>
              </w:rPr>
              <w:t>El yen se deprecia por el diferencial de tipos y Oriente Medio.</w:t>
            </w:r>
            <w:r>
              <w:rPr>
                <w:b w:val="0"/>
                <w:i w:val="0"/>
                <w:sz w:val="17"/>
              </w:rPr>
              <w:t xml:space="preserve"> El huevo, por debajo del año anterior pero alto (la oferta sigue corta por la gripe aviar); el pollo, plano; el cerdo, pico en mayo y luego normal; el vacuno, plano.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Acción de precio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Subida en abril de 2026.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Resultados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Ventas de 11.764 (+2,2%); BO de 382 (+39,1%); Bº ordinario de 413 (+36,9%); BN de 300 (+40,0%). Piensos: ventas de 11.252 (+2,1%), BO de 343 (+21,7%). Ganadería: ventas de 512 (+4,4%), BO de 60 (+215,5%).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Balance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Activo de 32.010 (+1.193): caja +699, materias primas +345, valores +119. Proveedores +836. Patrimonio neto de 19.314.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i w:val="0"/>
                <w:sz w:val="17"/>
              </w:rPr>
              <w:t>Previsión</w:t>
            </w:r>
          </w:p>
        </w:tc>
        <w:tc>
          <w:tcPr>
            <w:tcW w:type="dxa" w:w="765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Sin cambios</w:t>
            </w:r>
            <w:r>
              <w:rPr>
                <w:b w:val="0"/>
                <w:i w:val="0"/>
                <w:sz w:val="17"/>
              </w:rPr>
              <w:t xml:space="preserve"> respecto a la publicada el 12-may-2026 (ventas de 50.000; BO de 500; BN de 300; dividendo de 6).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Kessan Tanshin 1T FY3/2027 (Q1_2026.pdf, 12-ago-2026), p.1-5]</w:t>
      </w:r>
    </w:p>
    <w:p>
      <w:pPr>
        <w:pStyle w:val="Heading1"/>
      </w:pPr>
      <w:r>
        <w:t>Perspectivas para el año siguiente (FY3/2027) – Análisis crítico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Partida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Previsión de la dirección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💡 Nuestra estimación base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Rango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Comentario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Ventas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≈48.000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46.000-51.000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La subida de precios de abr/jul-2026 y el yen débil empujan las ventas; el volumen está estancado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BO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≈900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500-1.300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1T: 382. Suponemos compresión en el 2S por el grano/fletes y una aportación al fondo alta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Bº ordinario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≈950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550-1.350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Ingresos no operativos netos ≈+50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BN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≈550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300-850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Riesgo de nuevos deterioros en ganadería (−100 en el caso base); tipo efectivo ≈35%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BPA (JPY)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16,56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≈30,4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16,6-47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</w:p>
        </w:tc>
      </w:tr>
      <w:tr>
        <w:tc>
          <w:tcPr>
            <w:tcW w:type="dxa" w:w="1994"/>
          </w:tcPr>
          <w:p>
            <w:r/>
            <w:r>
              <w:rPr>
                <w:b/>
                <w:i w:val="0"/>
                <w:sz w:val="16"/>
              </w:rPr>
              <w:t>DPA (JPY)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6-8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Sin cambio de política salvo un catalizador</w:t>
            </w:r>
          </w:p>
        </w:tc>
      </w:tr>
    </w:tbl>
    <w:p/>
    <w:p>
      <w:r>
        <w:rPr>
          <w:b/>
          <w:i w:val="0"/>
        </w:rPr>
        <w:t>Lectura de la previsión:</w:t>
      </w:r>
      <w:r>
        <w:rPr>
          <w:b w:val="0"/>
          <w:i w:val="0"/>
        </w:rPr>
        <w:t xml:space="preserve"> 🟡 la dirección prevé un BO de 500, en línea con su sesgo histórico a fijar cifras «redondas» y prudentes (ha superado su previsión de BO por 2-4 veces en FY3/2024-26). Pero esta vez hay </w:t>
      </w:r>
      <w:r>
        <w:rPr>
          <w:b/>
          <w:i w:val="0"/>
        </w:rPr>
        <w:t>razones fundamentales para la cautela</w:t>
      </w:r>
      <w:r>
        <w:rPr>
          <w:b w:val="0"/>
          <w:i w:val="0"/>
        </w:rPr>
        <w:t xml:space="preserve">: (i) el comentario del 1T señala costes de fletes y un yen débil; (ii) el margen bruto de FY3/2026 (9,1%) fue excepcional; (iii) la aportación al fondo sigue cerca de máximos. Nuestra lectura: </w:t>
      </w:r>
      <w:r>
        <w:rPr>
          <w:b/>
          <w:i w:val="0"/>
        </w:rPr>
        <w:t>FY3/2027 será inferior a FY3/2026, pero bastante mejor que la previsión oficial</w:t>
      </w:r>
      <w:r>
        <w:rPr>
          <w:b w:val="0"/>
          <w:i w:val="0"/>
        </w:rPr>
        <w:t>. Lo más probable es una revisión al alza con los resultados del 1S (nov-2026), que sería un catalizador de corto plazo.</w:t>
      </w:r>
    </w:p>
    <w:p>
      <w:r>
        <w:rPr>
          <w:b/>
          <w:i w:val="0"/>
        </w:rPr>
        <w:t>Lo que la dirección NO dice (y debería):</w:t>
      </w:r>
      <w:r>
        <w:rPr>
          <w:b w:val="0"/>
          <w:i w:val="0"/>
        </w:rPr>
        <w:t xml:space="preserve"> política de capital ante un P/B de 0,32x; destino de la caja (≈10.000 M JPY); futuro del segmento ganadero; plan de inversión en plantas de 40-60 años; objetivos de ROE. 🔴 Este silencio es coherente con un gobierno corporativo pasivo y es el principal factor que mantiene el descuento.</w:t>
      </w:r>
    </w:p>
    <w:p>
      <w:pPr>
        <w:pStyle w:val="Heading1"/>
      </w:pPr>
      <w:r>
        <w:t>Conclusión de la Sección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i w:val="0"/>
              </w:rPr>
              <w:t xml:space="preserve">🟡 El discurso de la dirección es </w:t>
            </w:r>
            <w:r>
              <w:rPr>
                <w:b/>
                <w:i w:val="0"/>
              </w:rPr>
              <w:t>coherente pero pasivo</w:t>
            </w:r>
            <w:r>
              <w:rPr>
                <w:b w:val="0"/>
                <w:i w:val="0"/>
              </w:rPr>
              <w:t xml:space="preserve">: atribuye resultados al entorno y repite prioridades genéricas. La previsión es una herramienta conservadora y poco informativa. 🟢 El 1T FY3/2027 y el historial de previsiones superadas apuntan a </w:t>
            </w:r>
            <w:r>
              <w:rPr>
                <w:b/>
                <w:i w:val="0"/>
              </w:rPr>
              <w:t>sorpresa positiva</w:t>
            </w:r>
            <w:r>
              <w:rPr>
                <w:b w:val="0"/>
                <w:i w:val="0"/>
              </w:rPr>
              <w:t xml:space="preserve"> en FY3/2027. 🔴 No hay señales en el discurso de un cambio en la asignación de capital: el inversor no debe contar con él en su escenario base.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