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Entender el Negocio - Lo Básico - Echo Trading Co (7427) - 3/10/2026</w:t>
      </w:r>
    </w:p>
    <w:p>
      <w:r>
        <w:rPr>
          <w:b w:val="0"/>
          <w:i/>
          <w:color w:val="1F3A5F"/>
          <w:sz w:val="18"/>
        </w:rPr>
        <w:t>Análisis de Inversión - Echo Trading Co (7427) - 3/10/2026 · Sección 1 de 12</w:t>
      </w:r>
    </w:p>
    <w:p>
      <w:r>
        <w:rPr>
          <w:b w:val="0"/>
          <w:i w:val="0"/>
          <w:sz w:val="18"/>
        </w:rPr>
        <w:t xml:space="preserve">Moneda: </w:t>
      </w:r>
      <w:r>
        <w:rPr>
          <w:b/>
          <w:i w:val="0"/>
          <w:sz w:val="18"/>
        </w:rPr>
        <w:t>JPY</w:t>
      </w:r>
      <w:r>
        <w:rPr>
          <w:b w:val="0"/>
          <w:i w:val="0"/>
          <w:sz w:val="18"/>
        </w:rPr>
        <w:t xml:space="preserve"> (millones de yenes salvo indicación). Ejercicio fiscal cerrado a fin de febrero (FY2/2026 = mar-2025 a feb-2026). Precio de referencia: </w:t>
      </w:r>
      <w:r>
        <w:rPr>
          <w:b/>
          <w:i w:val="0"/>
          <w:sz w:val="18"/>
        </w:rPr>
        <w:t>835 JPY</w:t>
      </w:r>
      <w:r>
        <w:rPr>
          <w:b w:val="0"/>
          <w:i w:val="0"/>
          <w:sz w:val="18"/>
        </w:rPr>
        <w:t xml:space="preserve"> (última cotización localizada, Investing.com, oct-2026; 839 JPY el 28-ago-2026; rango 52 semanas 811-958 JPY). Normas contables: J-GAAP. Leyenda: 🔍 DATO VERIFICADO · 💡 ESTIMACIÓN · ⚠️ ESPECULACIÓN · 🟢 Positivo / 🟡 Neutral / 🔴 Negativo.</w:t>
      </w:r>
    </w:p>
    <w:p>
      <w:pPr>
        <w:pStyle w:val="Heading1"/>
      </w:pPr>
      <w:r>
        <w:t>Resumen ejecutivo de la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AF1FB"/>
          </w:tcPr>
          <w:p>
            <w:r/>
            <w:r>
              <w:rPr>
                <w:b/>
                <w:i w:val="0"/>
              </w:rPr>
              <w:t>Qué es:</w:t>
            </w:r>
            <w:r>
              <w:rPr>
                <w:b w:val="0"/>
                <w:i w:val="0"/>
              </w:rPr>
              <w:t xml:space="preserve"> Echo Trading (エコートレーディング, «Echo») es el </w:t>
            </w:r>
            <w:r>
              <w:rPr>
                <w:b/>
                <w:i w:val="0"/>
              </w:rPr>
              <w:t>segundo mayorista especializado de comida y accesorios para mascotas de Japón</w:t>
            </w:r>
            <w:r>
              <w:rPr>
                <w:b w:val="0"/>
                <w:i w:val="0"/>
              </w:rPr>
              <w:t xml:space="preserve">. Fundada en Osaka en 1971, cotiza en el segmento Standard de la Bolsa de Tokio y su accionista de referencia es el gran distribuidor alimentario </w:t>
            </w:r>
            <w:r>
              <w:rPr>
                <w:b/>
                <w:i w:val="0"/>
              </w:rPr>
              <w:t>Kokubu</w:t>
            </w:r>
            <w:r>
              <w:rPr>
                <w:b w:val="0"/>
                <w:i w:val="0"/>
              </w:rPr>
              <w:t xml:space="preserve"> (18,2%).</w:t>
            </w:r>
          </w:p>
          <w:p>
            <w:r>
              <w:rPr>
                <w:b/>
                <w:i w:val="0"/>
              </w:rPr>
              <w:t>Cómo gana dinero:</w:t>
            </w:r>
            <w:r>
              <w:rPr>
                <w:b w:val="0"/>
                <w:i w:val="0"/>
              </w:rPr>
              <w:t xml:space="preserve"> compra unas 20.000 referencias a fabricantes nacionales e internacionales y a Kokubu y las distribuye a cadenas de bricolaje y hogar (home centers), droguerías, supermercados, tiendas especializadas y comercio electrónico (Rakuten es ya el 10,5% de las ventas). Gana un </w:t>
            </w:r>
            <w:r>
              <w:rPr>
                <w:b/>
                <w:i w:val="0"/>
              </w:rPr>
              <w:t>margen bruto de ≈11%</w:t>
            </w:r>
            <w:r>
              <w:rPr>
                <w:b w:val="0"/>
                <w:i w:val="0"/>
              </w:rPr>
              <w:t xml:space="preserve"> que, tras logística (5% de ventas), personal y alquileres, deja un </w:t>
            </w:r>
            <w:r>
              <w:rPr>
                <w:b/>
                <w:i w:val="0"/>
              </w:rPr>
              <w:t>margen operativo de solo 1,0-1,6%</w:t>
            </w:r>
            <w:r>
              <w:rPr>
                <w:b w:val="0"/>
                <w:i w:val="0"/>
              </w:rPr>
              <w:t>. Las rebajas por volumen que pagan los proveedores (rappels, 2.199 M JPY pendientes de cobro) son clave en el beneficio.</w:t>
            </w:r>
          </w:p>
          <w:p>
            <w:r>
              <w:rPr>
                <w:b/>
                <w:i w:val="0"/>
              </w:rPr>
              <w:t>Dónde opera:</w:t>
            </w:r>
            <w:r>
              <w:rPr>
                <w:b w:val="0"/>
                <w:i w:val="0"/>
              </w:rPr>
              <w:t xml:space="preserve"> 100% Japón, mercado de mascotas de ≈1,9 billones de JPY que crece ≈2-3% al año por precio y por la «humanización» de las mascotas, pero con </w:t>
            </w:r>
            <w:r>
              <w:rPr>
                <w:b/>
                <w:i w:val="0"/>
              </w:rPr>
              <w:t>volúmenes estancados</w:t>
            </w:r>
            <w:r>
              <w:rPr>
                <w:b w:val="0"/>
                <w:i w:val="0"/>
              </w:rPr>
              <w:t xml:space="preserve"> (menos perros y gatos estables).</w:t>
            </w:r>
          </w:p>
          <w:p>
            <w:r>
              <w:rPr>
                <w:b/>
                <w:i w:val="0"/>
              </w:rPr>
              <w:t>Lectura inversora:</w:t>
            </w:r>
            <w:r>
              <w:rPr>
                <w:b w:val="0"/>
                <w:i w:val="0"/>
              </w:rPr>
              <w:t xml:space="preserve"> negocio de distribución de margen muy fino, sin crecimiento real y con beneficios en caída desde el máximo de FY2/2024, pero que cotiza a </w:t>
            </w:r>
            <w:r>
              <w:rPr>
                <w:b/>
                <w:i w:val="0"/>
              </w:rPr>
              <w:t>0,42x el valor contable y ≈0,5x su NCAV</w:t>
            </w:r>
            <w:r>
              <w:rPr>
                <w:b w:val="0"/>
                <w:i w:val="0"/>
              </w:rPr>
              <w:t>. Además, el sector se está consolidando con salidas de bolsa promovidas por los grandes accionistas.</w:t>
            </w:r>
          </w:p>
        </w:tc>
      </w:tr>
    </w:tbl>
    <w:p/>
    <w:p>
      <w:pPr>
        <w:pStyle w:val="Heading1"/>
      </w:pPr>
      <w:r>
        <w:t>1.1 Modelo de Negocio</w:t>
      </w:r>
    </w:p>
    <w:p>
      <w:pPr>
        <w:pStyle w:val="Heading2"/>
      </w:pPr>
      <w:r>
        <w:t>Actividad principal y estructura del grupo</w:t>
      </w:r>
    </w:p>
    <w:p>
      <w:r>
        <w:rPr>
          <w:b w:val="0"/>
          <w:i w:val="0"/>
        </w:rPr>
        <w:t xml:space="preserve">🔍 El grupo está formado por la matriz, </w:t>
      </w:r>
      <w:r>
        <w:rPr>
          <w:b/>
          <w:i w:val="0"/>
        </w:rPr>
        <w:t>tres filiales</w:t>
      </w:r>
      <w:r>
        <w:rPr>
          <w:b w:val="0"/>
          <w:i w:val="0"/>
        </w:rPr>
        <w:t xml:space="preserve"> y una «sociedad vinculada» (その他の関係会社), Kokubu Group, con un 18,2% de los votos. Tiene un único segmento contable («negocio relacionado con mascotas»):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Sociedad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Relación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Echo Trading K.K. (matriz)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Mayorista de comida y accesorios para mascotas; formación (escuela Echo Pet Business, traspasada en abr-2026); eventos (feria «Pet Kingdom»)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Cotizada (TSE Standard 7427)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Pets Value K.K.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Desarrollo y gestión de tiendas de mascotas para clientes (200 tiendas gestionadas); antes también producto propio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Filial 100%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I&amp;I K.K.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Producto propio (marca «ShareZ», «GOODISH» procedente de Fancl) y material promocional para tiendas; desde FY2/2027 centraliza todo el desarrollo de producto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Filial 100% (desde feb-2026)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PetPet K.K.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Portal de información para mascotas (cerrado en sep-2025; ya sin actividad)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Filial 100%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Kokubu Group Honsha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Gran distribuidor de alimentación y bebidas (no cotizado). </w:t>
            </w:r>
            <w:r>
              <w:rPr>
                <w:b/>
                <w:i w:val="0"/>
                <w:sz w:val="17"/>
              </w:rPr>
              <w:t>Accionista principal y a la vez proveedor</w:t>
            </w:r>
            <w:r>
              <w:rPr>
                <w:b w:val="0"/>
                <w:i w:val="0"/>
                <w:sz w:val="17"/>
              </w:rPr>
              <w:t xml:space="preserve"> (compras de 10.822 M JPY en FY2/2026)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Sociedad vinculada (18,2%)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p.6-7 (事業の内容, 関係会社の状況) y p.77 (関連当事者情報)]</w:t>
      </w:r>
    </w:p>
    <w:p>
      <w:pPr>
        <w:pStyle w:val="Heading2"/>
      </w:pPr>
      <w:r>
        <w:t>Productos y servicios</w:t>
      </w:r>
    </w:p>
    <w:p>
      <w:r>
        <w:rPr>
          <w:b w:val="0"/>
          <w:i w:val="0"/>
        </w:rPr>
        <w:t xml:space="preserve">Distribuye </w:t>
      </w:r>
      <w:r>
        <w:rPr>
          <w:b/>
          <w:i w:val="0"/>
        </w:rPr>
        <w:t>comida para mascotas</w:t>
      </w:r>
      <w:r>
        <w:rPr>
          <w:b w:val="0"/>
          <w:i w:val="0"/>
        </w:rPr>
        <w:t xml:space="preserve"> (78,4% de las ventas de FY2/2026: gato, snacks, perro, pequeños animales y peces) y </w:t>
      </w:r>
      <w:r>
        <w:rPr>
          <w:b/>
          <w:i w:val="0"/>
        </w:rPr>
        <w:t>accesorios</w:t>
      </w:r>
      <w:r>
        <w:rPr>
          <w:b w:val="0"/>
          <w:i w:val="0"/>
        </w:rPr>
        <w:t xml:space="preserve"> (21,2%: arena, empapadores, juguetes, collares, jaulas, cuidado). Añade servicios de valor: planificación de lineales y categorías («la mejor empresa de planificación de categorías de mascotas del mundo» es su lema), material promocional, formación para personal de tiendas (e-learning «Echo Study»), gestión de tiendas especializadas (Pets Value) y la feria anual </w:t>
      </w:r>
      <w:r>
        <w:rPr>
          <w:b/>
          <w:i w:val="0"/>
        </w:rPr>
        <w:t>«Minna Daisuki!! Pet Kingdom»</w:t>
      </w:r>
      <w:r>
        <w:rPr>
          <w:b w:val="0"/>
          <w:i w:val="0"/>
        </w:rPr>
        <w:t xml:space="preserve"> (≈40.000 visitantes en 2023).</w:t>
      </w:r>
    </w:p>
    <w:p>
      <w:r>
        <w:rPr>
          <w:b w:val="0"/>
          <w:i/>
          <w:color w:val="555555"/>
          <w:sz w:val="17"/>
        </w:rPr>
        <w:t>[Fuente: Yuho FY2/2026 (F_2025.pdf, 26-may-2026), p.18-20; Yuho FY2/2024 (F_2023.pdf, 23-may-2024), p.17]</w:t>
      </w:r>
    </w:p>
    <w:p>
      <w:pPr>
        <w:pStyle w:val="Heading2"/>
      </w:pPr>
      <w:r>
        <w:t>Propuesta de valor</w:t>
      </w:r>
    </w:p>
    <w:p>
      <w:r>
        <w:rPr>
          <w:b w:val="0"/>
          <w:i w:val="0"/>
        </w:rPr>
        <w:t xml:space="preserve">Para un </w:t>
      </w:r>
      <w:r>
        <w:rPr>
          <w:b/>
          <w:i w:val="0"/>
        </w:rPr>
        <w:t>fabricante</w:t>
      </w:r>
      <w:r>
        <w:rPr>
          <w:b w:val="0"/>
          <w:i w:val="0"/>
        </w:rPr>
        <w:t xml:space="preserve">, Echo da acceso a miles de puntos de venta en todo Japón con una sola relación logística y comercial. Para un </w:t>
      </w:r>
      <w:r>
        <w:rPr>
          <w:b/>
          <w:i w:val="0"/>
        </w:rPr>
        <w:t>minorista</w:t>
      </w:r>
      <w:r>
        <w:rPr>
          <w:b w:val="0"/>
          <w:i w:val="0"/>
        </w:rPr>
        <w:t xml:space="preserve"> (home center, droguería, supermercado), Echo agrupa en un solo pedido y una sola entrega cientos de proveedores pequeños de un surtido muy fragmentado (20.000 referencias), gestiona la categoría completa y asume el riesgo de stock. Su discurso estratégico, el concepto </w:t>
      </w:r>
      <w:r>
        <w:rPr>
          <w:b/>
          <w:i w:val="0"/>
        </w:rPr>
        <w:t>«CED»</w:t>
      </w:r>
      <w:r>
        <w:rPr>
          <w:b w:val="0"/>
          <w:i w:val="0"/>
        </w:rPr>
        <w:t xml:space="preserve"> (Communication, Education/Entertainment, Design, al que se añaden Connect y Data Science en el nuevo plan), busca diferenciarse con propuestas de valor y no por precio.</w:t>
      </w:r>
    </w:p>
    <w:p>
      <w:r>
        <w:rPr>
          <w:b w:val="0"/>
          <w:i/>
          <w:color w:val="555555"/>
          <w:sz w:val="17"/>
        </w:rPr>
        <w:t>[Fuente: Yuho FY2/2026 (F_2025.pdf, 26-may-2026), p.10-11 «経営方針» y «対処すべき課題»; Kessan Tanshin 1T FY2/2027 (Q1_2026.pdf, 10-jul-2026), p.2]</w:t>
      </w:r>
    </w:p>
    <w:p>
      <w:r>
        <w:rPr>
          <w:b w:val="0"/>
          <w:i w:val="0"/>
        </w:rPr>
        <w:t xml:space="preserve">⚠️ ESPECULACIÓN razonada: es una propuesta real (la distribución japonesa está muy fragmentada y los minoristas externalizan la gestión de categorías), pero </w:t>
      </w:r>
      <w:r>
        <w:rPr>
          <w:b/>
          <w:i w:val="0"/>
        </w:rPr>
        <w:t>replicable por mayoristas generalistas</w:t>
      </w:r>
      <w:r>
        <w:rPr>
          <w:b w:val="0"/>
          <w:i w:val="0"/>
        </w:rPr>
        <w:t xml:space="preserve"> (Arata, PALTAC, Kokubu) y por el líder especializado Japell. El margen operativo del 1% muestra que el poder de negociación lo tienen fabricantes y grandes cadenas.</w:t>
      </w:r>
    </w:p>
    <w:p>
      <w:pPr>
        <w:pStyle w:val="Heading2"/>
      </w:pPr>
      <w:r>
        <w:t>Evolución histórica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Año</w:t>
            </w:r>
          </w:p>
        </w:tc>
        <w:tc>
          <w:tcPr>
            <w:tcW w:type="dxa" w:w="78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Hito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1971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Fundación en Osaka como Echo Hanbai: venta de comida para mascotas, aves y peces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1975-1993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Red nacional de oficinas (Sapporo, Tokio, Nagoya, Fukuoka, Hiroshima, Sendai…)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1992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Absorbe Nihon Max y Yamato Kogyo; nuevo nombre: Echo Trading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1995 / 2003 / 2005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Cotiza en Osaka (2.ª sección), en Tokio (2.ª) y pasa a la 1.ª sección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2000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Crea Pets Value y la escuela Echo Pet Business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2013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/>
                <w:i w:val="0"/>
                <w:sz w:val="17"/>
              </w:rPr>
              <w:t>Alianza de capital y negocio con Kokubu</w:t>
            </w:r>
            <w:r>
              <w:rPr>
                <w:b w:val="0"/>
                <w:i w:val="0"/>
                <w:sz w:val="17"/>
              </w:rPr>
              <w:t>, que pasa a primer accionista (18,31%)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2016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Llega como presidente Minoru Toyoda (ex Nisshin Seifun Premix); sociedad con comité de auditoría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2021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Plan a medio plazo «I3☆55» (FY2/2022-FY2/2026)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2022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Paso al segmento Standard; oficina central en Tokio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2024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Traslado de la sede a Osaka-Miyahara; venta de la antigua sede de Nishinomiya (plusvalía de 205 M JPY)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2025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Cierre del portal PetPet; Rakuten pasa a ser cliente &gt;10%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i w:val="0"/>
                <w:sz w:val="17"/>
              </w:rPr>
              <w:t>2026</w:t>
            </w:r>
          </w:p>
        </w:tc>
        <w:tc>
          <w:tcPr>
            <w:tcW w:type="dxa" w:w="78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 xml:space="preserve">Venta de la escuela a Yashima Gakuen; </w:t>
            </w:r>
            <w:r>
              <w:rPr>
                <w:b/>
                <w:i w:val="0"/>
                <w:sz w:val="17"/>
              </w:rPr>
              <w:t>nuevo plan a medio plazo</w:t>
            </w:r>
            <w:r>
              <w:rPr>
                <w:b w:val="0"/>
                <w:i w:val="0"/>
                <w:sz w:val="17"/>
              </w:rPr>
              <w:t xml:space="preserve"> («Desafío, hacia un mayor crecimiento»); marca GOODISH (de Fancl)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p.4-5 «沿革» y p.18; Kessan Tanshin 1T FY2/2027 (Q1_2026.pdf, 10-jul-2026), p.2]</w:t>
      </w:r>
    </w:p>
    <w:p>
      <w:pPr>
        <w:pStyle w:val="Heading1"/>
      </w:pPr>
      <w:r>
        <w:t>1.2 Productos y Evolución de Ventas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Ejercicio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Perro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Gato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Snacks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Peq. animal/peces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Total comida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Accesorios perro/gato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Otros accesorios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Total accesorios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Otros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4"/>
              </w:rPr>
              <w:t>Total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i w:val="0"/>
                <w:sz w:val="14"/>
              </w:rPr>
              <w:t>FY2/2022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12.380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25.354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25.166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3.422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66.322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20.769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4.441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25.210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91.930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i w:val="0"/>
                <w:sz w:val="14"/>
              </w:rPr>
              <w:t>FY2/2023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12.865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27.945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27.310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3.421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71.541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21.025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3.977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25.002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414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96.955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i w:val="0"/>
                <w:sz w:val="14"/>
              </w:rPr>
              <w:t>FY2/2024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15.013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33.357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30.054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81.801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21.802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3.406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25.208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107.406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i w:val="0"/>
                <w:sz w:val="14"/>
              </w:rPr>
              <w:t>FY2/2025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14.836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34.298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29.848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2.929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81.911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21.577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2.535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24.112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367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106.388</w:t>
            </w:r>
          </w:p>
        </w:tc>
      </w:tr>
      <w:tr>
        <w:tc>
          <w:tcPr>
            <w:tcW w:type="dxa" w:w="907"/>
          </w:tcPr>
          <w:p>
            <w:r/>
            <w:r>
              <w:rPr>
                <w:b/>
                <w:i w:val="0"/>
                <w:sz w:val="14"/>
              </w:rPr>
              <w:t>FY2/2026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15.532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35.180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29.551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2.744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83.007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20.251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2.223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22.474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331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i w:val="0"/>
                <w:sz w:val="14"/>
              </w:rPr>
              <w:t>105.811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Cuadro «販売実績» por productos: Yuho FY2/2022 (F_2021.pdf, 26-may-2022) p.12; Yuho FY2/2023 (F_2022.pdf, 25-may-2023) p.12; Yuho FY2/2024 (F_2023.pdf, 23-may-2024) p.19; Yuho FY2/2025 (F_2024.pdf, 29-may-2025) p.19; Yuho FY2/2026 (F_2025.pdf, 26-may-2026) p.20. FY2/2023 aplica por primera vez la norma de reconocimiento de ingresos (no comparable al 100%)]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Perro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Gato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Snacks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Comida total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% Accesorios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13,5%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27,6%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27,4%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72,1%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27,4%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13,3%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28,8%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73,8%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25,8%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14,0%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31,1%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28,0%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76,2%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23,5%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13,9%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32,2%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28,1%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77,0%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22,7%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14,7%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33,2%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27,9%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78,4%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21,2%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 xml:space="preserve">💡 ESTIMACIÓN / CÁLCULO PROPIO: CAGR de ventas FY2/2022→FY2/2026 = (105.811/91.930)^(1/4) − 1 = </w:t>
      </w:r>
      <w:r>
        <w:rPr>
          <w:b/>
          <w:i w:val="0"/>
          <w:color w:val="1F4E79"/>
          <w:sz w:val="19"/>
        </w:rPr>
        <w:t>+3,6%</w:t>
      </w:r>
      <w:r>
        <w:rPr>
          <w:b w:val="0"/>
          <w:i w:val="0"/>
          <w:color w:val="1F4E79"/>
          <w:sz w:val="19"/>
        </w:rPr>
        <w:t xml:space="preserve">; FY2/2019→FY2/2026 = </w:t>
      </w:r>
      <w:r>
        <w:rPr>
          <w:b/>
          <w:i w:val="0"/>
          <w:color w:val="1F4E79"/>
          <w:sz w:val="19"/>
        </w:rPr>
        <w:t>+3,9%</w:t>
      </w:r>
      <w:r>
        <w:rPr>
          <w:b w:val="0"/>
          <w:i w:val="0"/>
          <w:color w:val="1F4E79"/>
          <w:sz w:val="19"/>
        </w:rPr>
        <w:t>. Comida de gato: +8,5% anual (25.354→35.180). Accesorios: −2,8% anual (25.210→22.474).</w:t>
      </w:r>
    </w:p>
    <w:p>
      <w:r>
        <w:rPr>
          <w:b/>
          <w:i w:val="0"/>
        </w:rPr>
        <w:t>Lectura:</w:t>
      </w:r>
      <w:r>
        <w:rPr>
          <w:b w:val="0"/>
          <w:i w:val="0"/>
        </w:rPr>
        <w:t xml:space="preserve"> 🟢 la mezcla se desplaza hacia la </w:t>
      </w:r>
      <w:r>
        <w:rPr>
          <w:b/>
          <w:i w:val="0"/>
        </w:rPr>
        <w:t>comida (78%) y en especial la de gato</w:t>
      </w:r>
      <w:r>
        <w:rPr>
          <w:b w:val="0"/>
          <w:i w:val="0"/>
        </w:rPr>
        <w:t xml:space="preserve"> (33% de las ventas, el segmento más dinámico de Japón). 🔴 Los </w:t>
      </w:r>
      <w:r>
        <w:rPr>
          <w:b/>
          <w:i w:val="0"/>
        </w:rPr>
        <w:t>accesorios caen en 3 de los últimos 4 años</w:t>
      </w:r>
      <w:r>
        <w:rPr>
          <w:b w:val="0"/>
          <w:i w:val="0"/>
        </w:rPr>
        <w:t xml:space="preserve"> (−11% acumulado desde FY2/2022) y los «otros accesorios» se han reducido a la mitad: es el efecto de la estrategia de «selección y concentración» y de la pérdida de algunos clientes. 🟡 El salto de FY2/2024 (+10,8%) se debió casi por completo a </w:t>
      </w:r>
      <w:r>
        <w:rPr>
          <w:b/>
          <w:i w:val="0"/>
        </w:rPr>
        <w:t>subidas de precio</w:t>
      </w:r>
      <w:r>
        <w:rPr>
          <w:b w:val="0"/>
          <w:i w:val="0"/>
        </w:rPr>
        <w:t xml:space="preserve"> de los fabricantes; desde entonces las ventas retroceden (−0,9% y −0,5%) porque «el efecto de las subidas de precios se ha agotado» y algunos clientes han cambiado sus condiciones.</w:t>
      </w:r>
    </w:p>
    <w:p>
      <w:r>
        <w:rPr>
          <w:b w:val="0"/>
          <w:i/>
          <w:color w:val="555555"/>
          <w:sz w:val="17"/>
        </w:rPr>
        <w:t>[Fuente: Yuho FY2/2024 (F_2023.pdf, 23-may-2024), p.17; Yuho FY2/2026 (F_2025.pdf, 26-may-2026), p.18]</w:t>
      </w:r>
    </w:p>
    <w:p>
      <w:pPr>
        <w:pStyle w:val="Heading1"/>
      </w:pPr>
      <w:r>
        <w:t>1.3 Segmentación de Ingresos</w:t>
      </w:r>
    </w:p>
    <w:p>
      <w:pPr>
        <w:pStyle w:val="Heading2"/>
      </w:pPr>
      <w:r>
        <w:t>Por segmento y geografía</w:t>
      </w:r>
    </w:p>
    <w:p>
      <w:r>
        <w:rPr>
          <w:b w:val="0"/>
          <w:i w:val="0"/>
        </w:rPr>
        <w:t xml:space="preserve">🔍 </w:t>
      </w:r>
      <w:r>
        <w:rPr>
          <w:b/>
          <w:i w:val="0"/>
        </w:rPr>
        <w:t>Segmento único</w:t>
      </w:r>
      <w:r>
        <w:rPr>
          <w:b w:val="0"/>
          <w:i w:val="0"/>
        </w:rPr>
        <w:t xml:space="preserve"> («negocio relacionado con mascotas») y </w:t>
      </w:r>
      <w:r>
        <w:rPr>
          <w:b/>
          <w:i w:val="0"/>
        </w:rPr>
        <w:t>100% Japón</w:t>
      </w:r>
      <w:r>
        <w:rPr>
          <w:b w:val="0"/>
          <w:i w:val="0"/>
        </w:rPr>
        <w:t xml:space="preserve"> (no hay ventas al exterior). Por eso la única segmentación disponible es la de producto (1.2) y la de clientes.</w:t>
      </w:r>
    </w:p>
    <w:p>
      <w:pPr>
        <w:pStyle w:val="Heading2"/>
      </w:pPr>
      <w:r>
        <w:t>Por canal y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Canal / cliente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Rakuten Group</w:t>
            </w:r>
            <w:r>
              <w:rPr>
                <w:b w:val="0"/>
                <w:i w:val="0"/>
                <w:sz w:val="16"/>
              </w:rPr>
              <w:t xml:space="preserve"> (comercio electrónico)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Primer cliente que supera el 10%: 11.073 M JPY en FY2/2026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i w:val="0"/>
                <w:sz w:val="16"/>
              </w:rPr>
              <w:t>10,5%</w:t>
            </w:r>
            <w:r>
              <w:rPr>
                <w:b w:val="0"/>
                <w:i w:val="0"/>
                <w:sz w:val="16"/>
              </w:rPr>
              <w:t xml:space="preserve"> 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Home centers (Kohnan, DCM, Arenza)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Participaciones en clientes («政策保有株式»): Kohnan 350 M JPY, DCM 38, Arenza 23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 (canal principal ⚠️)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Droguerías (Genky DrugStores)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Participación de 116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Supermercados y grandes superficies (AEON, Okuwa, Life, H2O Retailing)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Participaciones de 67 / 53 / 33 / 29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Comercio electrónico especializado (PetGo)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Participación de 32 M JPY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6"/>
              </w:rPr>
              <w:t>Tiendas especializadas (200 gestionadas por Pets Value)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Pets Value: de 268 tiendas (FY2/2022) a 200 (FY2/2026)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Yuho FY2/2026 (F_2025.pdf, 26-may-2026), p.20 (相手先別販売実績) y p.47-48 (特定投資株式)]</w:t>
      </w:r>
    </w:p>
    <w:p>
      <w:r>
        <w:rPr>
          <w:b w:val="0"/>
          <w:i w:val="0"/>
        </w:rPr>
        <w:t xml:space="preserve">⚠️ La presencia de Rakuten por encima del 10% es </w:t>
      </w:r>
      <w:r>
        <w:rPr>
          <w:b/>
          <w:i w:val="0"/>
        </w:rPr>
        <w:t>nueva</w:t>
      </w:r>
      <w:r>
        <w:rPr>
          <w:b w:val="0"/>
          <w:i w:val="0"/>
        </w:rPr>
        <w:t xml:space="preserve"> en FY2/2026. Comercio electrónico de bajo margen y alta exigencia logística: explica parte de la caída del margen bruto (de 11,32% a 11,14%) y abre una </w:t>
      </w:r>
      <w:r>
        <w:rPr>
          <w:b/>
          <w:i w:val="0"/>
        </w:rPr>
        <w:t>dependencia comercial</w:t>
      </w:r>
      <w:r>
        <w:rPr>
          <w:b w:val="0"/>
          <w:i w:val="0"/>
        </w:rPr>
        <w:t>.</w:t>
      </w:r>
    </w:p>
    <w:p>
      <w:pPr>
        <w:pStyle w:val="Heading1"/>
      </w:pPr>
      <w:r>
        <w:t>1.4 KPIs Clave del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FY2/2022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FY2/2023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FY2/2024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FY2/2025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FY2/2026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Ventas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91.930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96.955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107.406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106.388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105.811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bruto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11,73%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11,57%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11,32%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11,14%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SG&amp;A / ventas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11,22%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10,66%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9,97%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10,04%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10,09%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Margen operativo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0,51%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0,88%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1,60%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1,28%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Beneficio operativo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467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858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1.720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1.360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1.110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Plantilla (+ temporales medios)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340 (522)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332 (495)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323 (467)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312 (446)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300 (431)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Ventas por empleado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270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292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333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341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353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Tiendas gestionadas por Pets Value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268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254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215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Fletes y embalaje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5.256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5.294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Alquileres (M JPY)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1.059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1.080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6"/>
              </w:rPr>
              <w:t>Rappels de proveedores pendientes de cobro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n.d.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2.199</w:t>
            </w:r>
          </w:p>
        </w:tc>
      </w:tr>
    </w:tbl>
    <w:p/>
    <w:p>
      <w:r>
        <w:rPr>
          <w:b w:val="0"/>
          <w:i/>
          <w:color w:val="555555"/>
          <w:sz w:val="17"/>
        </w:rPr>
        <w:t>[Fuente: cuentas.xlsx (TIKR, FY2/2019-FY2/2026 y LTM); Yuho FY2/2022-26 (従業員の状況, MD&amp;A); Yuho FY2/2026 (F_2025.pdf, 26-may-2026), p.54 (gastos), p.94 (KAM, rappels)]</w:t>
      </w:r>
    </w:p>
    <w:p>
      <w:r>
        <w:rPr>
          <w:b w:val="0"/>
          <w:i w:val="0"/>
        </w:rPr>
        <w:t xml:space="preserve">🔴 </w:t>
      </w:r>
      <w:r>
        <w:rPr>
          <w:b/>
          <w:i w:val="0"/>
        </w:rPr>
        <w:t>El margen bruto baja en 3 de los últimos 4 años</w:t>
      </w:r>
      <w:r>
        <w:rPr>
          <w:b w:val="0"/>
          <w:i w:val="0"/>
        </w:rPr>
        <w:t xml:space="preserve"> (11,73% → 11,14%; LTM 10,95%) por la «competencia en precios dentro del sector» y la mezcla de clientes. 🟢 La plantilla se reduce (340 → 300) y las ventas por empleado suben de 270 a 353 M JPY. 🔴 La logística (5,0% de las ventas) y los alquileres (1,0%) son costes que suben con la inflación japonesa de salarios y transporte (la «crisis logística de 2024»).</w:t>
      </w:r>
    </w:p>
    <w:p>
      <w:pPr>
        <w:pStyle w:val="Heading1"/>
      </w:pPr>
      <w:r>
        <w:t>1.5 Clasificación Sectorial y KPIs de Pat Dorsey</w:t>
      </w:r>
    </w:p>
    <w:p>
      <w:r>
        <w:rPr>
          <w:b w:val="0"/>
          <w:i w:val="0"/>
        </w:rPr>
        <w:t xml:space="preserve">La guía de Dorsey no tiene un capítulo específico para distribución mayorista. Echo es un </w:t>
      </w:r>
      <w:r>
        <w:rPr>
          <w:b/>
          <w:i w:val="0"/>
        </w:rPr>
        <w:t>distribuidor B2B de bienes de consumo</w:t>
      </w:r>
      <w:r>
        <w:rPr>
          <w:b w:val="0"/>
          <w:i w:val="0"/>
        </w:rPr>
        <w:t xml:space="preserve">. Aplicamos (i) los KPIs universales y de activos físicos/logística de </w:t>
      </w:r>
      <w:r>
        <w:rPr>
          <w:b/>
          <w:i w:val="0"/>
        </w:rPr>
        <w:t>Servicios Empresariales</w:t>
      </w:r>
      <w:r>
        <w:rPr>
          <w:b w:val="0"/>
          <w:i w:val="0"/>
        </w:rPr>
        <w:t xml:space="preserve"> (sección 3: rotación de activos, densidad logística, ROIC, FCF/BN) y (ii) los KPIs de cadena de suministro de </w:t>
      </w:r>
      <w:r>
        <w:rPr>
          <w:b/>
          <w:i w:val="0"/>
        </w:rPr>
        <w:t>Bienes de Consumo</w:t>
      </w:r>
      <w:r>
        <w:rPr>
          <w:b w:val="0"/>
          <w:i w:val="0"/>
        </w:rPr>
        <w:t xml:space="preserve"> (sección 10: rotación de inventario, días de existencias, crecimiento volumen vs precio).</w:t>
      </w:r>
    </w:p>
    <w:p>
      <w:r>
        <w:rPr>
          <w:b w:val="0"/>
          <w:i/>
          <w:color w:val="555555"/>
          <w:sz w:val="17"/>
        </w:rPr>
        <w:t>[Fuente: GUIA_SECTORES_Y_KPIS_COMPLETA.md, secciones 3 (A y D) y 10 (A, B y E)]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KPI Dorsey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Benchmark guía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Echo FY2/2026</w:t>
            </w:r>
          </w:p>
        </w:tc>
        <w:tc>
          <w:tcPr>
            <w:tcW w:type="dxa" w:w="2493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Valoración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Crecimiento de ingresos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&gt;5-10% (servicios)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−0,5% (CAGR 4 años +3,6%)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Margen EBITDA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&gt;15-25%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1,1%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 (normal en distribución)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Margen operativo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&gt;12-20%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1,05%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ROIC (NOPAT/capital invertido)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&gt;15%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≈9,6% (FY2/2024 11,6%)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ROE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&gt;20% (consumo)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6,6% (máx. 12,0% en FY2/2024)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FCF / BN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&gt;100%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Volátil: 482% (FY2/2026) / −10% (FY2/2025)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Rotación de activos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&gt;1,0x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2,9x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Rotación de inventario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&gt;6-10x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≈26x (14 días)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Días de inventario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&lt;60 días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14 días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Ciclo de caja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&lt;60 días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≈18-30 días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Volumen vs precio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Volumen +1-3%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Volumen negativo; crecimiento vía precio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Concentración de clientes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&lt;30% top 10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1 cliente &gt;10% (Rakuten 10,5%)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🟡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Deuda neta / EBITDA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&lt;2x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Caja neta (normalizada ≈1.000-1.500)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i w:val="0"/>
                <w:sz w:val="16"/>
              </w:rPr>
              <w:t>CapEx de mantenimiento / CapEx total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&lt;50%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Modelo asset-light (CapEx ≈0,2% de ventas)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i w:val="0"/>
                <w:sz w:val="16"/>
              </w:rPr>
              <w:t>🟢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EBITDA FY2/2026 = BO 1.110 + amortización 94 = 1.204 M JPY. ROIC = BO × (1 − 34%) / (PN 12.178 + deuda 1.650 − caja 6.231) = 733 / 7.597 = 9,6%. Rotación de activos = 105.811 / media (34.065; 38.899) = 2,9x. Días de inventario = 3.530 / coste de ventas 94.025 × 365 = 14 días.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/>
                <w:i w:val="0"/>
              </w:rPr>
              <w:t>Evaluación de moat (preliminar): ESTRECHO a INEXISTENTE.</w:t>
            </w:r>
            <w:r>
              <w:rPr>
                <w:b w:val="0"/>
                <w:i w:val="0"/>
              </w:rPr>
              <w:t xml:space="preserve"> 🟡 Hay escala logística nacional (≈20 centros), relaciones de décadas y conocimiento de categoría, que dan un ROIC aceptable (8-12%) gracias a la alta rotación. Pero el margen del 1% y su caída sostenida muestran que </w:t>
            </w:r>
            <w:r>
              <w:rPr>
                <w:b/>
                <w:i w:val="0"/>
              </w:rPr>
              <w:t>no hay poder de precio</w:t>
            </w:r>
            <w:r>
              <w:rPr>
                <w:b w:val="0"/>
                <w:i w:val="0"/>
              </w:rPr>
              <w:t>. Se detalla en la Sección 2.</w:t>
            </w:r>
          </w:p>
        </w:tc>
      </w:tr>
    </w:tbl>
    <w:p/>
    <w:p>
      <w:pPr>
        <w:pStyle w:val="Heading1"/>
      </w:pPr>
      <w:r>
        <w:t>1.6 Mecánica de Generación de Ingresos</w:t>
      </w:r>
    </w:p>
    <w:p>
      <w:pPr>
        <w:pStyle w:val="Heading2"/>
      </w:pPr>
      <w:r>
        <w:t>Modelo de pricing</w:t>
      </w:r>
    </w:p>
    <w:p>
      <w:pPr>
        <w:pStyle w:val="ListBullet"/>
      </w:pPr>
      <w:r>
        <w:rPr>
          <w:b/>
          <w:i w:val="0"/>
        </w:rPr>
        <w:t>Precio de compra − precio de venta = margen bruto (≈11%)</w:t>
      </w:r>
      <w:r>
        <w:rPr>
          <w:b w:val="0"/>
          <w:i w:val="0"/>
        </w:rPr>
        <w:t>. El precio de venta al minorista se negocia por cuenta y por categoría. Cuando los fabricantes suben precios (FY2/2023-24), las ventas suben y el margen absoluto también; cuando el efecto de esas subidas se agota, el margen se estrecha por la competencia.</w:t>
      </w:r>
    </w:p>
    <w:p>
      <w:pPr>
        <w:pStyle w:val="ListBullet"/>
      </w:pPr>
      <w:r>
        <w:rPr>
          <w:b/>
          <w:i w:val="0"/>
        </w:rPr>
        <w:t>Rappels y promociones de proveedores (仕入割戻金)</w:t>
      </w:r>
      <w:r>
        <w:rPr>
          <w:b w:val="0"/>
          <w:i w:val="0"/>
        </w:rPr>
        <w:t xml:space="preserve">: parte crucial del beneficio. Rappels pendientes de cobro a cierre: 2.199 M JPY (≈2x el BO). El auditor (Deloitte Tohmatsu) lo considera </w:t>
      </w:r>
      <w:r>
        <w:rPr>
          <w:b/>
          <w:i w:val="0"/>
        </w:rPr>
        <w:t>asunto clave de auditoría (KAM)</w:t>
      </w:r>
      <w:r>
        <w:rPr>
          <w:b w:val="0"/>
          <w:i w:val="0"/>
        </w:rPr>
        <w:t xml:space="preserve"> por su importancia y complejidad.</w:t>
      </w:r>
    </w:p>
    <w:p>
      <w:pPr>
        <w:pStyle w:val="ListBullet"/>
      </w:pPr>
      <w:r>
        <w:rPr>
          <w:b/>
          <w:i w:val="0"/>
        </w:rPr>
        <w:t>Ingresos netos de descuentos y devoluciones</w:t>
      </w:r>
      <w:r>
        <w:rPr>
          <w:b w:val="0"/>
          <w:i w:val="0"/>
        </w:rPr>
        <w:t>; reconocimiento en el momento de la expedición. El cobro llega «generalmente en 3 meses».</w:t>
      </w:r>
    </w:p>
    <w:p>
      <w:pPr>
        <w:pStyle w:val="ListBullet"/>
      </w:pPr>
      <w:r>
        <w:rPr>
          <w:b/>
          <w:i w:val="0"/>
        </w:rPr>
        <w:t>Logística como principal coste variable</w:t>
      </w:r>
      <w:r>
        <w:rPr>
          <w:b w:val="0"/>
          <w:i w:val="0"/>
        </w:rPr>
        <w:t>: fletes y embalaje de 5.294 M JPY (5,0% de las ventas). Iniciativas: entregas conjuntas, preparación simultánea de pedidos con tabletas, AI-OCR, centros nuevos (Hashima en 2023, Takaoka en 2024, Hayashima en 2026).</w:t>
      </w:r>
    </w:p>
    <w:p>
      <w:r>
        <w:rPr>
          <w:b w:val="0"/>
          <w:i/>
          <w:color w:val="555555"/>
          <w:sz w:val="17"/>
        </w:rPr>
        <w:t>[Fuente: Yuho FY2/2026 (F_2025.pdf, 26-may-2026), p.59-60 (収益認識), p.54 (gastos), p.94 (KAM); Yuho FY2/2025 (F_2024.pdf, 29-may-2025), p.17]</w:t>
      </w:r>
    </w:p>
    <w:p>
      <w:pPr>
        <w:pStyle w:val="Heading2"/>
      </w:pPr>
      <w:r>
        <w:t>Estacionalidad</w:t>
      </w:r>
    </w:p>
    <w:p>
      <w:r>
        <w:rPr>
          <w:b w:val="0"/>
          <w:i w:val="0"/>
        </w:rPr>
        <w:t xml:space="preserve">Moderada. El </w:t>
      </w:r>
      <w:r>
        <w:rPr>
          <w:b/>
          <w:i w:val="0"/>
        </w:rPr>
        <w:t>1T (mar-may)</w:t>
      </w:r>
      <w:r>
        <w:rPr>
          <w:b w:val="0"/>
          <w:i w:val="0"/>
        </w:rPr>
        <w:t xml:space="preserve"> incluye la feria Pet Kingdom (mayo) y suele tener ventas altas (26.508 M JPY en el 1T FY2/2026, el 25% del año). El margen se resiente en trimestres con revisiones de condiciones comerciales. 🔴 </w:t>
      </w:r>
      <w:r>
        <w:rPr>
          <w:b/>
          <w:i w:val="0"/>
        </w:rPr>
        <w:t>Efecto calendario muy relevante en el balance y los flujos</w:t>
      </w:r>
      <w:r>
        <w:rPr>
          <w:b w:val="0"/>
          <w:i w:val="0"/>
        </w:rPr>
        <w:t xml:space="preserve">: cuando el cierre cae en día festivo bancario (28-feb-2021 domingo, 28-feb-2026 sábado, 31-may-2026 domingo), cobros y pagos se desplazan al mes siguiente y </w:t>
      </w:r>
      <w:r>
        <w:rPr>
          <w:b/>
          <w:i w:val="0"/>
        </w:rPr>
        <w:t>clientes, proveedores, caja y OCF quedan inflados</w:t>
      </w:r>
      <w:r>
        <w:rPr>
          <w:b w:val="0"/>
          <w:i w:val="0"/>
        </w:rPr>
        <w:t>.</w:t>
      </w:r>
    </w:p>
    <w:p>
      <w:r>
        <w:rPr>
          <w:b w:val="0"/>
          <w:i/>
          <w:color w:val="555555"/>
          <w:sz w:val="17"/>
        </w:rPr>
        <w:t>[Fuente: Yuho FY2/2026 (F_2025.pdf, 26-may-2026), p.19 (explicación de la empresa sobre el efecto festivo); Yuho FY2/2022 (F_2021.pdf, 26-may-2022), p.11; Kessan Tanshin 1T FY2/2027 (Q1_2026.pdf, 10-jul-2026)]</w:t>
      </w:r>
    </w:p>
    <w:p>
      <w:pPr>
        <w:pStyle w:val="Heading2"/>
      </w:pPr>
      <w:r>
        <w:t>Ciclo de conversión de caja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Ejercicio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DSO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DIO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DPO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CCC (días)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¿Cierre en festivo?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60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29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/>
                <w:i w:val="0"/>
                <w:sz w:val="17"/>
              </w:rPr>
              <w:t>FY2/2026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83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79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Sí (sábado)</w:t>
            </w:r>
          </w:p>
        </w:tc>
      </w:tr>
    </w:tbl>
    <w:p/>
    <w:p>
      <w:r>
        <w:rPr>
          <w:b w:val="0"/>
          <w:i w:val="0"/>
          <w:color w:val="1F4E79"/>
          <w:sz w:val="19"/>
        </w:rPr>
        <w:t>💡 ESTIMACIÓN / CÁLCULO PROPIO: DSO = clientes/ventas×365; DIO = existencias/coste de ventas×365; DPO = proveedores/coste de ventas×365.</w:t>
      </w:r>
    </w:p>
    <w:p>
      <w:r>
        <w:rPr>
          <w:b w:val="0"/>
          <w:i w:val="0"/>
        </w:rPr>
        <w:t xml:space="preserve">🟢 Ciclo de caja corto (≈30 días en años normales): los proveedores financian buena parte de los clientes. Al crecer las ventas, el circulante absorbe ≈6% del incremento. 🔴 FY2/2026 (18 días) está </w:t>
      </w:r>
      <w:r>
        <w:rPr>
          <w:b/>
          <w:i w:val="0"/>
        </w:rPr>
        <w:t>distorsionado</w:t>
      </w:r>
      <w:r>
        <w:rPr>
          <w:b w:val="0"/>
          <w:i w:val="0"/>
        </w:rPr>
        <w:t xml:space="preserve"> por el cierre en sábado.</w:t>
      </w:r>
    </w:p>
    <w:p>
      <w:pPr>
        <w:pStyle w:val="Heading2"/>
      </w:pPr>
      <w:r>
        <w:t>Drivers de 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Driver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Efecto</w:t>
            </w:r>
          </w:p>
        </w:tc>
        <w:tc>
          <w:tcPr>
            <w:tcW w:type="dxa" w:w="332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Situación oct-2026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Subidas de precio de fabricantes (inflación de materias primas, yen)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 ventas, + margen absoluto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efecto agotado en FY2/2026; nuevas subidas en 2026 posibles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Número de mascotas (perros ↓, gatos =)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Volumen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estructuralmente negativo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Premiumización / «humanización» (comida fresca, salud)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+ precio medio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🟢 tendencia de fondo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Clientes clave (Rakuten, home centers)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Volumen y margen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🟡 Rakuten en aumento, a cambio de menor margen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Costes logísticos y laborales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− margen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suben («crisis logística 2024»)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  <w:i w:val="0"/>
                <w:sz w:val="17"/>
              </w:rPr>
              <w:t>Consolidación de minoristas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Poder del comprador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i w:val="0"/>
                <w:sz w:val="17"/>
              </w:rPr>
              <w:t>🔴 aumenta</w:t>
            </w:r>
          </w:p>
        </w:tc>
      </w:tr>
    </w:tbl>
    <w:p/>
    <w:p>
      <w:pPr>
        <w:pStyle w:val="Heading1"/>
      </w:pPr>
      <w:r>
        <w:t>1.7 El mercado en el que opera</w:t>
      </w:r>
    </w:p>
    <w:p>
      <w:r>
        <w:rPr>
          <w:b w:val="0"/>
          <w:i w:val="0"/>
        </w:rPr>
        <w:t xml:space="preserve">🔍/💡 </w:t>
      </w:r>
      <w:r>
        <w:rPr>
          <w:b/>
          <w:i w:val="0"/>
        </w:rPr>
        <w:t>Mercado de productos y servicios para mascotas en Japón: 1,9108 billones de JPY en FY2024 (+2,6%), 1,9257 billones previstos en FY2025 y 2,0279 billones en FY2027</w:t>
      </w:r>
      <w:r>
        <w:rPr>
          <w:b w:val="0"/>
          <w:i w:val="0"/>
        </w:rPr>
        <w:t xml:space="preserve"> (Yano Research). El valor de la comida para mascotas suma </w:t>
      </w:r>
      <w:r>
        <w:rPr>
          <w:b/>
          <w:i w:val="0"/>
        </w:rPr>
        <w:t>9 años seguidos de aumento (459.400 M JPY)</w:t>
      </w:r>
      <w:r>
        <w:rPr>
          <w:b w:val="0"/>
          <w:i w:val="0"/>
        </w:rPr>
        <w:t xml:space="preserve">, mientras el </w:t>
      </w:r>
      <w:r>
        <w:rPr>
          <w:b/>
          <w:i w:val="0"/>
        </w:rPr>
        <w:t>volumen sigue cayendo</w:t>
      </w:r>
      <w:r>
        <w:rPr>
          <w:b w:val="0"/>
          <w:i w:val="0"/>
        </w:rPr>
        <w:t>: el crecimiento es de precio y de mayor valor añadido. El número de perros y gatos se ha estancado y el gasto por animal crece.</w:t>
      </w:r>
    </w:p>
    <w:p>
      <w:r>
        <w:rPr>
          <w:b w:val="0"/>
          <w:i/>
          <w:color w:val="555555"/>
          <w:sz w:val="17"/>
        </w:rPr>
        <w:t>[Fuente: Yano Research Institute, notas de prensa 3906 y 4169 (yano.co.jp, 2025-2026), vía búsqueda web del 3-oct-2026]</w:t>
      </w:r>
    </w:p>
    <w:p>
      <w:r>
        <w:rPr>
          <w:b/>
          <w:i w:val="0"/>
        </w:rPr>
        <w:t>Estructura de la distribución:</w:t>
      </w:r>
      <w:r>
        <w:rPr>
          <w:b w:val="0"/>
          <w:i w:val="0"/>
        </w:rPr>
        <w:t xml:space="preserve"> el líder especializado es </w:t>
      </w:r>
      <w:r>
        <w:rPr>
          <w:b/>
          <w:i w:val="0"/>
        </w:rPr>
        <w:t>Japell</w:t>
      </w:r>
      <w:r>
        <w:rPr>
          <w:b w:val="0"/>
          <w:i w:val="0"/>
        </w:rPr>
        <w:t xml:space="preserve"> (no cotizada, 187.000 M JPY de ventas en FY3/2025). Le siguen </w:t>
      </w:r>
      <w:r>
        <w:rPr>
          <w:b/>
          <w:i w:val="0"/>
        </w:rPr>
        <w:t>Echo</w:t>
      </w:r>
      <w:r>
        <w:rPr>
          <w:b w:val="0"/>
          <w:i w:val="0"/>
        </w:rPr>
        <w:t xml:space="preserve"> (≈106.000 M JPY) y los mayoristas generalistas de droguería y hogar (</w:t>
      </w:r>
      <w:r>
        <w:rPr>
          <w:b/>
          <w:i w:val="0"/>
        </w:rPr>
        <w:t>Arata</w:t>
      </w:r>
      <w:r>
        <w:rPr>
          <w:b w:val="0"/>
          <w:i w:val="0"/>
        </w:rPr>
        <w:t xml:space="preserve">, con una división de mascotas; </w:t>
      </w:r>
      <w:r>
        <w:rPr>
          <w:b/>
          <w:i w:val="0"/>
        </w:rPr>
        <w:t>PALTAC</w:t>
      </w:r>
      <w:r>
        <w:rPr>
          <w:b w:val="0"/>
          <w:i w:val="0"/>
        </w:rPr>
        <w:t>) y de alimentación (</w:t>
      </w:r>
      <w:r>
        <w:rPr>
          <w:b/>
          <w:i w:val="0"/>
        </w:rPr>
        <w:t>Kokubu</w:t>
      </w:r>
      <w:r>
        <w:rPr>
          <w:b w:val="0"/>
          <w:i w:val="0"/>
        </w:rPr>
        <w:t>, accionista de Echo). Hay también importadores y distribuidores de nicho. ⚠️ Cuota estimada de Echo en la distribución mayorista de productos para mascotas: ≈15-20%.</w:t>
      </w:r>
    </w:p>
    <w:p>
      <w:r>
        <w:rPr>
          <w:b w:val="0"/>
          <w:i w:val="0"/>
          <w:color w:val="1F4E79"/>
          <w:sz w:val="19"/>
        </w:rPr>
        <w:t>💡 ESTIMACIÓN / CÁLCULO PROPIO: Comida distribuida por Echo (83.006 M JPY, a precio mayorista) / valor de la comida en el mercado (459.400 M JPY) ≈ 18%. Son magnitudes de distinto nivel de la cadena (precio de fábrica vs mayorista), así que es solo una aproximación.</w:t>
      </w:r>
    </w:p>
    <w:p>
      <w:r>
        <w:rPr>
          <w:b w:val="0"/>
          <w:i/>
          <w:color w:val="555555"/>
          <w:sz w:val="17"/>
        </w:rPr>
        <w:t>[Fuente: Japell: nissyoku.co.jp (2025); Yuho FY2/2026 (F_2025.pdf, 26-may-2026)]</w:t>
      </w:r>
    </w:p>
    <w:p>
      <w:r>
        <w:rPr>
          <w:b/>
          <w:i w:val="0"/>
        </w:rPr>
        <w:t>Tendencias:</w:t>
      </w:r>
      <w:r>
        <w:rPr>
          <w:b w:val="0"/>
          <w:i w:val="0"/>
        </w:rPr>
        <w:t xml:space="preserve"> 🔴 consolidación del comercio minorista (fusiones de home centers y droguerías) y presión de los costes logísticos; 🔴 </w:t>
      </w:r>
      <w:r>
        <w:rPr>
          <w:b/>
          <w:i w:val="0"/>
        </w:rPr>
        <w:t>consolidación del sector mayorista con salidas de bolsa promovidas por los grandes accionistas</w:t>
      </w:r>
      <w:r>
        <w:rPr>
          <w:b w:val="0"/>
          <w:i w:val="0"/>
        </w:rPr>
        <w:t>: Mitsubishi Corp compró el resto de Mitsubishi Shokuhin (sep-2025), Itochu el de Itochu Shokuhin (abr-2026) y Medipal lanzó una OPA sobre PALTAC con una prima del 43% (jul-2026); 🟢 premiumización y comida fresca; 🟢 crecimiento del comercio electrónico (Rakuten).</w:t>
      </w:r>
    </w:p>
    <w:p>
      <w:r>
        <w:rPr>
          <w:b w:val="0"/>
          <w:i/>
          <w:color w:val="555555"/>
          <w:sz w:val="17"/>
        </w:rPr>
        <w:t>[Fuente: Búsquedas web 3-oct-2026: kabukiso.com y lnews.jp (OPA de PALTAC); edinetdb/itochu-shokuhin.com (exclusión de Itochu Shokuhin); traders/edinetdb (Mitsubishi Shokuhin)]</w:t>
      </w:r>
    </w:p>
    <w:p>
      <w:pPr>
        <w:pStyle w:val="Heading1"/>
      </w:pPr>
      <w:r>
        <w:t>Conclusión de la Sección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b w:val="0"/>
                <w:i w:val="0"/>
              </w:rPr>
              <w:t xml:space="preserve">🟡 </w:t>
            </w:r>
            <w:r>
              <w:rPr>
                <w:b/>
                <w:i w:val="0"/>
              </w:rPr>
              <w:t>Negocio sencillo y útil, pero de margen mínimo</w:t>
            </w:r>
            <w:r>
              <w:rPr>
                <w:b w:val="0"/>
                <w:i w:val="0"/>
              </w:rPr>
              <w:t>: Echo es un logista-mayorista especializado con 100.000 M JPY de ventas, 1% de margen operativo y alta rotación de activos. 🟢 Su posición de n.º 2 especializado, la exposición a la premiumización (gato, snacks, comida fresca) y la estructura asset-light son fortalezas. 🔴 El volumen no crece, el margen bruto se erosiona desde hace 4 años y el beneficio cae desde el máximo de FY2/2024 (BO de 1.720 → 1.110 → 1T FY2/2027 de solo 8 M JPY). 🟢 La valoración (P/B de 0,42x) y el contexto de consolidación son el núcleo de la tesis.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