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 Rentabilidad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5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5.1 Evolución de Márgenes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Margen bruto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SG&amp;A/Ventas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Margen EBITDA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Margen operativo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Margen ordinario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Margen neto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11,85%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11,76%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0,19%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-0,02%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11,80%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11,69%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0,12%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0,12%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0,06%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11,83%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11,47%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0,46%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0,37%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0,36%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11,73%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11,22%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0,60%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0,51%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0,52%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0,31%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11,54%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10,66%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0,96%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0,88%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0,93%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0,61%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11,57%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9,97%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1,66%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1,60%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1,62%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1,13%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11,32%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10,04%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1,36%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1,28%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1,29%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0,94%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11,14%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10,09%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1,14%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1,05%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1,05%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0,74%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1T FY2/2027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10,18%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10,16%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≈0,12%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−0,02%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LTM); Kessan Tanshin 1T FY2/2027 (Q1_2026.pdf, 10-jul-2026)]</w:t>
      </w:r>
    </w:p>
    <w:p>
      <w:pPr>
        <w:pStyle w:val="Heading2"/>
      </w:pPr>
      <w:r>
        <w:t>Estructura de costes (FY2/2026)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Partida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 JPY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Ventas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Δ vs FY2/2025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Margen bruto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11.786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11,14%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−258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Fletes y embalaje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5.294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5,00%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Sueldos y salarios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2.427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2,29%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Alquileres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1.080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1,02%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+21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Bienestar social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399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0,38%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Bonus (empleados y consejeros)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0,08%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Amortización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0,09%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Otros (incl. pensiones e insolvencias)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1.297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1,23%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+31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BO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1.110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1,05%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−250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p.54]</w:t>
      </w:r>
    </w:p>
    <w:p>
      <w:r>
        <w:rPr>
          <w:b w:val="0"/>
          <w:i w:val="0"/>
        </w:rPr>
        <w:t xml:space="preserve">🔴 El </w:t>
      </w:r>
      <w:r>
        <w:rPr>
          <w:b/>
          <w:i w:val="0"/>
        </w:rPr>
        <w:t>margen bruto</w:t>
      </w:r>
      <w:r>
        <w:rPr>
          <w:b w:val="0"/>
          <w:i w:val="0"/>
        </w:rPr>
        <w:t xml:space="preserve"> es la variable crítica: un movimiento de ±0,1 pp equivale a ±106 M JPY de BO (≈10%). 🟡 Los gastos están contenidos (−9 M JPY en FY2/2026 gracias al menor bonus), pero los fletes suben. </w:t>
      </w:r>
      <w:r>
        <w:rPr>
          <w:b/>
          <w:i w:val="0"/>
        </w:rPr>
        <w:t>Apalancamiento operativo extremo</w:t>
      </w:r>
      <w:r>
        <w:rPr>
          <w:b w:val="0"/>
          <w:i w:val="0"/>
        </w:rPr>
        <w:t>: con un SG&amp;A casi fijo de ≈10.700 M JPY, cada punto de margen bruto mueve el beneficio un 95%.</w:t>
      </w:r>
    </w:p>
    <w:p>
      <w:pPr>
        <w:pStyle w:val="Heading1"/>
      </w:pPr>
      <w:r>
        <w:t>5.2 EBITDA Ajustado vs Reportado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+ Amortización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= EBITDA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Ajustes no recurrentes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EBITDA ajustado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EBITDAR (+ alquileres)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467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549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549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1.436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858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1.819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1.720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1.787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1.787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2.709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1.443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Gastos del traslado de sede (no cuantificados ⚠️)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≈1.443-1.550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2.501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1.110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1.204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Bonus de consejeros 0 (−43 vs FY2/2025)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≈1.160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2.283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 (EBITDAR); Yuho FY2/2025 (F_2024.pdf, 29-may-2025) p.17 (traslado de sede)]</w:t>
      </w:r>
    </w:p>
    <w:p>
      <w:r>
        <w:rPr>
          <w:b w:val="0"/>
          <w:i w:val="0"/>
        </w:rPr>
        <w:t xml:space="preserve">🟡 No hay grandes ajustes: Echo no publica un «EBITDA ajustado». Los extraordinarios están </w:t>
      </w:r>
      <w:r>
        <w:rPr>
          <w:b/>
          <w:i w:val="0"/>
        </w:rPr>
        <w:t>por debajo del BO</w:t>
      </w:r>
      <w:r>
        <w:rPr>
          <w:b w:val="0"/>
          <w:i w:val="0"/>
        </w:rPr>
        <w:t xml:space="preserve">: plusvalía de la venta de la sede (205, FY2/2025), venta de valores (+67, FY2/2026), deterioros pequeños (18, FY2/2025) y reestructuración de la escuela (8). 💡 </w:t>
      </w:r>
      <w:r>
        <w:rPr>
          <w:b/>
          <w:i w:val="0"/>
        </w:rPr>
        <w:t>EBITDA normalizado de mitad de ciclo ≈1.050-1.150 M JPY</w:t>
      </w:r>
      <w:r>
        <w:rPr>
          <w:b w:val="0"/>
          <w:i w:val="0"/>
        </w:rPr>
        <w:t xml:space="preserve"> (BO ≈1.000 + amortización ≈90).</w:t>
      </w:r>
    </w:p>
    <w:p>
      <w:r>
        <w:rPr>
          <w:b w:val="0"/>
          <w:i w:val="0"/>
          <w:color w:val="1F4E79"/>
          <w:sz w:val="19"/>
        </w:rPr>
        <w:t xml:space="preserve">💡 ESTIMACIÓN / CÁLCULO PROPIO: BO normalizado ≈ media FY2/2023-26 (858; 1.720; 1.360; 1.110) = 1.262, descontando el pico de FY2/2024 (subidas de precio no repetibles) y la tendencia actual → </w:t>
      </w:r>
      <w:r>
        <w:rPr>
          <w:b/>
          <w:i w:val="0"/>
          <w:color w:val="1F4E79"/>
          <w:sz w:val="19"/>
        </w:rPr>
        <w:t>≈1.000 M JPY</w:t>
      </w:r>
      <w:r>
        <w:rPr>
          <w:b w:val="0"/>
          <w:i w:val="0"/>
          <w:color w:val="1F4E79"/>
          <w:sz w:val="19"/>
        </w:rPr>
        <w:t xml:space="preserve"> (margen ≈0,95%).</w:t>
      </w:r>
    </w:p>
    <w:p>
      <w:pPr>
        <w:pStyle w:val="Heading1"/>
      </w:pPr>
      <w:r>
        <w:t>5.3 Comparación con Competidores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Métrica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Echo (FY2/2026)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Arata 2733 (FY3/2026)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Kato Sangyo 9869 (FY9/2025)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PALTAC 8283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Itochu Shokuhin 2692 (FY3/2026)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Posición Echo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Ventas (M JPY)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105.811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1.004.749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≈1.210.000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≈1.200.000 ⚠️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≈720.000 ⚠️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Pequeño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Margen operativo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1,05%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1,31%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1,50%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≈2,5% ⚠️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1,2-1,5%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🔴 El más bajo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Margen neto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0,74%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1,01%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1,09%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🔴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ROE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6,6%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8,4%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8,1%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7,5%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7,3%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🔴 −1 a −2 pp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ROA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2,1%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4,2%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🔴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Solvencia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31,3%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35,7%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36,2%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56,7%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42,6%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🟡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ROIC (NOPAT/CI)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≈9,6%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🟡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Arata: FY3/2026 (ventas 1.004.749, BO 13.207, BN 10.130), ROE 8,42%, solvencia 35,7% (kabuyoho, TDnet). Kato Sangyo: FY9/2025 (ventas 1,21 billones, BO 18.200, BN 13.200, ROE 8,1%, solvencia 36,2%) (edinetdb). PALTAC: ROE 7,48%, ROA 4,24%, solvencia 56,7% (Monex). Itochu Shokuhin: margen 1,2-1,47%, ROE 7,3%, solvencia 42,6% (edinetdb). Todas las búsquedas a 3-oct-2026; ⚠️ datos secundarios]</w:t>
      </w:r>
    </w:p>
    <w:p>
      <w:r>
        <w:rPr>
          <w:b w:val="0"/>
          <w:i w:val="0"/>
          <w:color w:val="1F4E79"/>
          <w:sz w:val="19"/>
        </w:rPr>
        <w:t>💡 ESTIMACIÓN / CÁLCULO PROPIO: Margen operativo de Arata = 13.207/1.004.749 = 1,31%; margen neto = 10.130/1.004.749 = 1,01%. Kato Sangyo = 18.200/1.210.000 = 1,50% y 13.200/1.210.000 = 1,09%.</w:t>
      </w:r>
    </w:p>
    <w:p>
      <w:pPr>
        <w:pStyle w:val="Heading2"/>
      </w:pPr>
      <w:r>
        <w:t>DuPont del ROE de Echo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Margen neto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Rotación de activos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Apalancamiento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ROE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0,31%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3,08x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3,31x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0,61%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3,18x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3,26x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6,3%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3,30x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3,22x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12,0%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0,94%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3,15x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3,06x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9,1%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0,74%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2,90x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3,08x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6,6%</w:t>
            </w:r>
          </w:p>
        </w:tc>
      </w:tr>
    </w:tbl>
    <w:p/>
    <w:p>
      <w:r>
        <w:rPr>
          <w:b w:val="0"/>
          <w:i w:val="0"/>
        </w:rPr>
        <w:t xml:space="preserve">🟢 La </w:t>
      </w:r>
      <w:r>
        <w:rPr>
          <w:b/>
          <w:i w:val="0"/>
        </w:rPr>
        <w:t>rotación (≈3x)</w:t>
      </w:r>
      <w:r>
        <w:rPr>
          <w:b w:val="0"/>
          <w:i w:val="0"/>
        </w:rPr>
        <w:t xml:space="preserve"> y el </w:t>
      </w:r>
      <w:r>
        <w:rPr>
          <w:b/>
          <w:i w:val="0"/>
        </w:rPr>
        <w:t>apalancamiento comercial (≈3x, financiado por proveedores sin coste)</w:t>
      </w:r>
      <w:r>
        <w:rPr>
          <w:b w:val="0"/>
          <w:i w:val="0"/>
        </w:rPr>
        <w:t xml:space="preserve"> multiplican un margen ínfimo hasta un ROE razonable (6-12%). 🔴 Con margen neto del 0,74%, el ROE depende totalmente de que el margen no caiga: en el 1T FY2/2027 el ROE anualizado es </w:t>
      </w:r>
      <w:r>
        <w:rPr>
          <w:b/>
          <w:i w:val="0"/>
        </w:rPr>
        <w:t>≈0%</w:t>
      </w:r>
      <w:r>
        <w:rPr>
          <w:b w:val="0"/>
          <w:i w:val="0"/>
        </w:rPr>
        <w:t>.</w:t>
      </w:r>
    </w:p>
    <w:p>
      <w:pPr>
        <w:pStyle w:val="Heading1"/>
      </w:pPr>
      <w:r>
        <w:t>Conclusión de la Sección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A"/>
          </w:tcPr>
          <w:p>
            <w:r/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Rentabilidad baja y en descenso</w:t>
            </w:r>
            <w:r>
              <w:rPr>
                <w:b w:val="0"/>
                <w:i w:val="0"/>
              </w:rPr>
              <w:t xml:space="preserve">: margen operativo del 1,05% (el menor del grupo de comparables), margen bruto en tendencia bajista y ROE del 6,6% (frente al 12% de FY2/2024), por debajo del coste de capital (≈7-8%). 🟢 La rotación de activos y la financiación de proveedores dan un ROIC del ≈10% en años normales. 🔴 El 1T FY2/2027 marca un </w:t>
            </w:r>
            <w:r>
              <w:rPr>
                <w:b/>
                <w:i w:val="0"/>
              </w:rPr>
              <w:t>mínimo de rentabilidad</w:t>
            </w:r>
            <w:r>
              <w:rPr>
                <w:b w:val="0"/>
                <w:i w:val="0"/>
              </w:rPr>
              <w:t>: la clave de la tesis es si es transitorio (cambio puntual de condiciones con un cliente) o estructural.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