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Valoración y Comparables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10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10.1 Múltiplos Actuales</w:t>
      </w:r>
    </w:p>
    <w:p>
      <w:r>
        <w:rPr>
          <w:b w:val="0"/>
          <w:i w:val="0"/>
        </w:rPr>
        <w:t xml:space="preserve">🔍 </w:t>
      </w:r>
      <w:r>
        <w:rPr>
          <w:b/>
          <w:i w:val="0"/>
        </w:rPr>
        <w:t>Precio actual: 835 JPY</w:t>
      </w:r>
      <w:r>
        <w:rPr>
          <w:b w:val="0"/>
          <w:i w:val="0"/>
        </w:rPr>
        <w:t xml:space="preserve"> (Investing.com, oct-2026: 835 JPY, −1,76% en la sesión, rango intradía 821-850; rango de 52 semanas 811-958). Referencias previas: 839 JPY el 28-ago-2026 (Matsui/kabuyoho: capitalización de 5.175 M JPY, PER de 6,78x, PBR de 0,42x, yield del 3,58%). Ticker </w:t>
      </w:r>
      <w:r>
        <w:rPr>
          <w:b/>
          <w:i w:val="0"/>
        </w:rPr>
        <w:t>7427.T</w:t>
      </w:r>
      <w:r>
        <w:rPr>
          <w:b w:val="0"/>
          <w:i w:val="0"/>
        </w:rPr>
        <w:t xml:space="preserve"> (Yahoo) / </w:t>
      </w:r>
      <w:r>
        <w:rPr>
          <w:b/>
          <w:i w:val="0"/>
        </w:rPr>
        <w:t>TSE:7427</w:t>
      </w:r>
      <w:r>
        <w:rPr>
          <w:b w:val="0"/>
          <w:i w:val="0"/>
        </w:rPr>
        <w:t xml:space="preserve"> (TradingView), segmento Standard de la TSE. ⚠️ No se pudo consultar directamente el cierre del 2-oct-2026 por restricciones de red; conviene confirmar el precio antes de operar.</w:t>
      </w:r>
    </w:p>
    <w:p>
      <w:r>
        <w:rPr>
          <w:b w:val="0"/>
          <w:i/>
          <w:color w:val="555555"/>
          <w:sz w:val="17"/>
        </w:rPr>
        <w:t>[Fuente: Investing.com y Matsui Securities / kabuyoho vía búsqueda web (3-oct-2026)]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Dato base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Cálculo / fuente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Acciones en circulación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6.072.421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6.114.546 emitidas − 42.125 en autocartera (Q1 p.2)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Capitalización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5.070 M JPY</w:t>
            </w:r>
            <w:r>
              <w:rPr>
                <w:b w:val="0"/>
                <w:i w:val="0"/>
                <w:sz w:val="17"/>
              </w:rPr>
              <w:t xml:space="preserve"> (≈34 M USD)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835 × 6.072.421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− deuda (may-2026, reportado)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7.567 − 3.625 = 3.942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Inflado por el cierre en domingo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neta normalizada (💡)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≈1.500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Ver Sección 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 xml:space="preserve">EV reportado / </w:t>
            </w:r>
            <w:r>
              <w:rPr>
                <w:b w:val="0"/>
                <w:i w:val="0"/>
                <w:sz w:val="17"/>
              </w:rPr>
              <w:t>EV normalizado****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1.128 / </w:t>
            </w:r>
            <w:r>
              <w:rPr>
                <w:b/>
                <w:i w:val="0"/>
                <w:sz w:val="17"/>
              </w:rPr>
              <w:t>3.570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Capitalización − caja neta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BPA FY2/2026 / LTM / previsión FY2/2027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128,63 / 105,77 / 124,81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Yuho; TIKR; Tanshin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Valor contable por acción (may-2026)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1.977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12.008 / 6.072.421</w:t>
            </w:r>
          </w:p>
        </w:tc>
      </w:tr>
    </w:tbl>
    <w:p/>
    <w:p>
      <w:pPr>
        <w:pStyle w:val="Heading2"/>
      </w:pPr>
      <w:r>
        <w:t>Tabla de múltiplos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Múltiplo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Base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Historia propia (cierres FY2/2022-26)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Sector (Arata / Kato Sangyo)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Valoración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(FY2/2026)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6,5x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128,63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5,0x – 12,2x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12,7x / 14,2x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(LTM)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7,9x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105,77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forward (previsión de la empresa)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6,7x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124,81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 (poco fiable)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P/E forward (💡 base propia)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≈11,1x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BPA ≈75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0,048x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Ventas 105.811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≈0,04-0,07x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0,10x / ≈0,1x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P/B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0,42x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VC 1.977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0,39x – 0,68x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0,72x / 1,17x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EV/Ventas (normalizado)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0,034x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EV 3.570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EV/EBITDA FY2/2026 (normalizado)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3,0x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EBITDA 1.204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≈5-7x ⚠️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EV/EBITDA LTM (normalizado)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3,5x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EBITDA LTM ≈1.006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EV/FCF normalizado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8,5x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FCF norm. 420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Precio/NCAV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0,52x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NCAV 1.616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≈0,5-0,8x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Dividend yield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3,59%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DPA 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2,7-3,8%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4,21% / 2,39%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🟢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Precio a cierre de cada ejercicio = PER publicado × BPA: FY2/2022 583; FY2/2023 813; FY2/2024 1.210; FY2/2025 832; FY2/2026 913 JPY → P/B 0,39 / 0,51 / 0,68 / 0,44 / 0,46.</w:t>
      </w:r>
    </w:p>
    <w:p>
      <w:r>
        <w:rPr>
          <w:b w:val="0"/>
          <w:i/>
          <w:color w:val="555555"/>
          <w:sz w:val="17"/>
        </w:rPr>
        <w:t>[Fuente: PER publicados: Yuho FY2/2026 (F_2025.pdf, 26-may-2026) p.2]</w:t>
      </w:r>
    </w:p>
    <w:p>
      <w:pPr>
        <w:pStyle w:val="Heading1"/>
      </w:pPr>
      <w:r>
        <w:t>10.2 Empresas Comparables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Limitaciones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Arata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2733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Mayorista de droguería, hogar y </w:t>
            </w:r>
            <w:r>
              <w:rPr>
                <w:b/>
                <w:i w:val="0"/>
                <w:sz w:val="16"/>
              </w:rPr>
              <w:t>mascotas</w:t>
            </w:r>
            <w:r>
              <w:rPr>
                <w:b w:val="0"/>
                <w:i w:val="0"/>
                <w:sz w:val="16"/>
              </w:rPr>
              <w:t>; mismos clientes (home centers, droguerías)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10x más grande; generalista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Kato Sangyo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9869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Mayorista de alimentación de Kansai; margen y modelo comparables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Alimentación, no mascotas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PALTAC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8283 (OPA de Medipal, jul-2026)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Mayorista líder de droguería; </w:t>
            </w:r>
            <w:r>
              <w:rPr>
                <w:b/>
                <w:i w:val="0"/>
                <w:sz w:val="16"/>
              </w:rPr>
              <w:t>referencia de una operación de compra</w:t>
            </w:r>
            <w:r>
              <w:rPr>
                <w:b w:val="0"/>
                <w:i w:val="0"/>
                <w:sz w:val="16"/>
              </w:rPr>
              <w:t xml:space="preserve"> (6.650 JPY, prima del 43%, P/B ≈1,33x)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En proceso de exclusión de bolsa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Itochu Shokuhin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TSE Prime 2692 (compra del resto por Itochu, 2026)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Mayorista de alimentación con accionista de control: </w:t>
            </w:r>
            <w:r>
              <w:rPr>
                <w:b/>
                <w:i w:val="0"/>
                <w:sz w:val="16"/>
              </w:rPr>
              <w:t>precedente directo</w:t>
            </w:r>
            <w:r>
              <w:rPr>
                <w:b w:val="0"/>
                <w:i w:val="0"/>
                <w:sz w:val="16"/>
              </w:rPr>
              <w:t xml:space="preserve"> del escenario Kokubu/Echo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Excluida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Japell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cotizada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Líder de distribución de productos para mascotas (187.000 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Sin datos de mercado</w:t>
            </w:r>
          </w:p>
        </w:tc>
      </w:tr>
    </w:tbl>
    <w:p/>
    <w:p>
      <w:pPr>
        <w:pStyle w:val="Heading1"/>
      </w:pPr>
      <w:r>
        <w:t>10.3 TABLA SCREENER COMPARATIVA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Echo 7427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Arata 2733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Kato Sangyo 9869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PALTAC 8283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Itochu Shokuhin 2692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Media peers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Posición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DATOS BÁSICOS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Ticker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7427.T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2733.T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9869.T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8283.T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2692.T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Precio (fecha)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835 (oct-26)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2.661 (8-sep-26)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6.690 (4-sep-26)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6.650 (OPA, jul-26)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Excluida (2026)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Market Cap (M JPY)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5.070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≈95.900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≈411.100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Microcap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Enterprise Value (M JPY)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3.570 (norm.)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VALORACIÓN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P/E (TTM)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7,9x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11,6x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11,6x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 −32%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P/E Forward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6,7x (prev.) / 11,1x 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12,7x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14,2x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13,5x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🟢/🟡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P/S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0,048x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≈0,10x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≈0,10x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P/B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0,42x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0,72x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1,17x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1,33x (OPA)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1,07x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 −61%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EV/Revenue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0,034x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EV/EBITDA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3,0x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≈5-7x ⚠️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EV/FCF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8,5x (norm.)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DEUDA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Debt/Equity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0,14x (feb-26) / 0,30x (may-26)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Net Debt/EBITDA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Caja neta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Interest Coverage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24x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Solvencia (FP/AT)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31,3%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35,7%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36,2%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56,7%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42,6%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42,8%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−11,5 pp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LIQUIDEZ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Current Ratio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1,39x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Quick Ratio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1,26x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RENTABILIDAD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ROE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6,6%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8,4%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−1,2 pp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ROA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ROIC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≈9,6%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MÁRGENES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Gross Margin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11,1%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EBITDA Margin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Operating Margin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1,05%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1,31%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1,50%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≈1,2-1,5%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≈1,4%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−0,35 pp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Net Margin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0,74%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1,01%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1,09%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1,05%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 −0,3 pp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CRECIMIENTO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Revenue Growth YoY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−0,5%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+1,9%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+1,9%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Operating profit growth YoY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−18,4%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−11,9%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−11,9%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EPS Growth YoY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−22,7%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−2,2% (BN)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−2,2%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Revenue CAGR 3Y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+2,9%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CASH FLOW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Operating CF (M JPY)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3.980 (inflado)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Free Cash Flow (M JPY)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3.753 / norm. 420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FCF Margin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0,4% (norm.)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FCF Yield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8,3% (norm.)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CapEx/Revenue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0,21%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134"/>
            <w:gridSpan w:val="8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SHAREHOLDER RETURNS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Dividend Yield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3,59%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4,21%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2,39%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0% (OPA)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1,87%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≈2,8%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Payout Ratio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53,5%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Buyback Yield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4"/>
              </w:rPr>
              <w:t>Total Yield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3,59%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≥4,2%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n.d.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🟡</w:t>
            </w:r>
          </w:p>
        </w:tc>
      </w:tr>
    </w:tbl>
    <w:p/>
    <w:p>
      <w:r>
        <w:rPr>
          <w:b w:val="0"/>
          <w:i/>
          <w:sz w:val="17"/>
        </w:rPr>
        <w:t>*🔍 Echo: DATOS VERIFICADOS (Yuho FY2/2026, Tanshin 1T FY2/2027, TIKR). Peers: datos secundarios (kabuyoho, edinetdb, Monex, kabukiso, búsqueda web del 3-oct-2026).*</w:t>
      </w:r>
    </w:p>
    <w:p>
      <w:r>
        <w:rPr>
          <w:b w:val="0"/>
          <w:i w:val="0"/>
          <w:color w:val="1F4E79"/>
          <w:sz w:val="19"/>
        </w:rPr>
        <w:t>💡 ESTIMACIÓN / CÁLCULO PROPIO: Revenue CAGR 3 años = (105.811/96.955)^(1/3) − 1 = 2,9%. Media de solvencia = (35,7 + 36,2 + 56,7 + 42,6)/4 = 42,8%. Media de ROE = (8,4 + 8,1 + 7,5 + 7,3)/4 = 7,8%.</w:t>
      </w:r>
    </w:p>
    <w:p>
      <w:pPr>
        <w:pStyle w:val="Heading2"/>
      </w:pPr>
      <w:r>
        <w:t>Interpretación del posicionamiento</w:t>
      </w:r>
    </w:p>
    <w:p>
      <w:r>
        <w:rPr>
          <w:b w:val="0"/>
          <w:i w:val="0"/>
        </w:rPr>
        <w:t xml:space="preserve">Echo cotiza con </w:t>
      </w:r>
      <w:r>
        <w:rPr>
          <w:b/>
          <w:i w:val="0"/>
        </w:rPr>
        <w:t>el mayor descuento del grupo en todas las métricas de valoración</w:t>
      </w:r>
      <w:r>
        <w:rPr>
          <w:b w:val="0"/>
          <w:i w:val="0"/>
        </w:rPr>
        <w:t xml:space="preserve"> (P/E −32%, P/B −61%, EV/EBITDA ≈3x). Una parte está justificada: es la más pequeña, la de menor margen y ROE, crece menos y su beneficio va a la baja. Pero el descuento parece </w:t>
      </w:r>
      <w:r>
        <w:rPr>
          <w:b/>
          <w:i w:val="0"/>
        </w:rPr>
        <w:t>excesivo</w:t>
      </w:r>
      <w:r>
        <w:rPr>
          <w:b w:val="0"/>
          <w:i w:val="0"/>
        </w:rPr>
        <w:t xml:space="preserve"> para una empresa sin deuda y con dividendo del 3,6%. 🟢 Los precedentes recientes (PALTAC a P/B de 1,33x; Itochu Shokuhin y Mitsubishi Shokuhin comprados por sus accionistas de referencia) muestran el </w:t>
      </w:r>
      <w:r>
        <w:rPr>
          <w:b/>
          <w:i w:val="0"/>
        </w:rPr>
        <w:t>valor estratégico</w:t>
      </w:r>
      <w:r>
        <w:rPr>
          <w:b w:val="0"/>
          <w:i w:val="0"/>
        </w:rPr>
        <w:t xml:space="preserve"> de los mayoristas para sus socios.</w:t>
      </w:r>
    </w:p>
    <w:p>
      <w:pPr>
        <w:pStyle w:val="Heading1"/>
      </w:pPr>
      <w:r>
        <w:t>10.4 Valoración intrínseca (💡 cálculos propios)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Supuestos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 equity (M JPY)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JPY/acción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vs 835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1. P/E normalizado 10x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BN normalizado = (BO 1.000 + 10) × 0,66 = 667 → BPA 110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6.670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1.099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2. EV/EBIT normalizado 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 × 1.000 + caja neta normalizada 1.500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1.235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3. DCF de FCF normalizado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420 / (8% − 1%) + 1.500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1.235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4. P/B justificado (ROE/Ke)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ROE normalizado 5,6% / Ke 8% = 0,70x × VC 1.977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8.405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1.384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5. NCAV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AC − pasivo total (may-2026)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9.811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1.616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Referencia: operación corporativa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1,0x (PALTAC 1,33x)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12.008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1.977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+137%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Rango / mediana (métodos 1-5)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1.099-1.616 / ≈1.235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+48%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ROE normalizado = 667/12.008 = 5,6%. Ke del 8% = prima de una microcap japonesa ilíquida. La caja neta normalizada (1.500) excluye el efecto festivo. 🔴 Todos los métodos dependen de un BO normalizado de ≈1.000 M JPY: si el 1T FY2/2027 marca un nuevo nivel (BO ≈300-500), el valor intrínseco bajaría a ≈700-900 JPY.</w:t>
      </w:r>
    </w:p>
    <w:p>
      <w:pPr>
        <w:pStyle w:val="Heading1"/>
      </w:pPr>
      <w:r>
        <w:t>10.5 Precio objetivo 6-18 meses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Probabilidad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Supuestos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Múltiplo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Precio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Retorno (+30 JPY de dividendo)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🔴 Bajista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Fuerte revisión de la previsión (BO de FY2/2027 ≈400; BPA ≈43); más clientes perdidos; sin catalizadores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0,36x × VC ≈1.970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≈710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−11%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🟡 Base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BO de FY2/2027 ≈700 (BPA ≈75; previsión incumplida pero 2S estable); recuperación hacia ≈1.000 en FY2/2028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0,47x (media histórica) × VC ≈1.990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≈930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+15%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🟢 Alcista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 xml:space="preserve">Recuperación del margen u </w:t>
            </w:r>
            <w:r>
              <w:rPr>
                <w:b/>
                <w:i w:val="0"/>
                <w:sz w:val="15"/>
              </w:rPr>
              <w:t>operación corporativa</w:t>
            </w:r>
            <w:r>
              <w:rPr>
                <w:b w:val="0"/>
                <w:i w:val="0"/>
                <w:sz w:val="15"/>
              </w:rPr>
              <w:t xml:space="preserve"> (Kokubu/Itochu/consolidador) en un sector en consolidación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P/B 0,8x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≈1.580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+93%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Valor esperado ponderado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≈983 JPY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≈+21%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VE = 0,35 × 710 + 0,45 × 930 + 0,20 × 1.580 = 249 + 419 + 316 = 983 JPY; con dividendo: (983 + 30)/835 − 1 = +21%. Base FY2/2027: BO = 1T 8 + resto del año ≈700 (los 3 últimos trimestres de FY2/2026 sumaron 904) → Bº ordinario ≈700, BN ≈460, BPA ≈75.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i w:val="0"/>
              </w:rPr>
              <w:t>Precio objetivo base a 12 meses: ≈930 JPY (+11%; +15% con dividendo). Valor esperado ≈983 JPY (+21% con dividendo). Valor intrínseco central ≈1.235 JPY.</w:t>
            </w:r>
          </w:p>
          <w:p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Advertencia temporal:</w:t>
            </w:r>
            <w:r>
              <w:rPr>
                <w:b w:val="0"/>
                <w:i w:val="0"/>
              </w:rPr>
              <w:t xml:space="preserve"> los resultados del 1S (≈9-10 oct-2026) tienen alta probabilidad de traer una </w:t>
            </w:r>
            <w:r>
              <w:rPr>
                <w:b/>
                <w:i w:val="0"/>
              </w:rPr>
              <w:t>revisión a la baja</w:t>
            </w:r>
            <w:r>
              <w:rPr>
                <w:b w:val="0"/>
                <w:i w:val="0"/>
              </w:rPr>
              <w:t xml:space="preserve"> que puede llevar el precio a la zona de 700-780 JPY. </w:t>
            </w:r>
            <w:r>
              <w:rPr>
                <w:b/>
                <w:i w:val="0"/>
              </w:rPr>
              <w:t>El punto de entrada es probablemente mejor después de esa publicación.</w:t>
            </w:r>
          </w:p>
          <w:p>
            <w:r>
              <w:rPr>
                <w:b w:val="0"/>
                <w:i w:val="0"/>
              </w:rPr>
              <w:t>🟢 La asimetría a 12-18 meses es favorable: suelo de valor en el NCAV y el P/B históricamente bajo (0,36-0,39x) frente a la opción de una operación corporativa.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