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Entender el Negocio - Lo Básico - Nichiwa Sangyo Co (2055) - 3/10/2026</w:t>
      </w:r>
    </w:p>
    <w:p>
      <w:r>
        <w:rPr>
          <w:b w:val="0"/>
          <w:i/>
          <w:color w:val="1F3A5F"/>
          <w:sz w:val="18"/>
        </w:rPr>
        <w:t>Análisis de Inversión - Nichiwa Sangyo Co (2055) - 3/10/2026 · Sección 1 de 12</w:t>
      </w:r>
    </w:p>
    <w:p>
      <w:r>
        <w:rPr>
          <w:b w:val="0"/>
          <w:i w:val="0"/>
          <w:sz w:val="18"/>
        </w:rPr>
        <w:t xml:space="preserve">Moneda: </w:t>
      </w:r>
      <w:r>
        <w:rPr>
          <w:b/>
          <w:i w:val="0"/>
          <w:sz w:val="18"/>
        </w:rPr>
        <w:t>JPY</w:t>
      </w:r>
      <w:r>
        <w:rPr>
          <w:b w:val="0"/>
          <w:i w:val="0"/>
          <w:sz w:val="18"/>
        </w:rPr>
        <w:t xml:space="preserve"> (millones de yenes salvo indicación). Ejercicio fiscal cerrado a 31 de marzo (FY3/2026 = abr-2025 a mar-2026). Precio de referencia: </w:t>
      </w:r>
      <w:r>
        <w:rPr>
          <w:b/>
          <w:i w:val="0"/>
          <w:sz w:val="18"/>
        </w:rPr>
        <w:t>346 JPY</w:t>
      </w:r>
      <w:r>
        <w:rPr>
          <w:b w:val="0"/>
          <w:i w:val="0"/>
          <w:sz w:val="18"/>
        </w:rPr>
        <w:t xml:space="preserve"> (cierre del último día hábil, 2-oct-2026; verificado en rango 345-346 JPY a 25-sep-2026). Normas contables: J-GAAP. Leyenda: 🔍 DATO VERIFICADO · 💡 ESTIMACIÓN · ⚠️ ESPECULACIÓN · 🟢 Positivo / 🟡 Neutral / 🔴 Negativo.</w:t>
      </w:r>
    </w:p>
    <w:p>
      <w:pPr>
        <w:pStyle w:val="Heading1"/>
      </w:pPr>
      <w:r>
        <w:t>Resumen ejecutivo de la sección</w:t>
      </w:r>
    </w:p>
    <w:tbl>
      <w:tblPr>
        <w:tblStyle w:val="TableGrid"/>
        <w:tblW w:type="auto" w:w="0"/>
        <w:tblLook w:firstColumn="1" w:firstRow="1" w:lastColumn="0" w:lastRow="0" w:noHBand="0" w:noVBand="1" w:val="04A0"/>
      </w:tblPr>
      <w:tblGrid>
        <w:gridCol w:w="9972"/>
      </w:tblGrid>
      <w:tr>
        <w:tc>
          <w:tcPr>
            <w:tcW w:type="dxa" w:w="9972"/>
            <w:shd w:val="clear" w:color="auto" w:fill="EAF1FB"/>
          </w:tcPr>
          <w:p>
            <w:r/>
            <w:r>
              <w:rPr>
                <w:b/>
                <w:i w:val="0"/>
              </w:rPr>
              <w:t>Qué es:</w:t>
            </w:r>
            <w:r>
              <w:rPr>
                <w:b w:val="0"/>
                <w:i w:val="0"/>
              </w:rPr>
              <w:t xml:space="preserve"> Nichiwa Sangyo (日和産業, «Nichiwa») es un fabricante independiente y de tamaño pequeño de </w:t>
            </w:r>
            <w:r>
              <w:rPr>
                <w:b/>
                <w:i w:val="0"/>
              </w:rPr>
              <w:t>piensos compuestos (配合飼料)</w:t>
            </w:r>
            <w:r>
              <w:rPr>
                <w:b w:val="0"/>
                <w:i w:val="0"/>
              </w:rPr>
              <w:t xml:space="preserve"> para avicultura, porcino, vacuno y acuicultura, con sede en Kobe, fundado en 1924 y cotizado desde 1961. Opera </w:t>
            </w:r>
            <w:r>
              <w:rPr>
                <w:b/>
                <w:i w:val="0"/>
              </w:rPr>
              <w:t>5 fábricas</w:t>
            </w:r>
            <w:r>
              <w:rPr>
                <w:b w:val="0"/>
                <w:i w:val="0"/>
              </w:rPr>
              <w:t xml:space="preserve"> en puertos de Japón y una filial ganadera (Towa Chikusan).</w:t>
            </w:r>
          </w:p>
          <w:p>
            <w:r>
              <w:rPr>
                <w:b/>
                <w:i w:val="0"/>
              </w:rPr>
              <w:t>Cómo gana dinero:</w:t>
            </w:r>
            <w:r>
              <w:rPr>
                <w:b w:val="0"/>
                <w:i w:val="0"/>
              </w:rPr>
              <w:t xml:space="preserve"> compra maíz, harina de soja y otros granos (casi todo importado, pagado en USD), los muele y mezcla según fórmulas por especie, y los vende a ganaderos y distribuidores con un precio que se </w:t>
            </w:r>
            <w:r>
              <w:rPr>
                <w:b/>
                <w:i w:val="0"/>
              </w:rPr>
              <w:t>revisa cada trimestre</w:t>
            </w:r>
            <w:r>
              <w:rPr>
                <w:b w:val="0"/>
                <w:i w:val="0"/>
              </w:rPr>
              <w:t xml:space="preserve"> siguiendo el coste de la materia prima. Gana un </w:t>
            </w:r>
            <w:r>
              <w:rPr>
                <w:b/>
                <w:i w:val="0"/>
              </w:rPr>
              <w:t>margen bruto muy fino (4-9% de ventas)</w:t>
            </w:r>
            <w:r>
              <w:rPr>
                <w:b w:val="0"/>
                <w:i w:val="0"/>
              </w:rPr>
              <w:t xml:space="preserve"> que se amplía cuando el grano baja y se comprime cuando sube.</w:t>
            </w:r>
          </w:p>
          <w:p>
            <w:r>
              <w:rPr>
                <w:b/>
                <w:i w:val="0"/>
              </w:rPr>
              <w:t>Dónde opera:</w:t>
            </w:r>
            <w:r>
              <w:rPr>
                <w:b w:val="0"/>
                <w:i w:val="0"/>
              </w:rPr>
              <w:t xml:space="preserve"> 100% Japón, mercado maduro de unos 23 millones de toneladas/año dominado por el sistema cooperativo JA Zen-Noh y por grandes grupos ligados a las tradings. Nichiwa es un actor de nicho regional (Kansai, Chugoku-Shikoku, Kyushu y Tohoku).</w:t>
            </w:r>
          </w:p>
          <w:p>
            <w:r>
              <w:rPr>
                <w:b/>
                <w:i w:val="0"/>
              </w:rPr>
              <w:t>Lectura inversora:</w:t>
            </w:r>
            <w:r>
              <w:rPr>
                <w:b w:val="0"/>
                <w:i w:val="0"/>
              </w:rPr>
              <w:t xml:space="preserve"> negocio de commodity sin foso, rentabilidad sobre capital muy baja (ROE 0,7-3%), pero con un balance extraordinariamente líquido (caja neta ≈ 80% de la capitalización) que hace que la acción cotice por debajo de su valor de liquidación contable (NCAV).</w:t>
            </w:r>
          </w:p>
        </w:tc>
      </w:tr>
    </w:tbl>
    <w:p/>
    <w:p>
      <w:pPr>
        <w:pStyle w:val="Heading1"/>
      </w:pPr>
      <w:r>
        <w:t>1.1 Modelo de Negocio</w:t>
      </w:r>
    </w:p>
    <w:p>
      <w:pPr>
        <w:pStyle w:val="Heading2"/>
      </w:pPr>
      <w:r>
        <w:t>Actividad principal y estructura del grupo</w:t>
      </w:r>
    </w:p>
    <w:p>
      <w:r>
        <w:rPr>
          <w:b w:val="0"/>
          <w:i w:val="0"/>
        </w:rPr>
        <w:t xml:space="preserve">🔍 El grupo está formado por la matriz Nichiwa Sangyo, </w:t>
      </w:r>
      <w:r>
        <w:rPr>
          <w:b/>
          <w:i w:val="0"/>
        </w:rPr>
        <w:t>una filial consolidada</w:t>
      </w:r>
      <w:r>
        <w:rPr>
          <w:b w:val="0"/>
          <w:i w:val="0"/>
        </w:rPr>
        <w:t xml:space="preserve"> (Towa Chikusan K.K., 100%, Kagoshima, capital 50 M JPY) y </w:t>
      </w:r>
      <w:r>
        <w:rPr>
          <w:b/>
          <w:i w:val="0"/>
        </w:rPr>
        <w:t>una asociada</w:t>
      </w:r>
      <w:r>
        <w:rPr>
          <w:b w:val="0"/>
          <w:i w:val="0"/>
        </w:rPr>
        <w:t xml:space="preserve"> no consolidada (Michinoku Shiryo K.K., Hachinohe). Su actividad principal es «la fabricación y venta de piensos compuestos para avicultura, porcino, vacuno y peces, utilizando cereales como materia prima principal», y de forma secundaria </w:t>
      </w:r>
      <w:r>
        <w:rPr>
          <w:b/>
          <w:i w:val="0"/>
        </w:rPr>
        <w:t>la producción y venta de productos ganaderos</w:t>
      </w:r>
      <w:r>
        <w:rPr>
          <w:b w:val="0"/>
          <w:i w:val="0"/>
        </w:rPr>
        <w:t xml:space="preserve"> a través de la filial. Existen además dos filiales no consolidadas por irrelevancia (Takano Chiiki Chikusan Kankyo Shisetsu y NBI Bokujo).</w:t>
      </w:r>
    </w:p>
    <w:p>
      <w:r>
        <w:rPr>
          <w:b w:val="0"/>
          <w:i/>
          <w:color w:val="555555"/>
          <w:sz w:val="17"/>
        </w:rPr>
        <w:t>[Fuente: Yuho FY3/2026 (F_2025.pdf, 25-jun-2026), p.5 «事業の内容» y p.38 notas de consolidación]</w:t>
      </w:r>
    </w:p>
    <w:p>
      <w:r>
        <w:rPr>
          <w:b w:val="0"/>
          <w:i w:val="0"/>
        </w:rPr>
        <w:t xml:space="preserve">La empresa reporta </w:t>
      </w:r>
      <w:r>
        <w:rPr>
          <w:b/>
          <w:i w:val="0"/>
        </w:rPr>
        <w:t>dos segmentos</w:t>
      </w:r>
      <w:r>
        <w:rPr>
          <w:b w:val="0"/>
          <w:i w:val="0"/>
        </w:rPr>
        <w:t>:</w:t>
      </w:r>
    </w:p>
    <w:p>
      <w:pPr>
        <w:pStyle w:val="ListBullet"/>
      </w:pPr>
      <w:r>
        <w:rPr>
          <w:b/>
          <w:i w:val="0"/>
        </w:rPr>
        <w:t>Segmento Piensos (飼料事業)</w:t>
      </w:r>
      <w:r>
        <w:rPr>
          <w:b w:val="0"/>
          <w:i w:val="0"/>
        </w:rPr>
        <w:t xml:space="preserve"> – ≈96% de las ventas externas. Fabricación y venta de piensos compuestos para ganadería y acuicultura. Una parte se vende, a través de distribuidores, a la propia filial Towa Chikusan; el pienso para vacuno se fabrica parcialmente por encargo en la asociada Michinoku Shiryo. Incluye también la </w:t>
      </w:r>
      <w:r>
        <w:rPr>
          <w:b/>
          <w:i w:val="0"/>
        </w:rPr>
        <w:t>compraventa de productos ganaderos producidos por sus clientes</w:t>
      </w:r>
      <w:r>
        <w:rPr>
          <w:b w:val="0"/>
          <w:i w:val="0"/>
        </w:rPr>
        <w:t xml:space="preserve"> (huevos, carne), actividad que funciona como mecanismo comercial y de cobro frente a ganaderos financiados por la empresa.</w:t>
      </w:r>
    </w:p>
    <w:p>
      <w:pPr>
        <w:pStyle w:val="ListBullet"/>
      </w:pPr>
      <w:r>
        <w:rPr>
          <w:b/>
          <w:i w:val="0"/>
        </w:rPr>
        <w:t>Segmento Ganadería (畜産事業)</w:t>
      </w:r>
      <w:r>
        <w:rPr>
          <w:b w:val="0"/>
          <w:i w:val="0"/>
        </w:rPr>
        <w:t xml:space="preserve"> – ≈4% de las ventas. Towa Chikusan cría cerdos (lechones y cebo) y pollos en granjas de Nagasaki (Shimabara/Unzen), Kagoshima (Kanoya-Kihoku) y Hyogo (Miki). Es un segmento estructuralmente deficitario o de equilibrio, que ha generado deterioros de activos en FY3/2024, FY3/2025 y FY3/2026.</w:t>
      </w:r>
    </w:p>
    <w:p>
      <w:r>
        <w:rPr>
          <w:b w:val="0"/>
          <w:i/>
          <w:color w:val="555555"/>
          <w:sz w:val="17"/>
        </w:rPr>
        <w:t>[Fuente: Yuho FY3/2026 (F_2025.pdf, 25-jun-2026), p.5 y p.57 (セグメント情報); Yuho FY3/2021 (F_2020.pdf, presentado jun-2021), p.53]</w:t>
      </w:r>
    </w:p>
    <w:p>
      <w:pPr>
        <w:pStyle w:val="Heading2"/>
      </w:pPr>
      <w:r>
        <w:t>Productos y servicios</w:t>
      </w:r>
    </w:p>
    <w:p>
      <w:r>
        <w:rPr>
          <w:b w:val="0"/>
          <w:i w:val="0"/>
        </w:rPr>
        <w:t xml:space="preserve">Nichiwa vende </w:t>
      </w:r>
      <w:r>
        <w:rPr>
          <w:b/>
          <w:i w:val="0"/>
        </w:rPr>
        <w:t>piensos compuestos formulados por especie y fase productiva</w:t>
      </w:r>
      <w:r>
        <w:rPr>
          <w:b w:val="0"/>
          <w:i w:val="0"/>
        </w:rPr>
        <w:t xml:space="preserve">: ponedoras (huevo), pollos de engorde (broiler), porcino (lechones, cebo, reproductoras), vacuno lechero y de carne, y peces de acuicultura. A esto añade </w:t>
      </w:r>
      <w:r>
        <w:rPr>
          <w:b/>
          <w:i w:val="0"/>
        </w:rPr>
        <w:t>asistencia técnica</w:t>
      </w:r>
      <w:r>
        <w:rPr>
          <w:b w:val="0"/>
          <w:i w:val="0"/>
        </w:rPr>
        <w:t xml:space="preserve"> a los ganaderos desde sus cinco fábricas (reuniones, formación, intercambio de información), y una oferta de </w:t>
      </w:r>
      <w:r>
        <w:rPr>
          <w:b/>
          <w:i w:val="0"/>
        </w:rPr>
        <w:t>financiación comercial</w:t>
      </w:r>
      <w:r>
        <w:rPr>
          <w:b w:val="0"/>
          <w:i w:val="0"/>
        </w:rPr>
        <w:t xml:space="preserve"> (crédito largo a clientes, préstamos a largo plazo y compra de su producción) que es habitual en el sector japonés.</w:t>
      </w:r>
    </w:p>
    <w:p>
      <w:r>
        <w:rPr>
          <w:b w:val="0"/>
          <w:i w:val="0"/>
        </w:rPr>
        <w:t>🔍 Líneas de I+D declaradas (79 M JPY en FY3/2026, 0,17% de ventas): (1) piensos que reducen el metano y otras cargas ambientales del estiércol; (2) piensos que mejoran la digestión y la productividad; (3) sustitutos naturales de los aditivos antimicrobianos en porcino. Los ensayos se hacen en las granjas del grupo.</w:t>
      </w:r>
    </w:p>
    <w:p>
      <w:r>
        <w:rPr>
          <w:b w:val="0"/>
          <w:i/>
          <w:color w:val="555555"/>
          <w:sz w:val="17"/>
        </w:rPr>
        <w:t>[Fuente: Yuho FY3/2026 (F_2025.pdf, 25-jun-2026), p.11 «研究開発活動»]</w:t>
      </w:r>
    </w:p>
    <w:p>
      <w:pPr>
        <w:pStyle w:val="Heading2"/>
      </w:pPr>
      <w:r>
        <w:t>Propuesta de valor</w:t>
      </w:r>
    </w:p>
    <w:p>
      <w:r>
        <w:rPr>
          <w:b w:val="0"/>
          <w:i w:val="0"/>
        </w:rPr>
        <w:t xml:space="preserve">La propuesta de valor de Nichiwa no se basa en marca ni en tecnología propietaria, sino en tres elementos: (i) </w:t>
      </w:r>
      <w:r>
        <w:rPr>
          <w:b/>
          <w:i w:val="0"/>
        </w:rPr>
        <w:t>cercanía logística</w:t>
      </w:r>
      <w:r>
        <w:rPr>
          <w:b w:val="0"/>
          <w:i w:val="0"/>
        </w:rPr>
        <w:t xml:space="preserve">, porque las fábricas están en puertos con silos de almacenamiento (Kobe, Mihara, Kagoshima, Hachinohe, Sakaide), lo que minimiza el coste de descarga del grano importado y el transporte del pienso (un producto voluminoso y de bajo valor por tonelada); (ii) </w:t>
      </w:r>
      <w:r>
        <w:rPr>
          <w:b/>
          <w:i w:val="0"/>
        </w:rPr>
        <w:t>relación técnica y comercial de décadas</w:t>
      </w:r>
      <w:r>
        <w:rPr>
          <w:b w:val="0"/>
          <w:i w:val="0"/>
        </w:rPr>
        <w:t xml:space="preserve"> con ganaderos regionales; y (iii) </w:t>
      </w:r>
      <w:r>
        <w:rPr>
          <w:b/>
          <w:i w:val="0"/>
        </w:rPr>
        <w:t>financiación y flexibilidad crediticia</w:t>
      </w:r>
      <w:r>
        <w:rPr>
          <w:b w:val="0"/>
          <w:i w:val="0"/>
        </w:rPr>
        <w:t xml:space="preserve"> que las cooperativas o los grandes grupos no siempre ofrecen a explotaciones medianas. Su lema corporativo es «お客様第一主義» (el cliente primero) y suministrar «pienso seguro, de buena calidad y de forma estable».</w:t>
      </w:r>
    </w:p>
    <w:p>
      <w:r>
        <w:rPr>
          <w:b w:val="0"/>
          <w:i/>
          <w:color w:val="555555"/>
          <w:sz w:val="17"/>
        </w:rPr>
        <w:t>[Fuente: Yuho FY3/2026 (F_2025.pdf, 25-jun-2026), p.6 «経営方針» y p.12 «主要な設備の状況»]</w:t>
      </w:r>
    </w:p>
    <w:p>
      <w:r>
        <w:rPr>
          <w:b w:val="0"/>
          <w:i w:val="0"/>
        </w:rPr>
        <w:t xml:space="preserve">⚠️ ESPECULACIÓN razonada: esta propuesta es defendible a escala local pero </w:t>
      </w:r>
      <w:r>
        <w:rPr>
          <w:b/>
          <w:i w:val="0"/>
        </w:rPr>
        <w:t>no genera poder de precio</w:t>
      </w:r>
      <w:r>
        <w:rPr>
          <w:b w:val="0"/>
          <w:i w:val="0"/>
        </w:rPr>
        <w:t>. El precio del pienso en Japón lo fija de facto el mercado (las revisiones trimestrales de JA Zen-Noh sirven de referencia) y el producto es casi una commodity.</w:t>
      </w:r>
    </w:p>
    <w:p>
      <w:pPr>
        <w:pStyle w:val="Heading2"/>
      </w:pPr>
      <w:r>
        <w:t>Evolución histórica</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1F3A5F"/>
          </w:tcPr>
          <w:p>
            <w:r/>
            <w:r>
              <w:rPr>
                <w:b/>
                <w:color w:val="FFFFFF"/>
                <w:sz w:val="17"/>
              </w:rPr>
              <w:t>Año</w:t>
            </w:r>
          </w:p>
        </w:tc>
        <w:tc>
          <w:tcPr>
            <w:tcW w:type="dxa" w:w="7937"/>
            <w:shd w:val="clear" w:color="auto" w:fill="1F3A5F"/>
          </w:tcPr>
          <w:p>
            <w:r/>
            <w:r>
              <w:rPr>
                <w:b/>
                <w:color w:val="FFFFFF"/>
                <w:sz w:val="17"/>
              </w:rPr>
              <w:t>Hito</w:t>
            </w:r>
          </w:p>
        </w:tc>
      </w:tr>
      <w:tr>
        <w:tc>
          <w:tcPr>
            <w:tcW w:type="dxa" w:w="1701"/>
          </w:tcPr>
          <w:p>
            <w:r/>
            <w:r>
              <w:rPr>
                <w:b/>
                <w:i w:val="0"/>
                <w:sz w:val="17"/>
              </w:rPr>
              <w:t>1924 (ago)</w:t>
            </w:r>
          </w:p>
        </w:tc>
        <w:tc>
          <w:tcPr>
            <w:tcW w:type="dxa" w:w="7937"/>
          </w:tcPr>
          <w:p>
            <w:pPr>
              <w:jc w:val="center"/>
            </w:pPr>
            <w:r/>
            <w:r>
              <w:rPr>
                <w:b w:val="0"/>
                <w:i w:val="0"/>
                <w:sz w:val="17"/>
              </w:rPr>
              <w:t>Fundación en Kobe como Nihon Kachiku Shiryo K.K. (日本家畜飼料)</w:t>
            </w:r>
          </w:p>
        </w:tc>
      </w:tr>
      <w:tr>
        <w:tc>
          <w:tcPr>
            <w:tcW w:type="dxa" w:w="1701"/>
          </w:tcPr>
          <w:p>
            <w:r/>
            <w:r>
              <w:rPr>
                <w:b/>
                <w:i w:val="0"/>
                <w:sz w:val="17"/>
              </w:rPr>
              <w:t>1927</w:t>
            </w:r>
          </w:p>
        </w:tc>
        <w:tc>
          <w:tcPr>
            <w:tcW w:type="dxa" w:w="7937"/>
          </w:tcPr>
          <w:p>
            <w:pPr>
              <w:jc w:val="center"/>
            </w:pPr>
            <w:r/>
            <w:r>
              <w:rPr>
                <w:b w:val="0"/>
                <w:i w:val="0"/>
                <w:sz w:val="17"/>
              </w:rPr>
              <w:t>Designada fábrica de pienso compuesto por el Ministerio de Agricultura; oficinas en Dalian y Shimonoseki (cerradas en 1939)</w:t>
            </w:r>
          </w:p>
        </w:tc>
      </w:tr>
      <w:tr>
        <w:tc>
          <w:tcPr>
            <w:tcW w:type="dxa" w:w="1701"/>
          </w:tcPr>
          <w:p>
            <w:r/>
            <w:r>
              <w:rPr>
                <w:b/>
                <w:i w:val="0"/>
                <w:sz w:val="17"/>
              </w:rPr>
              <w:t>1948</w:t>
            </w:r>
          </w:p>
        </w:tc>
        <w:tc>
          <w:tcPr>
            <w:tcW w:type="dxa" w:w="7937"/>
          </w:tcPr>
          <w:p>
            <w:pPr>
              <w:jc w:val="center"/>
            </w:pPr>
            <w:r/>
            <w:r>
              <w:rPr>
                <w:b w:val="0"/>
                <w:i w:val="0"/>
                <w:sz w:val="17"/>
              </w:rPr>
              <w:t>Cambio de nombre a Nichiwa Sangyo K.K.</w:t>
            </w:r>
          </w:p>
        </w:tc>
      </w:tr>
      <w:tr>
        <w:tc>
          <w:tcPr>
            <w:tcW w:type="dxa" w:w="1701"/>
          </w:tcPr>
          <w:p>
            <w:r/>
            <w:r>
              <w:rPr>
                <w:b/>
                <w:i w:val="0"/>
                <w:sz w:val="17"/>
              </w:rPr>
              <w:t>1951</w:t>
            </w:r>
          </w:p>
        </w:tc>
        <w:tc>
          <w:tcPr>
            <w:tcW w:type="dxa" w:w="7937"/>
          </w:tcPr>
          <w:p>
            <w:pPr>
              <w:jc w:val="center"/>
            </w:pPr>
            <w:r/>
            <w:r>
              <w:rPr>
                <w:b w:val="0"/>
                <w:i w:val="0"/>
                <w:sz w:val="17"/>
              </w:rPr>
              <w:t>Absorbe Hyogo Seiyu (aceites)</w:t>
            </w:r>
          </w:p>
        </w:tc>
      </w:tr>
      <w:tr>
        <w:tc>
          <w:tcPr>
            <w:tcW w:type="dxa" w:w="1701"/>
          </w:tcPr>
          <w:p>
            <w:r/>
            <w:r>
              <w:rPr>
                <w:b/>
                <w:i w:val="0"/>
                <w:sz w:val="17"/>
              </w:rPr>
              <w:t>1961</w:t>
            </w:r>
          </w:p>
        </w:tc>
        <w:tc>
          <w:tcPr>
            <w:tcW w:type="dxa" w:w="7937"/>
          </w:tcPr>
          <w:p>
            <w:pPr>
              <w:jc w:val="center"/>
            </w:pPr>
            <w:r/>
            <w:r>
              <w:rPr>
                <w:b w:val="0"/>
                <w:i w:val="0"/>
                <w:sz w:val="17"/>
              </w:rPr>
              <w:t>Cotiza en la 2.ª sección de la Bolsa de Osaka</w:t>
            </w:r>
          </w:p>
        </w:tc>
      </w:tr>
      <w:tr>
        <w:tc>
          <w:tcPr>
            <w:tcW w:type="dxa" w:w="1701"/>
          </w:tcPr>
          <w:p>
            <w:r/>
            <w:r>
              <w:rPr>
                <w:b/>
                <w:i w:val="0"/>
                <w:sz w:val="17"/>
              </w:rPr>
              <w:t>1963 / 1968</w:t>
            </w:r>
          </w:p>
        </w:tc>
        <w:tc>
          <w:tcPr>
            <w:tcW w:type="dxa" w:w="7937"/>
          </w:tcPr>
          <w:p>
            <w:pPr>
              <w:jc w:val="center"/>
            </w:pPr>
            <w:r/>
            <w:r>
              <w:rPr>
                <w:b w:val="0"/>
                <w:i w:val="0"/>
                <w:sz w:val="17"/>
              </w:rPr>
              <w:t>Fábrica de Mihara (Hiroshima) / fábrica de Kobe en terreno ganado al mar; sede actual en Kobe</w:t>
            </w:r>
          </w:p>
        </w:tc>
      </w:tr>
      <w:tr>
        <w:tc>
          <w:tcPr>
            <w:tcW w:type="dxa" w:w="1701"/>
          </w:tcPr>
          <w:p>
            <w:r/>
            <w:r>
              <w:rPr>
                <w:b/>
                <w:i w:val="0"/>
                <w:sz w:val="17"/>
              </w:rPr>
              <w:t>1974-1978</w:t>
            </w:r>
          </w:p>
        </w:tc>
        <w:tc>
          <w:tcPr>
            <w:tcW w:type="dxa" w:w="7937"/>
          </w:tcPr>
          <w:p>
            <w:pPr>
              <w:jc w:val="center"/>
            </w:pPr>
            <w:r/>
            <w:r>
              <w:rPr>
                <w:b w:val="0"/>
                <w:i w:val="0"/>
                <w:sz w:val="17"/>
              </w:rPr>
              <w:t>Fábrica de Kagoshima y silos de almacenamiento en Kagoshima y Mihara</w:t>
            </w:r>
          </w:p>
        </w:tc>
      </w:tr>
      <w:tr>
        <w:tc>
          <w:tcPr>
            <w:tcW w:type="dxa" w:w="1701"/>
          </w:tcPr>
          <w:p>
            <w:r/>
            <w:r>
              <w:rPr>
                <w:b/>
                <w:i w:val="0"/>
                <w:sz w:val="17"/>
              </w:rPr>
              <w:t>1975</w:t>
            </w:r>
          </w:p>
        </w:tc>
        <w:tc>
          <w:tcPr>
            <w:tcW w:type="dxa" w:w="7937"/>
          </w:tcPr>
          <w:p>
            <w:pPr>
              <w:jc w:val="center"/>
            </w:pPr>
            <w:r/>
            <w:r>
              <w:rPr>
                <w:b w:val="0"/>
                <w:i w:val="0"/>
                <w:sz w:val="17"/>
              </w:rPr>
              <w:t>Constitución de Towa Chikusan (filial ganadera)</w:t>
            </w:r>
          </w:p>
        </w:tc>
      </w:tr>
      <w:tr>
        <w:tc>
          <w:tcPr>
            <w:tcW w:type="dxa" w:w="1701"/>
          </w:tcPr>
          <w:p>
            <w:r/>
            <w:r>
              <w:rPr>
                <w:b/>
                <w:i w:val="0"/>
                <w:sz w:val="17"/>
              </w:rPr>
              <w:t>1983</w:t>
            </w:r>
          </w:p>
        </w:tc>
        <w:tc>
          <w:tcPr>
            <w:tcW w:type="dxa" w:w="7937"/>
          </w:tcPr>
          <w:p>
            <w:pPr>
              <w:jc w:val="center"/>
            </w:pPr>
            <w:r/>
            <w:r>
              <w:rPr>
                <w:b w:val="0"/>
                <w:i w:val="0"/>
                <w:sz w:val="17"/>
              </w:rPr>
              <w:t>Fábrica de Hachinohe (Aomori)</w:t>
            </w:r>
          </w:p>
        </w:tc>
      </w:tr>
      <w:tr>
        <w:tc>
          <w:tcPr>
            <w:tcW w:type="dxa" w:w="1701"/>
          </w:tcPr>
          <w:p>
            <w:r/>
            <w:r>
              <w:rPr>
                <w:b/>
                <w:i w:val="0"/>
                <w:sz w:val="17"/>
              </w:rPr>
              <w:t>1986-1999</w:t>
            </w:r>
          </w:p>
        </w:tc>
        <w:tc>
          <w:tcPr>
            <w:tcW w:type="dxa" w:w="7937"/>
          </w:tcPr>
          <w:p>
            <w:pPr>
              <w:jc w:val="center"/>
            </w:pPr>
            <w:r/>
            <w:r>
              <w:rPr>
                <w:b w:val="0"/>
                <w:i w:val="0"/>
                <w:sz w:val="17"/>
              </w:rPr>
              <w:t>Granjas Kihoku (1986), Unzen (1987) y Miki (1999)</w:t>
            </w:r>
          </w:p>
        </w:tc>
      </w:tr>
      <w:tr>
        <w:tc>
          <w:tcPr>
            <w:tcW w:type="dxa" w:w="1701"/>
          </w:tcPr>
          <w:p>
            <w:r/>
            <w:r>
              <w:rPr>
                <w:b/>
                <w:i w:val="0"/>
                <w:sz w:val="17"/>
              </w:rPr>
              <w:t>1995</w:t>
            </w:r>
          </w:p>
        </w:tc>
        <w:tc>
          <w:tcPr>
            <w:tcW w:type="dxa" w:w="7937"/>
          </w:tcPr>
          <w:p>
            <w:pPr>
              <w:jc w:val="center"/>
            </w:pPr>
            <w:r/>
            <w:r>
              <w:rPr>
                <w:b w:val="0"/>
                <w:i w:val="0"/>
                <w:sz w:val="17"/>
              </w:rPr>
              <w:t>Fábrica de Sakaide (Kagawa)</w:t>
            </w:r>
          </w:p>
        </w:tc>
      </w:tr>
      <w:tr>
        <w:tc>
          <w:tcPr>
            <w:tcW w:type="dxa" w:w="1701"/>
          </w:tcPr>
          <w:p>
            <w:r/>
            <w:r>
              <w:rPr>
                <w:b/>
                <w:i w:val="0"/>
                <w:sz w:val="17"/>
              </w:rPr>
              <w:t>2003</w:t>
            </w:r>
          </w:p>
        </w:tc>
        <w:tc>
          <w:tcPr>
            <w:tcW w:type="dxa" w:w="7937"/>
          </w:tcPr>
          <w:p>
            <w:pPr>
              <w:jc w:val="center"/>
            </w:pPr>
            <w:r/>
            <w:r>
              <w:rPr>
                <w:b w:val="0"/>
                <w:i w:val="0"/>
                <w:sz w:val="17"/>
              </w:rPr>
              <w:t>Michinoku Shiryo (Hachinohe), planta específica de pienso para vacuno, como asociada</w:t>
            </w:r>
          </w:p>
        </w:tc>
      </w:tr>
      <w:tr>
        <w:tc>
          <w:tcPr>
            <w:tcW w:type="dxa" w:w="1701"/>
          </w:tcPr>
          <w:p>
            <w:r/>
            <w:r>
              <w:rPr>
                <w:b/>
                <w:i w:val="0"/>
                <w:sz w:val="17"/>
              </w:rPr>
              <w:t>2013</w:t>
            </w:r>
          </w:p>
        </w:tc>
        <w:tc>
          <w:tcPr>
            <w:tcW w:type="dxa" w:w="7937"/>
          </w:tcPr>
          <w:p>
            <w:pPr>
              <w:jc w:val="center"/>
            </w:pPr>
            <w:r/>
            <w:r>
              <w:rPr>
                <w:b w:val="0"/>
                <w:i w:val="0"/>
                <w:sz w:val="17"/>
              </w:rPr>
              <w:t>Pasa a la 2.ª sección de la Bolsa de Tokio por la fusión TSE-OSE</w:t>
            </w:r>
          </w:p>
        </w:tc>
      </w:tr>
      <w:tr>
        <w:tc>
          <w:tcPr>
            <w:tcW w:type="dxa" w:w="1701"/>
          </w:tcPr>
          <w:p>
            <w:r/>
            <w:r>
              <w:rPr>
                <w:b/>
                <w:i w:val="0"/>
                <w:sz w:val="17"/>
              </w:rPr>
              <w:t>2018</w:t>
            </w:r>
          </w:p>
        </w:tc>
        <w:tc>
          <w:tcPr>
            <w:tcW w:type="dxa" w:w="7937"/>
          </w:tcPr>
          <w:p>
            <w:pPr>
              <w:jc w:val="center"/>
            </w:pPr>
            <w:r/>
            <w:r>
              <w:rPr>
                <w:b w:val="0"/>
                <w:i w:val="0"/>
                <w:sz w:val="17"/>
              </w:rPr>
              <w:t>Transfiere las granjas Kihoku y Unzen a Towa Chikusan</w:t>
            </w:r>
          </w:p>
        </w:tc>
      </w:tr>
      <w:tr>
        <w:tc>
          <w:tcPr>
            <w:tcW w:type="dxa" w:w="1701"/>
          </w:tcPr>
          <w:p>
            <w:r/>
            <w:r>
              <w:rPr>
                <w:b/>
                <w:i w:val="0"/>
                <w:sz w:val="17"/>
              </w:rPr>
              <w:t>2022 (feb)</w:t>
            </w:r>
          </w:p>
        </w:tc>
        <w:tc>
          <w:tcPr>
            <w:tcW w:type="dxa" w:w="7937"/>
          </w:tcPr>
          <w:p>
            <w:pPr>
              <w:jc w:val="center"/>
            </w:pPr>
            <w:r/>
            <w:r>
              <w:rPr>
                <w:b w:val="0"/>
                <w:i w:val="0"/>
                <w:sz w:val="17"/>
              </w:rPr>
              <w:t>Recompra de 1,2 M de acciones (5,8% del capital) por 426 M JPY (355 JPY/acción)</w:t>
            </w:r>
          </w:p>
        </w:tc>
      </w:tr>
      <w:tr>
        <w:tc>
          <w:tcPr>
            <w:tcW w:type="dxa" w:w="1701"/>
          </w:tcPr>
          <w:p>
            <w:r/>
            <w:r>
              <w:rPr>
                <w:b/>
                <w:i w:val="0"/>
                <w:sz w:val="17"/>
              </w:rPr>
              <w:t>2022 (abr)</w:t>
            </w:r>
          </w:p>
        </w:tc>
        <w:tc>
          <w:tcPr>
            <w:tcW w:type="dxa" w:w="7937"/>
          </w:tcPr>
          <w:p>
            <w:pPr>
              <w:jc w:val="center"/>
            </w:pPr>
            <w:r/>
            <w:r>
              <w:rPr>
                <w:b w:val="0"/>
                <w:i w:val="0"/>
                <w:sz w:val="17"/>
              </w:rPr>
              <w:t>Migración al segmento Standard de la TSE</w:t>
            </w:r>
          </w:p>
        </w:tc>
      </w:tr>
      <w:tr>
        <w:tc>
          <w:tcPr>
            <w:tcW w:type="dxa" w:w="1701"/>
          </w:tcPr>
          <w:p>
            <w:r/>
            <w:r>
              <w:rPr>
                <w:b/>
                <w:i w:val="0"/>
                <w:sz w:val="17"/>
              </w:rPr>
              <w:t>2024 (jun)</w:t>
            </w:r>
          </w:p>
        </w:tc>
        <w:tc>
          <w:tcPr>
            <w:tcW w:type="dxa" w:w="7937"/>
          </w:tcPr>
          <w:p>
            <w:pPr>
              <w:jc w:val="center"/>
            </w:pPr>
            <w:r/>
            <w:r>
              <w:rPr>
                <w:b w:val="0"/>
                <w:i w:val="0"/>
                <w:sz w:val="17"/>
              </w:rPr>
              <w:t>Relevo generacional: Taichiro Nakahashi (hijo del anterior presidente) pasa a presidente</w:t>
            </w:r>
          </w:p>
        </w:tc>
      </w:tr>
      <w:tr>
        <w:tc>
          <w:tcPr>
            <w:tcW w:type="dxa" w:w="1701"/>
          </w:tcPr>
          <w:p>
            <w:r/>
            <w:r>
              <w:rPr>
                <w:b/>
                <w:i w:val="0"/>
                <w:sz w:val="17"/>
              </w:rPr>
              <w:t>2025 (jun)</w:t>
            </w:r>
          </w:p>
        </w:tc>
        <w:tc>
          <w:tcPr>
            <w:tcW w:type="dxa" w:w="7937"/>
          </w:tcPr>
          <w:p>
            <w:pPr>
              <w:jc w:val="center"/>
            </w:pPr>
            <w:r/>
            <w:r>
              <w:rPr>
                <w:b w:val="0"/>
                <w:i w:val="0"/>
                <w:sz w:val="17"/>
              </w:rPr>
              <w:t>Paso a «sociedad con comité de auditoría y supervisión» (監査等委員会設置会社)</w:t>
            </w:r>
          </w:p>
        </w:tc>
      </w:tr>
    </w:tbl>
    <w:p/>
    <w:p>
      <w:r>
        <w:rPr>
          <w:b w:val="0"/>
          <w:i/>
          <w:color w:val="555555"/>
          <w:sz w:val="17"/>
        </w:rPr>
        <w:t>[Fuente: Yuho FY3/2026 (F_2025.pdf, 25-jun-2026), p.4 «沿革» y p.22; Yuho FY3/2022 (F_2021.pdf, presentado jun-2022), p.17 (自己株式の取得)]</w:t>
      </w:r>
    </w:p>
    <w:p>
      <w:pPr>
        <w:pStyle w:val="Heading1"/>
      </w:pPr>
      <w:r>
        <w:t>1.2 Productos y Evolución de Ventas</w:t>
      </w:r>
    </w:p>
    <w:p>
      <w:r>
        <w:rPr>
          <w:b w:val="0"/>
          <w:i w:val="0"/>
        </w:rPr>
        <w:t xml:space="preserve">La empresa </w:t>
      </w:r>
      <w:r>
        <w:rPr>
          <w:b/>
          <w:i w:val="0"/>
        </w:rPr>
        <w:t>no publica el desglose de ventas por especie animal ni el volumen en toneladas</w:t>
      </w:r>
      <w:r>
        <w:rPr>
          <w:b w:val="0"/>
          <w:i w:val="0"/>
        </w:rPr>
        <w:t>. El único desglose de producto es el de segmentos (pienso vs. ganadería). La tabla muestra la serie larga de ventas consolidadas y la serie de segmentos.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7"/>
              </w:rPr>
              <w:t>Ejercicio</w:t>
            </w:r>
          </w:p>
        </w:tc>
        <w:tc>
          <w:tcPr>
            <w:tcW w:type="dxa" w:w="1994"/>
            <w:shd w:val="clear" w:color="auto" w:fill="1F3A5F"/>
          </w:tcPr>
          <w:p>
            <w:r/>
            <w:r>
              <w:rPr>
                <w:b/>
                <w:color w:val="FFFFFF"/>
                <w:sz w:val="17"/>
              </w:rPr>
              <w:t>Ventas (M JPY)</w:t>
            </w:r>
          </w:p>
        </w:tc>
        <w:tc>
          <w:tcPr>
            <w:tcW w:type="dxa" w:w="1994"/>
            <w:shd w:val="clear" w:color="auto" w:fill="1F3A5F"/>
          </w:tcPr>
          <w:p>
            <w:r/>
            <w:r>
              <w:rPr>
                <w:b/>
                <w:color w:val="FFFFFF"/>
                <w:sz w:val="17"/>
              </w:rPr>
              <w:t>Var. a/a</w:t>
            </w:r>
          </w:p>
        </w:tc>
        <w:tc>
          <w:tcPr>
            <w:tcW w:type="dxa" w:w="1994"/>
            <w:shd w:val="clear" w:color="auto" w:fill="1F3A5F"/>
          </w:tcPr>
          <w:p>
            <w:r/>
            <w:r>
              <w:rPr>
                <w:b/>
                <w:color w:val="FFFFFF"/>
                <w:sz w:val="17"/>
              </w:rPr>
              <w:t>Beneficio ordinario</w:t>
            </w:r>
          </w:p>
        </w:tc>
        <w:tc>
          <w:tcPr>
            <w:tcW w:type="dxa" w:w="1994"/>
            <w:shd w:val="clear" w:color="auto" w:fill="1F3A5F"/>
          </w:tcPr>
          <w:p>
            <w:r/>
            <w:r>
              <w:rPr>
                <w:b/>
                <w:color w:val="FFFFFF"/>
                <w:sz w:val="17"/>
              </w:rPr>
              <w:t>Beneficio neto</w:t>
            </w:r>
          </w:p>
        </w:tc>
      </w:tr>
      <w:tr>
        <w:tc>
          <w:tcPr>
            <w:tcW w:type="dxa" w:w="1994"/>
          </w:tcPr>
          <w:p>
            <w:r/>
            <w:r>
              <w:rPr>
                <w:b/>
                <w:i w:val="0"/>
                <w:sz w:val="17"/>
              </w:rPr>
              <w:t>FY3/2017</w:t>
            </w:r>
          </w:p>
        </w:tc>
        <w:tc>
          <w:tcPr>
            <w:tcW w:type="dxa" w:w="1994"/>
          </w:tcPr>
          <w:p>
            <w:pPr>
              <w:jc w:val="center"/>
            </w:pPr>
            <w:r/>
            <w:r>
              <w:rPr>
                <w:b w:val="0"/>
                <w:i w:val="0"/>
                <w:sz w:val="17"/>
              </w:rPr>
              <w:t>41.055</w:t>
            </w:r>
          </w:p>
        </w:tc>
        <w:tc>
          <w:tcPr>
            <w:tcW w:type="dxa" w:w="1994"/>
          </w:tcPr>
          <w:p>
            <w:pPr>
              <w:jc w:val="center"/>
            </w:pPr>
            <w:r/>
          </w:p>
        </w:tc>
        <w:tc>
          <w:tcPr>
            <w:tcW w:type="dxa" w:w="1994"/>
          </w:tcPr>
          <w:p>
            <w:pPr>
              <w:jc w:val="center"/>
            </w:pPr>
            <w:r/>
            <w:r>
              <w:rPr>
                <w:b w:val="0"/>
                <w:i w:val="0"/>
                <w:sz w:val="17"/>
              </w:rPr>
              <w:t>806</w:t>
            </w:r>
          </w:p>
        </w:tc>
        <w:tc>
          <w:tcPr>
            <w:tcW w:type="dxa" w:w="1994"/>
          </w:tcPr>
          <w:p>
            <w:pPr>
              <w:jc w:val="center"/>
            </w:pPr>
            <w:r/>
            <w:r>
              <w:rPr>
                <w:b w:val="0"/>
                <w:i w:val="0"/>
                <w:sz w:val="17"/>
              </w:rPr>
              <w:t>324</w:t>
            </w:r>
          </w:p>
        </w:tc>
      </w:tr>
      <w:tr>
        <w:tc>
          <w:tcPr>
            <w:tcW w:type="dxa" w:w="1994"/>
          </w:tcPr>
          <w:p>
            <w:r/>
            <w:r>
              <w:rPr>
                <w:b/>
                <w:i w:val="0"/>
                <w:sz w:val="17"/>
              </w:rPr>
              <w:t>FY3/2018</w:t>
            </w:r>
          </w:p>
        </w:tc>
        <w:tc>
          <w:tcPr>
            <w:tcW w:type="dxa" w:w="1994"/>
          </w:tcPr>
          <w:p>
            <w:pPr>
              <w:jc w:val="center"/>
            </w:pPr>
            <w:r/>
            <w:r>
              <w:rPr>
                <w:b w:val="0"/>
                <w:i w:val="0"/>
                <w:sz w:val="17"/>
              </w:rPr>
              <w:t>40.030</w:t>
            </w:r>
          </w:p>
        </w:tc>
        <w:tc>
          <w:tcPr>
            <w:tcW w:type="dxa" w:w="1994"/>
          </w:tcPr>
          <w:p>
            <w:pPr>
              <w:jc w:val="center"/>
            </w:pPr>
            <w:r/>
            <w:r>
              <w:rPr>
                <w:b w:val="0"/>
                <w:i w:val="0"/>
                <w:sz w:val="17"/>
              </w:rPr>
              <w:t>-2,5%</w:t>
            </w:r>
          </w:p>
        </w:tc>
        <w:tc>
          <w:tcPr>
            <w:tcW w:type="dxa" w:w="1994"/>
          </w:tcPr>
          <w:p>
            <w:pPr>
              <w:jc w:val="center"/>
            </w:pPr>
            <w:r/>
            <w:r>
              <w:rPr>
                <w:b w:val="0"/>
                <w:i w:val="0"/>
                <w:sz w:val="17"/>
              </w:rPr>
              <w:t>846</w:t>
            </w:r>
          </w:p>
        </w:tc>
        <w:tc>
          <w:tcPr>
            <w:tcW w:type="dxa" w:w="1994"/>
          </w:tcPr>
          <w:p>
            <w:pPr>
              <w:jc w:val="center"/>
            </w:pPr>
            <w:r/>
            <w:r>
              <w:rPr>
                <w:b w:val="0"/>
                <w:i w:val="0"/>
                <w:sz w:val="17"/>
              </w:rPr>
              <w:t>525</w:t>
            </w:r>
          </w:p>
        </w:tc>
      </w:tr>
      <w:tr>
        <w:tc>
          <w:tcPr>
            <w:tcW w:type="dxa" w:w="1994"/>
          </w:tcPr>
          <w:p>
            <w:r/>
            <w:r>
              <w:rPr>
                <w:b/>
                <w:i w:val="0"/>
                <w:sz w:val="17"/>
              </w:rPr>
              <w:t>FY3/2019</w:t>
            </w:r>
          </w:p>
        </w:tc>
        <w:tc>
          <w:tcPr>
            <w:tcW w:type="dxa" w:w="1994"/>
          </w:tcPr>
          <w:p>
            <w:pPr>
              <w:jc w:val="center"/>
            </w:pPr>
            <w:r/>
            <w:r>
              <w:rPr>
                <w:b w:val="0"/>
                <w:i w:val="0"/>
                <w:sz w:val="17"/>
              </w:rPr>
              <w:t>41.129</w:t>
            </w:r>
          </w:p>
        </w:tc>
        <w:tc>
          <w:tcPr>
            <w:tcW w:type="dxa" w:w="1994"/>
          </w:tcPr>
          <w:p>
            <w:pPr>
              <w:jc w:val="center"/>
            </w:pPr>
            <w:r/>
            <w:r>
              <w:rPr>
                <w:b w:val="0"/>
                <w:i w:val="0"/>
                <w:sz w:val="17"/>
              </w:rPr>
              <w:t>2,7%</w:t>
            </w:r>
          </w:p>
        </w:tc>
        <w:tc>
          <w:tcPr>
            <w:tcW w:type="dxa" w:w="1994"/>
          </w:tcPr>
          <w:p>
            <w:pPr>
              <w:jc w:val="center"/>
            </w:pPr>
            <w:r/>
            <w:r>
              <w:rPr>
                <w:b w:val="0"/>
                <w:i w:val="0"/>
                <w:sz w:val="17"/>
              </w:rPr>
              <w:t>426</w:t>
            </w:r>
          </w:p>
        </w:tc>
        <w:tc>
          <w:tcPr>
            <w:tcW w:type="dxa" w:w="1994"/>
          </w:tcPr>
          <w:p>
            <w:pPr>
              <w:jc w:val="center"/>
            </w:pPr>
            <w:r/>
            <w:r>
              <w:rPr>
                <w:b w:val="0"/>
                <w:i w:val="0"/>
                <w:sz w:val="17"/>
              </w:rPr>
              <w:t>254</w:t>
            </w:r>
          </w:p>
        </w:tc>
      </w:tr>
      <w:tr>
        <w:tc>
          <w:tcPr>
            <w:tcW w:type="dxa" w:w="1994"/>
          </w:tcPr>
          <w:p>
            <w:r/>
            <w:r>
              <w:rPr>
                <w:b/>
                <w:i w:val="0"/>
                <w:sz w:val="17"/>
              </w:rPr>
              <w:t>FY3/2020</w:t>
            </w:r>
          </w:p>
        </w:tc>
        <w:tc>
          <w:tcPr>
            <w:tcW w:type="dxa" w:w="1994"/>
          </w:tcPr>
          <w:p>
            <w:pPr>
              <w:jc w:val="center"/>
            </w:pPr>
            <w:r/>
            <w:r>
              <w:rPr>
                <w:b w:val="0"/>
                <w:i w:val="0"/>
                <w:sz w:val="17"/>
              </w:rPr>
              <w:t>41.975</w:t>
            </w:r>
          </w:p>
        </w:tc>
        <w:tc>
          <w:tcPr>
            <w:tcW w:type="dxa" w:w="1994"/>
          </w:tcPr>
          <w:p>
            <w:pPr>
              <w:jc w:val="center"/>
            </w:pPr>
            <w:r/>
            <w:r>
              <w:rPr>
                <w:b w:val="0"/>
                <w:i w:val="0"/>
                <w:sz w:val="17"/>
              </w:rPr>
              <w:t>2,1%</w:t>
            </w:r>
          </w:p>
        </w:tc>
        <w:tc>
          <w:tcPr>
            <w:tcW w:type="dxa" w:w="1994"/>
          </w:tcPr>
          <w:p>
            <w:pPr>
              <w:jc w:val="center"/>
            </w:pPr>
            <w:r/>
            <w:r>
              <w:rPr>
                <w:b w:val="0"/>
                <w:i w:val="0"/>
                <w:sz w:val="17"/>
              </w:rPr>
              <w:t>660</w:t>
            </w:r>
          </w:p>
        </w:tc>
        <w:tc>
          <w:tcPr>
            <w:tcW w:type="dxa" w:w="1994"/>
          </w:tcPr>
          <w:p>
            <w:pPr>
              <w:jc w:val="center"/>
            </w:pPr>
            <w:r/>
            <w:r>
              <w:rPr>
                <w:b w:val="0"/>
                <w:i w:val="0"/>
                <w:sz w:val="17"/>
              </w:rPr>
              <w:t>371</w:t>
            </w:r>
          </w:p>
        </w:tc>
      </w:tr>
      <w:tr>
        <w:tc>
          <w:tcPr>
            <w:tcW w:type="dxa" w:w="1994"/>
          </w:tcPr>
          <w:p>
            <w:r/>
            <w:r>
              <w:rPr>
                <w:b/>
                <w:i w:val="0"/>
                <w:sz w:val="17"/>
              </w:rPr>
              <w:t>FY3/2021</w:t>
            </w:r>
          </w:p>
        </w:tc>
        <w:tc>
          <w:tcPr>
            <w:tcW w:type="dxa" w:w="1994"/>
          </w:tcPr>
          <w:p>
            <w:pPr>
              <w:jc w:val="center"/>
            </w:pPr>
            <w:r/>
            <w:r>
              <w:rPr>
                <w:b w:val="0"/>
                <w:i w:val="0"/>
                <w:sz w:val="17"/>
              </w:rPr>
              <w:t>39.901</w:t>
            </w:r>
          </w:p>
        </w:tc>
        <w:tc>
          <w:tcPr>
            <w:tcW w:type="dxa" w:w="1994"/>
          </w:tcPr>
          <w:p>
            <w:pPr>
              <w:jc w:val="center"/>
            </w:pPr>
            <w:r/>
            <w:r>
              <w:rPr>
                <w:b w:val="0"/>
                <w:i w:val="0"/>
                <w:sz w:val="17"/>
              </w:rPr>
              <w:t>-4,9%</w:t>
            </w:r>
          </w:p>
        </w:tc>
        <w:tc>
          <w:tcPr>
            <w:tcW w:type="dxa" w:w="1994"/>
          </w:tcPr>
          <w:p>
            <w:pPr>
              <w:jc w:val="center"/>
            </w:pPr>
            <w:r/>
            <w:r>
              <w:rPr>
                <w:b w:val="0"/>
                <w:i w:val="0"/>
                <w:sz w:val="17"/>
              </w:rPr>
              <w:t>379</w:t>
            </w:r>
          </w:p>
        </w:tc>
        <w:tc>
          <w:tcPr>
            <w:tcW w:type="dxa" w:w="1994"/>
          </w:tcPr>
          <w:p>
            <w:pPr>
              <w:jc w:val="center"/>
            </w:pPr>
            <w:r/>
            <w:r>
              <w:rPr>
                <w:b w:val="0"/>
                <w:i w:val="0"/>
                <w:sz w:val="17"/>
              </w:rPr>
              <w:t>139</w:t>
            </w:r>
          </w:p>
        </w:tc>
      </w:tr>
      <w:tr>
        <w:tc>
          <w:tcPr>
            <w:tcW w:type="dxa" w:w="1994"/>
          </w:tcPr>
          <w:p>
            <w:r/>
            <w:r>
              <w:rPr>
                <w:b/>
                <w:i w:val="0"/>
                <w:sz w:val="17"/>
              </w:rPr>
              <w:t>FY3/2022</w:t>
            </w:r>
          </w:p>
        </w:tc>
        <w:tc>
          <w:tcPr>
            <w:tcW w:type="dxa" w:w="1994"/>
          </w:tcPr>
          <w:p>
            <w:pPr>
              <w:jc w:val="center"/>
            </w:pPr>
            <w:r/>
            <w:r>
              <w:rPr>
                <w:b w:val="0"/>
                <w:i w:val="0"/>
                <w:sz w:val="17"/>
              </w:rPr>
              <w:t>44.906</w:t>
            </w:r>
          </w:p>
        </w:tc>
        <w:tc>
          <w:tcPr>
            <w:tcW w:type="dxa" w:w="1994"/>
          </w:tcPr>
          <w:p>
            <w:pPr>
              <w:jc w:val="center"/>
            </w:pPr>
            <w:r/>
            <w:r>
              <w:rPr>
                <w:b w:val="0"/>
                <w:i w:val="0"/>
                <w:sz w:val="17"/>
              </w:rPr>
              <w:t>12,5%</w:t>
            </w:r>
          </w:p>
        </w:tc>
        <w:tc>
          <w:tcPr>
            <w:tcW w:type="dxa" w:w="1994"/>
          </w:tcPr>
          <w:p>
            <w:pPr>
              <w:jc w:val="center"/>
            </w:pPr>
            <w:r/>
            <w:r>
              <w:rPr>
                <w:b w:val="0"/>
                <w:i w:val="0"/>
                <w:sz w:val="17"/>
              </w:rPr>
              <w:t>217</w:t>
            </w:r>
          </w:p>
        </w:tc>
        <w:tc>
          <w:tcPr>
            <w:tcW w:type="dxa" w:w="1994"/>
          </w:tcPr>
          <w:p>
            <w:pPr>
              <w:jc w:val="center"/>
            </w:pPr>
            <w:r/>
            <w:r>
              <w:rPr>
                <w:b w:val="0"/>
                <w:i w:val="0"/>
                <w:sz w:val="17"/>
              </w:rPr>
              <w:t>116</w:t>
            </w:r>
          </w:p>
        </w:tc>
      </w:tr>
      <w:tr>
        <w:tc>
          <w:tcPr>
            <w:tcW w:type="dxa" w:w="1994"/>
          </w:tcPr>
          <w:p>
            <w:r/>
            <w:r>
              <w:rPr>
                <w:b/>
                <w:i w:val="0"/>
                <w:sz w:val="17"/>
              </w:rPr>
              <w:t>FY3/2023</w:t>
            </w:r>
          </w:p>
        </w:tc>
        <w:tc>
          <w:tcPr>
            <w:tcW w:type="dxa" w:w="1994"/>
          </w:tcPr>
          <w:p>
            <w:pPr>
              <w:jc w:val="center"/>
            </w:pPr>
            <w:r/>
            <w:r>
              <w:rPr>
                <w:b w:val="0"/>
                <w:i w:val="0"/>
                <w:sz w:val="17"/>
              </w:rPr>
              <w:t>54.659</w:t>
            </w:r>
          </w:p>
        </w:tc>
        <w:tc>
          <w:tcPr>
            <w:tcW w:type="dxa" w:w="1994"/>
          </w:tcPr>
          <w:p>
            <w:pPr>
              <w:jc w:val="center"/>
            </w:pPr>
            <w:r/>
            <w:r>
              <w:rPr>
                <w:b w:val="0"/>
                <w:i w:val="0"/>
                <w:sz w:val="17"/>
              </w:rPr>
              <w:t>21,7%</w:t>
            </w:r>
          </w:p>
        </w:tc>
        <w:tc>
          <w:tcPr>
            <w:tcW w:type="dxa" w:w="1994"/>
          </w:tcPr>
          <w:p>
            <w:pPr>
              <w:jc w:val="center"/>
            </w:pPr>
            <w:r/>
            <w:r>
              <w:rPr>
                <w:b w:val="0"/>
                <w:i w:val="0"/>
                <w:sz w:val="17"/>
              </w:rPr>
              <w:t>-99</w:t>
            </w:r>
          </w:p>
        </w:tc>
        <w:tc>
          <w:tcPr>
            <w:tcW w:type="dxa" w:w="1994"/>
          </w:tcPr>
          <w:p>
            <w:pPr>
              <w:jc w:val="center"/>
            </w:pPr>
            <w:r/>
            <w:r>
              <w:rPr>
                <w:b w:val="0"/>
                <w:i w:val="0"/>
                <w:sz w:val="17"/>
              </w:rPr>
              <w:t>157</w:t>
            </w:r>
          </w:p>
        </w:tc>
      </w:tr>
      <w:tr>
        <w:tc>
          <w:tcPr>
            <w:tcW w:type="dxa" w:w="1994"/>
          </w:tcPr>
          <w:p>
            <w:r/>
            <w:r>
              <w:rPr>
                <w:b/>
                <w:i w:val="0"/>
                <w:sz w:val="17"/>
              </w:rPr>
              <w:t>FY3/2024</w:t>
            </w:r>
          </w:p>
        </w:tc>
        <w:tc>
          <w:tcPr>
            <w:tcW w:type="dxa" w:w="1994"/>
          </w:tcPr>
          <w:p>
            <w:pPr>
              <w:jc w:val="center"/>
            </w:pPr>
            <w:r/>
            <w:r>
              <w:rPr>
                <w:b w:val="0"/>
                <w:i w:val="0"/>
                <w:sz w:val="17"/>
              </w:rPr>
              <w:t>52.887</w:t>
            </w:r>
          </w:p>
        </w:tc>
        <w:tc>
          <w:tcPr>
            <w:tcW w:type="dxa" w:w="1994"/>
          </w:tcPr>
          <w:p>
            <w:pPr>
              <w:jc w:val="center"/>
            </w:pPr>
            <w:r/>
            <w:r>
              <w:rPr>
                <w:b w:val="0"/>
                <w:i w:val="0"/>
                <w:sz w:val="17"/>
              </w:rPr>
              <w:t>-3,2%</w:t>
            </w:r>
          </w:p>
        </w:tc>
        <w:tc>
          <w:tcPr>
            <w:tcW w:type="dxa" w:w="1994"/>
          </w:tcPr>
          <w:p>
            <w:pPr>
              <w:jc w:val="center"/>
            </w:pPr>
            <w:r/>
            <w:r>
              <w:rPr>
                <w:b w:val="0"/>
                <w:i w:val="0"/>
                <w:sz w:val="17"/>
              </w:rPr>
              <w:t>915</w:t>
            </w:r>
          </w:p>
        </w:tc>
        <w:tc>
          <w:tcPr>
            <w:tcW w:type="dxa" w:w="1994"/>
          </w:tcPr>
          <w:p>
            <w:pPr>
              <w:jc w:val="center"/>
            </w:pPr>
            <w:r/>
            <w:r>
              <w:rPr>
                <w:b w:val="0"/>
                <w:i w:val="0"/>
                <w:sz w:val="17"/>
              </w:rPr>
              <w:t>541</w:t>
            </w:r>
          </w:p>
        </w:tc>
      </w:tr>
      <w:tr>
        <w:tc>
          <w:tcPr>
            <w:tcW w:type="dxa" w:w="1994"/>
          </w:tcPr>
          <w:p>
            <w:r/>
            <w:r>
              <w:rPr>
                <w:b/>
                <w:i w:val="0"/>
                <w:sz w:val="17"/>
              </w:rPr>
              <w:t>FY3/2025</w:t>
            </w:r>
          </w:p>
        </w:tc>
        <w:tc>
          <w:tcPr>
            <w:tcW w:type="dxa" w:w="1994"/>
          </w:tcPr>
          <w:p>
            <w:pPr>
              <w:jc w:val="center"/>
            </w:pPr>
            <w:r/>
            <w:r>
              <w:rPr>
                <w:b w:val="0"/>
                <w:i w:val="0"/>
                <w:sz w:val="17"/>
              </w:rPr>
              <w:t>48.577</w:t>
            </w:r>
          </w:p>
        </w:tc>
        <w:tc>
          <w:tcPr>
            <w:tcW w:type="dxa" w:w="1994"/>
          </w:tcPr>
          <w:p>
            <w:pPr>
              <w:jc w:val="center"/>
            </w:pPr>
            <w:r/>
            <w:r>
              <w:rPr>
                <w:b w:val="0"/>
                <w:i w:val="0"/>
                <w:sz w:val="17"/>
              </w:rPr>
              <w:t>-8,1%</w:t>
            </w:r>
          </w:p>
        </w:tc>
        <w:tc>
          <w:tcPr>
            <w:tcW w:type="dxa" w:w="1994"/>
          </w:tcPr>
          <w:p>
            <w:pPr>
              <w:jc w:val="center"/>
            </w:pPr>
            <w:r/>
            <w:r>
              <w:rPr>
                <w:b w:val="0"/>
                <w:i w:val="0"/>
                <w:sz w:val="17"/>
              </w:rPr>
              <w:t>1.143</w:t>
            </w:r>
          </w:p>
        </w:tc>
        <w:tc>
          <w:tcPr>
            <w:tcW w:type="dxa" w:w="1994"/>
          </w:tcPr>
          <w:p>
            <w:pPr>
              <w:jc w:val="center"/>
            </w:pPr>
            <w:r/>
            <w:r>
              <w:rPr>
                <w:b w:val="0"/>
                <w:i w:val="0"/>
                <w:sz w:val="17"/>
              </w:rPr>
              <w:t>310</w:t>
            </w:r>
          </w:p>
        </w:tc>
      </w:tr>
      <w:tr>
        <w:tc>
          <w:tcPr>
            <w:tcW w:type="dxa" w:w="1994"/>
          </w:tcPr>
          <w:p>
            <w:r/>
            <w:r>
              <w:rPr>
                <w:b/>
                <w:i w:val="0"/>
                <w:sz w:val="17"/>
              </w:rPr>
              <w:t>FY3/2026</w:t>
            </w:r>
          </w:p>
        </w:tc>
        <w:tc>
          <w:tcPr>
            <w:tcW w:type="dxa" w:w="1994"/>
          </w:tcPr>
          <w:p>
            <w:pPr>
              <w:jc w:val="center"/>
            </w:pPr>
            <w:r/>
            <w:r>
              <w:rPr>
                <w:b w:val="0"/>
                <w:i w:val="0"/>
                <w:sz w:val="17"/>
              </w:rPr>
              <w:t>45.579</w:t>
            </w:r>
          </w:p>
        </w:tc>
        <w:tc>
          <w:tcPr>
            <w:tcW w:type="dxa" w:w="1994"/>
          </w:tcPr>
          <w:p>
            <w:pPr>
              <w:jc w:val="center"/>
            </w:pPr>
            <w:r/>
            <w:r>
              <w:rPr>
                <w:b w:val="0"/>
                <w:i w:val="0"/>
                <w:sz w:val="17"/>
              </w:rPr>
              <w:t>-6,2%</w:t>
            </w:r>
          </w:p>
        </w:tc>
        <w:tc>
          <w:tcPr>
            <w:tcW w:type="dxa" w:w="1994"/>
          </w:tcPr>
          <w:p>
            <w:pPr>
              <w:jc w:val="center"/>
            </w:pPr>
            <w:r/>
            <w:r>
              <w:rPr>
                <w:b w:val="0"/>
                <w:i w:val="0"/>
                <w:sz w:val="17"/>
              </w:rPr>
              <w:t>1.440</w:t>
            </w:r>
          </w:p>
        </w:tc>
        <w:tc>
          <w:tcPr>
            <w:tcW w:type="dxa" w:w="1994"/>
          </w:tcPr>
          <w:p>
            <w:pPr>
              <w:jc w:val="center"/>
            </w:pPr>
            <w:r/>
            <w:r>
              <w:rPr>
                <w:b w:val="0"/>
                <w:i w:val="0"/>
                <w:sz w:val="17"/>
              </w:rPr>
              <w:t>378</w:t>
            </w:r>
          </w:p>
        </w:tc>
      </w:tr>
    </w:tbl>
    <w:p/>
    <w:p>
      <w:r>
        <w:rPr>
          <w:b w:val="0"/>
          <w:i/>
          <w:color w:val="555555"/>
          <w:sz w:val="17"/>
        </w:rPr>
        <w:t>[Fuente: FY3/2017-FY3/2021: Yuho FY3/2021 (F_2020.pdf, presentado jun-2021), p.2; FY3/2022-FY3/2026: Yuho FY3/2026 (F_2025.pdf, 25-jun-2026), p.2 (主要な経営指標等の推移)]</w:t>
      </w:r>
    </w:p>
    <w:p>
      <w:r>
        <w:rPr>
          <w:b w:val="0"/>
          <w:i w:val="0"/>
          <w:color w:val="1F4E79"/>
          <w:sz w:val="19"/>
        </w:rPr>
        <w:t xml:space="preserve">💡 ESTIMACIÓN / CÁLCULO PROPIO: CAGR de ventas FY3/2021→FY3/2026 = (45.579 / 39.901)^(1/5) − 1 = </w:t>
      </w:r>
      <w:r>
        <w:rPr>
          <w:b/>
          <w:i w:val="0"/>
          <w:color w:val="1F4E79"/>
          <w:sz w:val="19"/>
        </w:rPr>
        <w:t>+2,7% anual</w:t>
      </w:r>
      <w:r>
        <w:rPr>
          <w:b w:val="0"/>
          <w:i w:val="0"/>
          <w:color w:val="1F4E79"/>
          <w:sz w:val="19"/>
        </w:rPr>
        <w:t xml:space="preserve">; en 9 años (FY3/2017→FY3/2026) = </w:t>
      </w:r>
      <w:r>
        <w:rPr>
          <w:b/>
          <w:i w:val="0"/>
          <w:color w:val="1F4E79"/>
          <w:sz w:val="19"/>
        </w:rPr>
        <w:t>+1,2% anual</w:t>
      </w:r>
      <w:r>
        <w:rPr>
          <w:b w:val="0"/>
          <w:i w:val="0"/>
          <w:color w:val="1F4E79"/>
          <w:sz w:val="19"/>
        </w:rPr>
        <w:t>. El crecimiento es casi íntegramente efecto precio (coste del grano y tipo de cambio), no volumen. El pico de FY3/2023 (54.659 M JPY) coincide con el máximo histórico del maíz tras la invasión de Ucrania y el yen débil.</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b/>
                <w:color w:val="FFFFFF"/>
                <w:sz w:val="16"/>
              </w:rPr>
              <w:t>Ejercicio</w:t>
            </w:r>
          </w:p>
        </w:tc>
        <w:tc>
          <w:tcPr>
            <w:tcW w:type="dxa" w:w="1246"/>
            <w:shd w:val="clear" w:color="auto" w:fill="1F3A5F"/>
          </w:tcPr>
          <w:p>
            <w:r/>
            <w:r>
              <w:rPr>
                <w:b/>
                <w:color w:val="FFFFFF"/>
                <w:sz w:val="16"/>
              </w:rPr>
              <w:t>Piensos ventas</w:t>
            </w:r>
          </w:p>
        </w:tc>
        <w:tc>
          <w:tcPr>
            <w:tcW w:type="dxa" w:w="1246"/>
            <w:shd w:val="clear" w:color="auto" w:fill="1F3A5F"/>
          </w:tcPr>
          <w:p>
            <w:r/>
            <w:r>
              <w:rPr>
                <w:b/>
                <w:color w:val="FFFFFF"/>
                <w:sz w:val="16"/>
              </w:rPr>
              <w:t>Piensos BO</w:t>
            </w:r>
          </w:p>
        </w:tc>
        <w:tc>
          <w:tcPr>
            <w:tcW w:type="dxa" w:w="1246"/>
            <w:shd w:val="clear" w:color="auto" w:fill="1F3A5F"/>
          </w:tcPr>
          <w:p>
            <w:r/>
            <w:r>
              <w:rPr>
                <w:b/>
                <w:color w:val="FFFFFF"/>
                <w:sz w:val="16"/>
              </w:rPr>
              <w:t>Margen</w:t>
            </w:r>
          </w:p>
        </w:tc>
        <w:tc>
          <w:tcPr>
            <w:tcW w:type="dxa" w:w="1246"/>
            <w:shd w:val="clear" w:color="auto" w:fill="1F3A5F"/>
          </w:tcPr>
          <w:p>
            <w:r/>
            <w:r>
              <w:rPr>
                <w:b/>
                <w:color w:val="FFFFFF"/>
                <w:sz w:val="16"/>
              </w:rPr>
              <w:t>Ganadería ventas</w:t>
            </w:r>
          </w:p>
        </w:tc>
        <w:tc>
          <w:tcPr>
            <w:tcW w:type="dxa" w:w="1246"/>
            <w:shd w:val="clear" w:color="auto" w:fill="1F3A5F"/>
          </w:tcPr>
          <w:p>
            <w:r/>
            <w:r>
              <w:rPr>
                <w:b/>
                <w:color w:val="FFFFFF"/>
                <w:sz w:val="16"/>
              </w:rPr>
              <w:t>Ganadería BO</w:t>
            </w:r>
          </w:p>
        </w:tc>
        <w:tc>
          <w:tcPr>
            <w:tcW w:type="dxa" w:w="1246"/>
            <w:shd w:val="clear" w:color="auto" w:fill="1F3A5F"/>
          </w:tcPr>
          <w:p>
            <w:r/>
            <w:r>
              <w:rPr>
                <w:b/>
                <w:color w:val="FFFFFF"/>
                <w:sz w:val="16"/>
              </w:rPr>
              <w:t>Margen</w:t>
            </w:r>
          </w:p>
        </w:tc>
        <w:tc>
          <w:tcPr>
            <w:tcW w:type="dxa" w:w="1246"/>
            <w:shd w:val="clear" w:color="auto" w:fill="1F3A5F"/>
          </w:tcPr>
          <w:p>
            <w:r/>
            <w:r>
              <w:rPr>
                <w:b/>
                <w:color w:val="FFFFFF"/>
                <w:sz w:val="16"/>
              </w:rPr>
              <w:t>BO consolidado</w:t>
            </w:r>
          </w:p>
        </w:tc>
      </w:tr>
      <w:tr>
        <w:tc>
          <w:tcPr>
            <w:tcW w:type="dxa" w:w="1246"/>
          </w:tcPr>
          <w:p>
            <w:r/>
            <w:r>
              <w:rPr>
                <w:b/>
                <w:i w:val="0"/>
                <w:sz w:val="16"/>
              </w:rPr>
              <w:t>FY3/2020</w:t>
            </w:r>
          </w:p>
        </w:tc>
        <w:tc>
          <w:tcPr>
            <w:tcW w:type="dxa" w:w="1246"/>
          </w:tcPr>
          <w:p>
            <w:pPr>
              <w:jc w:val="center"/>
            </w:pPr>
            <w:r/>
            <w:r>
              <w:rPr>
                <w:b w:val="0"/>
                <w:i w:val="0"/>
                <w:sz w:val="16"/>
              </w:rPr>
              <w:t>40.300</w:t>
            </w:r>
          </w:p>
        </w:tc>
        <w:tc>
          <w:tcPr>
            <w:tcW w:type="dxa" w:w="1246"/>
          </w:tcPr>
          <w:p>
            <w:pPr>
              <w:jc w:val="center"/>
            </w:pPr>
            <w:r/>
            <w:r>
              <w:rPr>
                <w:b w:val="0"/>
                <w:i w:val="0"/>
                <w:sz w:val="16"/>
              </w:rPr>
              <w:t>816</w:t>
            </w:r>
          </w:p>
        </w:tc>
        <w:tc>
          <w:tcPr>
            <w:tcW w:type="dxa" w:w="1246"/>
          </w:tcPr>
          <w:p>
            <w:pPr>
              <w:jc w:val="center"/>
            </w:pPr>
            <w:r/>
            <w:r>
              <w:rPr>
                <w:b w:val="0"/>
                <w:i w:val="0"/>
                <w:sz w:val="16"/>
              </w:rPr>
              <w:t>2,02%</w:t>
            </w:r>
          </w:p>
        </w:tc>
        <w:tc>
          <w:tcPr>
            <w:tcW w:type="dxa" w:w="1246"/>
          </w:tcPr>
          <w:p>
            <w:pPr>
              <w:jc w:val="center"/>
            </w:pPr>
            <w:r/>
            <w:r>
              <w:rPr>
                <w:b w:val="0"/>
                <w:i w:val="0"/>
                <w:sz w:val="16"/>
              </w:rPr>
              <w:t>1.675</w:t>
            </w:r>
          </w:p>
        </w:tc>
        <w:tc>
          <w:tcPr>
            <w:tcW w:type="dxa" w:w="1246"/>
          </w:tcPr>
          <w:p>
            <w:pPr>
              <w:jc w:val="center"/>
            </w:pPr>
            <w:r/>
            <w:r>
              <w:rPr>
                <w:b w:val="0"/>
                <w:i w:val="0"/>
                <w:sz w:val="16"/>
              </w:rPr>
              <w:t>18</w:t>
            </w:r>
          </w:p>
        </w:tc>
        <w:tc>
          <w:tcPr>
            <w:tcW w:type="dxa" w:w="1246"/>
          </w:tcPr>
          <w:p>
            <w:pPr>
              <w:jc w:val="center"/>
            </w:pPr>
            <w:r/>
            <w:r>
              <w:rPr>
                <w:b w:val="0"/>
                <w:i w:val="0"/>
                <w:sz w:val="16"/>
              </w:rPr>
              <w:t>1,1%</w:t>
            </w:r>
          </w:p>
        </w:tc>
        <w:tc>
          <w:tcPr>
            <w:tcW w:type="dxa" w:w="1246"/>
          </w:tcPr>
          <w:p>
            <w:pPr>
              <w:jc w:val="center"/>
            </w:pPr>
            <w:r/>
            <w:r>
              <w:rPr>
                <w:b w:val="0"/>
                <w:i w:val="0"/>
                <w:sz w:val="16"/>
              </w:rPr>
              <w:t>528</w:t>
            </w:r>
          </w:p>
        </w:tc>
      </w:tr>
      <w:tr>
        <w:tc>
          <w:tcPr>
            <w:tcW w:type="dxa" w:w="1246"/>
          </w:tcPr>
          <w:p>
            <w:r/>
            <w:r>
              <w:rPr>
                <w:b/>
                <w:i w:val="0"/>
                <w:sz w:val="16"/>
              </w:rPr>
              <w:t>FY3/2021</w:t>
            </w:r>
          </w:p>
        </w:tc>
        <w:tc>
          <w:tcPr>
            <w:tcW w:type="dxa" w:w="1246"/>
          </w:tcPr>
          <w:p>
            <w:pPr>
              <w:jc w:val="center"/>
            </w:pPr>
            <w:r/>
            <w:r>
              <w:rPr>
                <w:b w:val="0"/>
                <w:i w:val="0"/>
                <w:sz w:val="16"/>
              </w:rPr>
              <w:t>38.154</w:t>
            </w:r>
          </w:p>
        </w:tc>
        <w:tc>
          <w:tcPr>
            <w:tcW w:type="dxa" w:w="1246"/>
          </w:tcPr>
          <w:p>
            <w:pPr>
              <w:jc w:val="center"/>
            </w:pPr>
            <w:r/>
            <w:r>
              <w:rPr>
                <w:b w:val="0"/>
                <w:i w:val="0"/>
                <w:sz w:val="16"/>
              </w:rPr>
              <w:t>767</w:t>
            </w:r>
          </w:p>
        </w:tc>
        <w:tc>
          <w:tcPr>
            <w:tcW w:type="dxa" w:w="1246"/>
          </w:tcPr>
          <w:p>
            <w:pPr>
              <w:jc w:val="center"/>
            </w:pPr>
            <w:r/>
            <w:r>
              <w:rPr>
                <w:b w:val="0"/>
                <w:i w:val="0"/>
                <w:sz w:val="16"/>
              </w:rPr>
              <w:t>2,01%</w:t>
            </w:r>
          </w:p>
        </w:tc>
        <w:tc>
          <w:tcPr>
            <w:tcW w:type="dxa" w:w="1246"/>
          </w:tcPr>
          <w:p>
            <w:pPr>
              <w:jc w:val="center"/>
            </w:pPr>
            <w:r/>
            <w:r>
              <w:rPr>
                <w:b w:val="0"/>
                <w:i w:val="0"/>
                <w:sz w:val="16"/>
              </w:rPr>
              <w:t>1.747</w:t>
            </w:r>
          </w:p>
        </w:tc>
        <w:tc>
          <w:tcPr>
            <w:tcW w:type="dxa" w:w="1246"/>
          </w:tcPr>
          <w:p>
            <w:pPr>
              <w:jc w:val="center"/>
            </w:pPr>
            <w:r/>
            <w:r>
              <w:rPr>
                <w:b w:val="0"/>
                <w:i w:val="0"/>
                <w:sz w:val="16"/>
              </w:rPr>
              <w:t>141</w:t>
            </w:r>
          </w:p>
        </w:tc>
        <w:tc>
          <w:tcPr>
            <w:tcW w:type="dxa" w:w="1246"/>
          </w:tcPr>
          <w:p>
            <w:pPr>
              <w:jc w:val="center"/>
            </w:pPr>
            <w:r/>
            <w:r>
              <w:rPr>
                <w:b w:val="0"/>
                <w:i w:val="0"/>
                <w:sz w:val="16"/>
              </w:rPr>
              <w:t>8,1%</w:t>
            </w:r>
          </w:p>
        </w:tc>
        <w:tc>
          <w:tcPr>
            <w:tcW w:type="dxa" w:w="1246"/>
          </w:tcPr>
          <w:p>
            <w:pPr>
              <w:jc w:val="center"/>
            </w:pPr>
            <w:r/>
            <w:r>
              <w:rPr>
                <w:b w:val="0"/>
                <w:i w:val="0"/>
                <w:sz w:val="16"/>
              </w:rPr>
              <w:t>283</w:t>
            </w:r>
          </w:p>
        </w:tc>
      </w:tr>
      <w:tr>
        <w:tc>
          <w:tcPr>
            <w:tcW w:type="dxa" w:w="1246"/>
          </w:tcPr>
          <w:p>
            <w:r/>
            <w:r>
              <w:rPr>
                <w:b/>
                <w:i w:val="0"/>
                <w:sz w:val="16"/>
              </w:rPr>
              <w:t>FY3/2022</w:t>
            </w:r>
          </w:p>
        </w:tc>
        <w:tc>
          <w:tcPr>
            <w:tcW w:type="dxa" w:w="1246"/>
          </w:tcPr>
          <w:p>
            <w:pPr>
              <w:jc w:val="center"/>
            </w:pPr>
            <w:r/>
            <w:r>
              <w:rPr>
                <w:b w:val="0"/>
                <w:i w:val="0"/>
                <w:sz w:val="16"/>
              </w:rPr>
              <w:t>43.211</w:t>
            </w:r>
          </w:p>
        </w:tc>
        <w:tc>
          <w:tcPr>
            <w:tcW w:type="dxa" w:w="1246"/>
          </w:tcPr>
          <w:p>
            <w:pPr>
              <w:jc w:val="center"/>
            </w:pPr>
            <w:r/>
            <w:r>
              <w:rPr>
                <w:b w:val="0"/>
                <w:i w:val="0"/>
                <w:sz w:val="16"/>
              </w:rPr>
              <w:t>624</w:t>
            </w:r>
          </w:p>
        </w:tc>
        <w:tc>
          <w:tcPr>
            <w:tcW w:type="dxa" w:w="1246"/>
          </w:tcPr>
          <w:p>
            <w:pPr>
              <w:jc w:val="center"/>
            </w:pPr>
            <w:r/>
            <w:r>
              <w:rPr>
                <w:b w:val="0"/>
                <w:i w:val="0"/>
                <w:sz w:val="16"/>
              </w:rPr>
              <w:t>1,44%</w:t>
            </w:r>
          </w:p>
        </w:tc>
        <w:tc>
          <w:tcPr>
            <w:tcW w:type="dxa" w:w="1246"/>
          </w:tcPr>
          <w:p>
            <w:pPr>
              <w:jc w:val="center"/>
            </w:pPr>
            <w:r/>
            <w:r>
              <w:rPr>
                <w:b w:val="0"/>
                <w:i w:val="0"/>
                <w:sz w:val="16"/>
              </w:rPr>
              <w:t>1.694</w:t>
            </w:r>
          </w:p>
        </w:tc>
        <w:tc>
          <w:tcPr>
            <w:tcW w:type="dxa" w:w="1246"/>
          </w:tcPr>
          <w:p>
            <w:pPr>
              <w:jc w:val="center"/>
            </w:pPr>
            <w:r/>
            <w:r>
              <w:rPr>
                <w:b w:val="0"/>
                <w:i w:val="0"/>
                <w:sz w:val="16"/>
              </w:rPr>
              <w:t>-2</w:t>
            </w:r>
          </w:p>
        </w:tc>
        <w:tc>
          <w:tcPr>
            <w:tcW w:type="dxa" w:w="1246"/>
          </w:tcPr>
          <w:p>
            <w:pPr>
              <w:jc w:val="center"/>
            </w:pPr>
            <w:r/>
            <w:r>
              <w:rPr>
                <w:b w:val="0"/>
                <w:i w:val="0"/>
                <w:sz w:val="16"/>
              </w:rPr>
              <w:t>-0,1%</w:t>
            </w:r>
          </w:p>
        </w:tc>
        <w:tc>
          <w:tcPr>
            <w:tcW w:type="dxa" w:w="1246"/>
          </w:tcPr>
          <w:p>
            <w:pPr>
              <w:jc w:val="center"/>
            </w:pPr>
            <w:r/>
            <w:r>
              <w:rPr>
                <w:b w:val="0"/>
                <w:i w:val="0"/>
                <w:sz w:val="16"/>
              </w:rPr>
              <w:t>118</w:t>
            </w:r>
          </w:p>
        </w:tc>
      </w:tr>
      <w:tr>
        <w:tc>
          <w:tcPr>
            <w:tcW w:type="dxa" w:w="1246"/>
          </w:tcPr>
          <w:p>
            <w:r/>
            <w:r>
              <w:rPr>
                <w:b/>
                <w:i w:val="0"/>
                <w:sz w:val="16"/>
              </w:rPr>
              <w:t>FY3/2023</w:t>
            </w:r>
          </w:p>
        </w:tc>
        <w:tc>
          <w:tcPr>
            <w:tcW w:type="dxa" w:w="1246"/>
          </w:tcPr>
          <w:p>
            <w:pPr>
              <w:jc w:val="center"/>
            </w:pPr>
            <w:r/>
            <w:r>
              <w:rPr>
                <w:b w:val="0"/>
                <w:i w:val="0"/>
                <w:sz w:val="16"/>
              </w:rPr>
              <w:t>52.952</w:t>
            </w:r>
          </w:p>
        </w:tc>
        <w:tc>
          <w:tcPr>
            <w:tcW w:type="dxa" w:w="1246"/>
          </w:tcPr>
          <w:p>
            <w:pPr>
              <w:jc w:val="center"/>
            </w:pPr>
            <w:r/>
            <w:r>
              <w:rPr>
                <w:b w:val="0"/>
                <w:i w:val="0"/>
                <w:sz w:val="16"/>
              </w:rPr>
              <w:t>258</w:t>
            </w:r>
          </w:p>
        </w:tc>
        <w:tc>
          <w:tcPr>
            <w:tcW w:type="dxa" w:w="1246"/>
          </w:tcPr>
          <w:p>
            <w:pPr>
              <w:jc w:val="center"/>
            </w:pPr>
            <w:r/>
            <w:r>
              <w:rPr>
                <w:b w:val="0"/>
                <w:i w:val="0"/>
                <w:sz w:val="16"/>
              </w:rPr>
              <w:t>0,49%</w:t>
            </w:r>
          </w:p>
        </w:tc>
        <w:tc>
          <w:tcPr>
            <w:tcW w:type="dxa" w:w="1246"/>
          </w:tcPr>
          <w:p>
            <w:pPr>
              <w:jc w:val="center"/>
            </w:pPr>
            <w:r/>
            <w:r>
              <w:rPr>
                <w:b w:val="0"/>
                <w:i w:val="0"/>
                <w:sz w:val="16"/>
              </w:rPr>
              <w:t>1.707</w:t>
            </w:r>
          </w:p>
        </w:tc>
        <w:tc>
          <w:tcPr>
            <w:tcW w:type="dxa" w:w="1246"/>
          </w:tcPr>
          <w:p>
            <w:pPr>
              <w:jc w:val="center"/>
            </w:pPr>
            <w:r/>
            <w:r>
              <w:rPr>
                <w:b w:val="0"/>
                <w:i w:val="0"/>
                <w:sz w:val="16"/>
              </w:rPr>
              <w:t>-123</w:t>
            </w:r>
          </w:p>
        </w:tc>
        <w:tc>
          <w:tcPr>
            <w:tcW w:type="dxa" w:w="1246"/>
          </w:tcPr>
          <w:p>
            <w:pPr>
              <w:jc w:val="center"/>
            </w:pPr>
            <w:r/>
            <w:r>
              <w:rPr>
                <w:b w:val="0"/>
                <w:i w:val="0"/>
                <w:sz w:val="16"/>
              </w:rPr>
              <w:t>-7,2%</w:t>
            </w:r>
          </w:p>
        </w:tc>
        <w:tc>
          <w:tcPr>
            <w:tcW w:type="dxa" w:w="1246"/>
          </w:tcPr>
          <w:p>
            <w:pPr>
              <w:jc w:val="center"/>
            </w:pPr>
            <w:r/>
            <w:r>
              <w:rPr>
                <w:b w:val="0"/>
                <w:i w:val="0"/>
                <w:sz w:val="16"/>
              </w:rPr>
              <w:t>-200</w:t>
            </w:r>
          </w:p>
        </w:tc>
      </w:tr>
      <w:tr>
        <w:tc>
          <w:tcPr>
            <w:tcW w:type="dxa" w:w="1246"/>
          </w:tcPr>
          <w:p>
            <w:r/>
            <w:r>
              <w:rPr>
                <w:b/>
                <w:i w:val="0"/>
                <w:sz w:val="16"/>
              </w:rPr>
              <w:t>FY3/2024</w:t>
            </w:r>
          </w:p>
        </w:tc>
        <w:tc>
          <w:tcPr>
            <w:tcW w:type="dxa" w:w="1246"/>
          </w:tcPr>
          <w:p>
            <w:pPr>
              <w:jc w:val="center"/>
            </w:pPr>
            <w:r/>
            <w:r>
              <w:rPr>
                <w:b w:val="0"/>
                <w:i w:val="0"/>
                <w:sz w:val="16"/>
              </w:rPr>
              <w:t>51.157</w:t>
            </w:r>
          </w:p>
        </w:tc>
        <w:tc>
          <w:tcPr>
            <w:tcW w:type="dxa" w:w="1246"/>
          </w:tcPr>
          <w:p>
            <w:pPr>
              <w:jc w:val="center"/>
            </w:pPr>
            <w:r/>
            <w:r>
              <w:rPr>
                <w:b w:val="0"/>
                <w:i w:val="0"/>
                <w:sz w:val="16"/>
              </w:rPr>
              <w:t>968</w:t>
            </w:r>
          </w:p>
        </w:tc>
        <w:tc>
          <w:tcPr>
            <w:tcW w:type="dxa" w:w="1246"/>
          </w:tcPr>
          <w:p>
            <w:pPr>
              <w:jc w:val="center"/>
            </w:pPr>
            <w:r/>
            <w:r>
              <w:rPr>
                <w:b w:val="0"/>
                <w:i w:val="0"/>
                <w:sz w:val="16"/>
              </w:rPr>
              <w:t>1,89%</w:t>
            </w:r>
          </w:p>
        </w:tc>
        <w:tc>
          <w:tcPr>
            <w:tcW w:type="dxa" w:w="1246"/>
          </w:tcPr>
          <w:p>
            <w:pPr>
              <w:jc w:val="center"/>
            </w:pPr>
            <w:r/>
            <w:r>
              <w:rPr>
                <w:b w:val="0"/>
                <w:i w:val="0"/>
                <w:sz w:val="16"/>
              </w:rPr>
              <w:t>1.729</w:t>
            </w:r>
          </w:p>
        </w:tc>
        <w:tc>
          <w:tcPr>
            <w:tcW w:type="dxa" w:w="1246"/>
          </w:tcPr>
          <w:p>
            <w:pPr>
              <w:jc w:val="center"/>
            </w:pPr>
            <w:r/>
            <w:r>
              <w:rPr>
                <w:b w:val="0"/>
                <w:i w:val="0"/>
                <w:sz w:val="16"/>
              </w:rPr>
              <w:t>-249</w:t>
            </w:r>
          </w:p>
        </w:tc>
        <w:tc>
          <w:tcPr>
            <w:tcW w:type="dxa" w:w="1246"/>
          </w:tcPr>
          <w:p>
            <w:pPr>
              <w:jc w:val="center"/>
            </w:pPr>
            <w:r/>
            <w:r>
              <w:rPr>
                <w:b w:val="0"/>
                <w:i w:val="0"/>
                <w:sz w:val="16"/>
              </w:rPr>
              <w:t>-14,4%</w:t>
            </w:r>
          </w:p>
        </w:tc>
        <w:tc>
          <w:tcPr>
            <w:tcW w:type="dxa" w:w="1246"/>
          </w:tcPr>
          <w:p>
            <w:pPr>
              <w:jc w:val="center"/>
            </w:pPr>
            <w:r/>
            <w:r>
              <w:rPr>
                <w:b w:val="0"/>
                <w:i w:val="0"/>
                <w:sz w:val="16"/>
              </w:rPr>
              <w:t>905</w:t>
            </w:r>
          </w:p>
        </w:tc>
      </w:tr>
      <w:tr>
        <w:tc>
          <w:tcPr>
            <w:tcW w:type="dxa" w:w="1246"/>
          </w:tcPr>
          <w:p>
            <w:r/>
            <w:r>
              <w:rPr>
                <w:b/>
                <w:i w:val="0"/>
                <w:sz w:val="16"/>
              </w:rPr>
              <w:t>FY3/2025</w:t>
            </w:r>
          </w:p>
        </w:tc>
        <w:tc>
          <w:tcPr>
            <w:tcW w:type="dxa" w:w="1246"/>
          </w:tcPr>
          <w:p>
            <w:pPr>
              <w:jc w:val="center"/>
            </w:pPr>
            <w:r/>
            <w:r>
              <w:rPr>
                <w:b w:val="0"/>
                <w:i w:val="0"/>
                <w:sz w:val="16"/>
              </w:rPr>
              <w:t>46.698</w:t>
            </w:r>
          </w:p>
        </w:tc>
        <w:tc>
          <w:tcPr>
            <w:tcW w:type="dxa" w:w="1246"/>
          </w:tcPr>
          <w:p>
            <w:pPr>
              <w:jc w:val="center"/>
            </w:pPr>
            <w:r/>
            <w:r>
              <w:rPr>
                <w:b w:val="0"/>
                <w:i w:val="0"/>
                <w:sz w:val="16"/>
              </w:rPr>
              <w:t>1.087</w:t>
            </w:r>
          </w:p>
        </w:tc>
        <w:tc>
          <w:tcPr>
            <w:tcW w:type="dxa" w:w="1246"/>
          </w:tcPr>
          <w:p>
            <w:pPr>
              <w:jc w:val="center"/>
            </w:pPr>
            <w:r/>
            <w:r>
              <w:rPr>
                <w:b w:val="0"/>
                <w:i w:val="0"/>
                <w:sz w:val="16"/>
              </w:rPr>
              <w:t>2,33%</w:t>
            </w:r>
          </w:p>
        </w:tc>
        <w:tc>
          <w:tcPr>
            <w:tcW w:type="dxa" w:w="1246"/>
          </w:tcPr>
          <w:p>
            <w:pPr>
              <w:jc w:val="center"/>
            </w:pPr>
            <w:r/>
            <w:r>
              <w:rPr>
                <w:b w:val="0"/>
                <w:i w:val="0"/>
                <w:sz w:val="16"/>
              </w:rPr>
              <w:t>1.879</w:t>
            </w:r>
          </w:p>
        </w:tc>
        <w:tc>
          <w:tcPr>
            <w:tcW w:type="dxa" w:w="1246"/>
          </w:tcPr>
          <w:p>
            <w:pPr>
              <w:jc w:val="center"/>
            </w:pPr>
            <w:r/>
            <w:r>
              <w:rPr>
                <w:b w:val="0"/>
                <w:i w:val="0"/>
                <w:sz w:val="16"/>
              </w:rPr>
              <w:t>-127</w:t>
            </w:r>
          </w:p>
        </w:tc>
        <w:tc>
          <w:tcPr>
            <w:tcW w:type="dxa" w:w="1246"/>
          </w:tcPr>
          <w:p>
            <w:pPr>
              <w:jc w:val="center"/>
            </w:pPr>
            <w:r/>
            <w:r>
              <w:rPr>
                <w:b w:val="0"/>
                <w:i w:val="0"/>
                <w:sz w:val="16"/>
              </w:rPr>
              <w:t>-6,8%</w:t>
            </w:r>
          </w:p>
        </w:tc>
        <w:tc>
          <w:tcPr>
            <w:tcW w:type="dxa" w:w="1246"/>
          </w:tcPr>
          <w:p>
            <w:pPr>
              <w:jc w:val="center"/>
            </w:pPr>
            <w:r/>
            <w:r>
              <w:rPr>
                <w:b w:val="0"/>
                <w:i w:val="0"/>
                <w:sz w:val="16"/>
              </w:rPr>
              <w:t>906</w:t>
            </w:r>
          </w:p>
        </w:tc>
      </w:tr>
      <w:tr>
        <w:tc>
          <w:tcPr>
            <w:tcW w:type="dxa" w:w="1246"/>
          </w:tcPr>
          <w:p>
            <w:r/>
            <w:r>
              <w:rPr>
                <w:b/>
                <w:i w:val="0"/>
                <w:sz w:val="16"/>
              </w:rPr>
              <w:t>FY3/2026</w:t>
            </w:r>
          </w:p>
        </w:tc>
        <w:tc>
          <w:tcPr>
            <w:tcW w:type="dxa" w:w="1246"/>
          </w:tcPr>
          <w:p>
            <w:pPr>
              <w:jc w:val="center"/>
            </w:pPr>
            <w:r/>
            <w:r>
              <w:rPr>
                <w:b w:val="0"/>
                <w:i w:val="0"/>
                <w:sz w:val="16"/>
              </w:rPr>
              <w:t>43.669</w:t>
            </w:r>
          </w:p>
        </w:tc>
        <w:tc>
          <w:tcPr>
            <w:tcW w:type="dxa" w:w="1246"/>
          </w:tcPr>
          <w:p>
            <w:pPr>
              <w:jc w:val="center"/>
            </w:pPr>
            <w:r/>
            <w:r>
              <w:rPr>
                <w:b w:val="0"/>
                <w:i w:val="0"/>
                <w:sz w:val="16"/>
              </w:rPr>
              <w:t>1.485</w:t>
            </w:r>
          </w:p>
        </w:tc>
        <w:tc>
          <w:tcPr>
            <w:tcW w:type="dxa" w:w="1246"/>
          </w:tcPr>
          <w:p>
            <w:pPr>
              <w:jc w:val="center"/>
            </w:pPr>
            <w:r/>
            <w:r>
              <w:rPr>
                <w:b w:val="0"/>
                <w:i w:val="0"/>
                <w:sz w:val="16"/>
              </w:rPr>
              <w:t>3,40%</w:t>
            </w:r>
          </w:p>
        </w:tc>
        <w:tc>
          <w:tcPr>
            <w:tcW w:type="dxa" w:w="1246"/>
          </w:tcPr>
          <w:p>
            <w:pPr>
              <w:jc w:val="center"/>
            </w:pPr>
            <w:r/>
            <w:r>
              <w:rPr>
                <w:b w:val="0"/>
                <w:i w:val="0"/>
                <w:sz w:val="16"/>
              </w:rPr>
              <w:t>1.910</w:t>
            </w:r>
          </w:p>
        </w:tc>
        <w:tc>
          <w:tcPr>
            <w:tcW w:type="dxa" w:w="1246"/>
          </w:tcPr>
          <w:p>
            <w:pPr>
              <w:jc w:val="center"/>
            </w:pPr>
            <w:r/>
            <w:r>
              <w:rPr>
                <w:b w:val="0"/>
                <w:i w:val="0"/>
                <w:sz w:val="16"/>
              </w:rPr>
              <w:t>5</w:t>
            </w:r>
          </w:p>
        </w:tc>
        <w:tc>
          <w:tcPr>
            <w:tcW w:type="dxa" w:w="1246"/>
          </w:tcPr>
          <w:p>
            <w:pPr>
              <w:jc w:val="center"/>
            </w:pPr>
            <w:r/>
            <w:r>
              <w:rPr>
                <w:b w:val="0"/>
                <w:i w:val="0"/>
                <w:sz w:val="16"/>
              </w:rPr>
              <w:t>0,3%</w:t>
            </w:r>
          </w:p>
        </w:tc>
        <w:tc>
          <w:tcPr>
            <w:tcW w:type="dxa" w:w="1246"/>
          </w:tcPr>
          <w:p>
            <w:pPr>
              <w:jc w:val="center"/>
            </w:pPr>
            <w:r/>
            <w:r>
              <w:rPr>
                <w:b w:val="0"/>
                <w:i w:val="0"/>
                <w:sz w:val="16"/>
              </w:rPr>
              <w:t>1.456</w:t>
            </w:r>
          </w:p>
        </w:tc>
      </w:tr>
    </w:tbl>
    <w:p/>
    <w:p>
      <w:r>
        <w:rPr>
          <w:b w:val="0"/>
          <w:i/>
          <w:color w:val="555555"/>
          <w:sz w:val="17"/>
        </w:rPr>
        <w:t>[Fuente: Notas de segmentos: Yuho FY3/2021 (F_2020.pdf, presentado jun-2021) p.53; Yuho FY3/2022 (F_2021.pdf, presentado jun-2022) p.9; Yuho FY3/2023 (F_2022.pdf, presentado jun-2023) p.9; Yuho FY3/2024 (F_2023.pdf, presentado jun-2024) p.9; Yuho FY3/2025 (F_2024.pdf, presentado jun-2025) p.9; Yuho FY3/2026 (F_2025.pdf, 25-jun-2026) p.57-58. Ventas a clientes externos; BO = beneficio operativo del segmento antes de ajustes corporativos.]</w:t>
      </w:r>
    </w:p>
    <w:p>
      <w:r>
        <w:rPr>
          <w:b/>
          <w:i w:val="0"/>
        </w:rPr>
        <w:t>Lectura:</w:t>
      </w:r>
      <w:r>
        <w:rPr>
          <w:b w:val="0"/>
          <w:i w:val="0"/>
        </w:rPr>
        <w:t xml:space="preserve"> 🟢 El segmento piensos ha </w:t>
      </w:r>
      <w:r>
        <w:rPr>
          <w:b/>
          <w:i w:val="0"/>
        </w:rPr>
        <w:t>casi duplicado su margen</w:t>
      </w:r>
      <w:r>
        <w:rPr>
          <w:b w:val="0"/>
          <w:i w:val="0"/>
        </w:rPr>
        <w:t xml:space="preserve"> (de 0,5% en FY3/2023 a 3,4% en FY3/2026) gracias a la bajada del grano y a que la empresa trasladó precios con retraso a la baja. 🔴 El segmento ganadero acumula pérdidas operativas en 4 de los últimos 5 años y deterioros por 1.445 M JPY en tres ejercicios (168 + 644 + 633). 🟡 El primer trimestre de FY3/2027 mantiene la mejora: piensos +21,7% en BO y ganadería 60 M JPY de beneficio.</w:t>
      </w:r>
    </w:p>
    <w:p>
      <w:r>
        <w:rPr>
          <w:b w:val="0"/>
          <w:i/>
          <w:color w:val="555555"/>
          <w:sz w:val="17"/>
        </w:rPr>
        <w:t>[Fuente: Kessan Tanshin 1T FY3/2027 (Q1_2026.pdf, 12-ago-2026), p.4 y p.8]</w:t>
      </w:r>
    </w:p>
    <w:p>
      <w:pPr>
        <w:pStyle w:val="Heading1"/>
      </w:pPr>
      <w:r>
        <w:t>1.3 Segmentación de Ingresos</w:t>
      </w:r>
    </w:p>
    <w:p>
      <w:pPr>
        <w:pStyle w:val="Heading2"/>
      </w:pPr>
      <w:r>
        <w:t>Por segmento</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A5F"/>
          </w:tcPr>
          <w:p>
            <w:r/>
            <w:r>
              <w:rPr>
                <w:b/>
                <w:color w:val="FFFFFF"/>
                <w:sz w:val="17"/>
              </w:rPr>
              <w:t>Segmento</w:t>
            </w:r>
          </w:p>
        </w:tc>
        <w:tc>
          <w:tcPr>
            <w:tcW w:type="dxa" w:w="1108"/>
            <w:shd w:val="clear" w:color="auto" w:fill="1F3A5F"/>
          </w:tcPr>
          <w:p>
            <w:r/>
            <w:r>
              <w:rPr>
                <w:b/>
                <w:color w:val="FFFFFF"/>
                <w:sz w:val="17"/>
              </w:rPr>
              <w:t>FY3/2024</w:t>
            </w:r>
          </w:p>
        </w:tc>
        <w:tc>
          <w:tcPr>
            <w:tcW w:type="dxa" w:w="1108"/>
            <w:shd w:val="clear" w:color="auto" w:fill="1F3A5F"/>
          </w:tcPr>
          <w:p>
            <w:r/>
            <w:r>
              <w:rPr>
                <w:b/>
                <w:color w:val="FFFFFF"/>
                <w:sz w:val="17"/>
              </w:rPr>
              <w:t>%</w:t>
            </w:r>
          </w:p>
        </w:tc>
        <w:tc>
          <w:tcPr>
            <w:tcW w:type="dxa" w:w="1108"/>
            <w:shd w:val="clear" w:color="auto" w:fill="1F3A5F"/>
          </w:tcPr>
          <w:p>
            <w:r/>
            <w:r>
              <w:rPr>
                <w:b/>
                <w:color w:val="FFFFFF"/>
                <w:sz w:val="17"/>
              </w:rPr>
              <w:t>FY3/2025</w:t>
            </w:r>
          </w:p>
        </w:tc>
        <w:tc>
          <w:tcPr>
            <w:tcW w:type="dxa" w:w="1108"/>
            <w:shd w:val="clear" w:color="auto" w:fill="1F3A5F"/>
          </w:tcPr>
          <w:p>
            <w:r/>
            <w:r>
              <w:rPr>
                <w:b/>
                <w:color w:val="FFFFFF"/>
                <w:sz w:val="17"/>
              </w:rPr>
              <w:t>%</w:t>
            </w:r>
          </w:p>
        </w:tc>
        <w:tc>
          <w:tcPr>
            <w:tcW w:type="dxa" w:w="1108"/>
            <w:shd w:val="clear" w:color="auto" w:fill="1F3A5F"/>
          </w:tcPr>
          <w:p>
            <w:r/>
            <w:r>
              <w:rPr>
                <w:b/>
                <w:color w:val="FFFFFF"/>
                <w:sz w:val="17"/>
              </w:rPr>
              <w:t>FY3/2026</w:t>
            </w:r>
          </w:p>
        </w:tc>
        <w:tc>
          <w:tcPr>
            <w:tcW w:type="dxa" w:w="1108"/>
            <w:shd w:val="clear" w:color="auto" w:fill="1F3A5F"/>
          </w:tcPr>
          <w:p>
            <w:r/>
            <w:r>
              <w:rPr>
                <w:b/>
                <w:color w:val="FFFFFF"/>
                <w:sz w:val="17"/>
              </w:rPr>
              <w:t>%</w:t>
            </w:r>
          </w:p>
        </w:tc>
        <w:tc>
          <w:tcPr>
            <w:tcW w:type="dxa" w:w="1108"/>
            <w:shd w:val="clear" w:color="auto" w:fill="1F3A5F"/>
          </w:tcPr>
          <w:p>
            <w:r/>
            <w:r>
              <w:rPr>
                <w:b/>
                <w:color w:val="FFFFFF"/>
                <w:sz w:val="17"/>
              </w:rPr>
              <w:t>1T FY3/2027</w:t>
            </w:r>
          </w:p>
        </w:tc>
        <w:tc>
          <w:tcPr>
            <w:tcW w:type="dxa" w:w="1108"/>
            <w:shd w:val="clear" w:color="auto" w:fill="1F3A5F"/>
          </w:tcPr>
          <w:p>
            <w:r/>
            <w:r>
              <w:rPr>
                <w:b/>
                <w:color w:val="FFFFFF"/>
                <w:sz w:val="17"/>
              </w:rPr>
              <w:t>%</w:t>
            </w:r>
          </w:p>
        </w:tc>
      </w:tr>
      <w:tr>
        <w:tc>
          <w:tcPr>
            <w:tcW w:type="dxa" w:w="1108"/>
          </w:tcPr>
          <w:p>
            <w:r/>
            <w:r>
              <w:rPr>
                <w:b/>
                <w:i w:val="0"/>
                <w:sz w:val="17"/>
              </w:rPr>
              <w:t>Piensos</w:t>
            </w:r>
          </w:p>
        </w:tc>
        <w:tc>
          <w:tcPr>
            <w:tcW w:type="dxa" w:w="1108"/>
          </w:tcPr>
          <w:p>
            <w:pPr>
              <w:jc w:val="center"/>
            </w:pPr>
            <w:r/>
            <w:r>
              <w:rPr>
                <w:b w:val="0"/>
                <w:i w:val="0"/>
                <w:sz w:val="17"/>
              </w:rPr>
              <w:t>51.157</w:t>
            </w:r>
          </w:p>
        </w:tc>
        <w:tc>
          <w:tcPr>
            <w:tcW w:type="dxa" w:w="1108"/>
          </w:tcPr>
          <w:p>
            <w:pPr>
              <w:jc w:val="center"/>
            </w:pPr>
            <w:r/>
            <w:r>
              <w:rPr>
                <w:b w:val="0"/>
                <w:i w:val="0"/>
                <w:sz w:val="17"/>
              </w:rPr>
              <w:t>96,7%</w:t>
            </w:r>
          </w:p>
        </w:tc>
        <w:tc>
          <w:tcPr>
            <w:tcW w:type="dxa" w:w="1108"/>
          </w:tcPr>
          <w:p>
            <w:pPr>
              <w:jc w:val="center"/>
            </w:pPr>
            <w:r/>
            <w:r>
              <w:rPr>
                <w:b w:val="0"/>
                <w:i w:val="0"/>
                <w:sz w:val="17"/>
              </w:rPr>
              <w:t>46.698</w:t>
            </w:r>
          </w:p>
        </w:tc>
        <w:tc>
          <w:tcPr>
            <w:tcW w:type="dxa" w:w="1108"/>
          </w:tcPr>
          <w:p>
            <w:pPr>
              <w:jc w:val="center"/>
            </w:pPr>
            <w:r/>
            <w:r>
              <w:rPr>
                <w:b w:val="0"/>
                <w:i w:val="0"/>
                <w:sz w:val="17"/>
              </w:rPr>
              <w:t>96,1%</w:t>
            </w:r>
          </w:p>
        </w:tc>
        <w:tc>
          <w:tcPr>
            <w:tcW w:type="dxa" w:w="1108"/>
          </w:tcPr>
          <w:p>
            <w:pPr>
              <w:jc w:val="center"/>
            </w:pPr>
            <w:r/>
            <w:r>
              <w:rPr>
                <w:b w:val="0"/>
                <w:i w:val="0"/>
                <w:sz w:val="17"/>
              </w:rPr>
              <w:t>43.669</w:t>
            </w:r>
          </w:p>
        </w:tc>
        <w:tc>
          <w:tcPr>
            <w:tcW w:type="dxa" w:w="1108"/>
          </w:tcPr>
          <w:p>
            <w:pPr>
              <w:jc w:val="center"/>
            </w:pPr>
            <w:r/>
            <w:r>
              <w:rPr>
                <w:b w:val="0"/>
                <w:i w:val="0"/>
                <w:sz w:val="17"/>
              </w:rPr>
              <w:t>95,8%</w:t>
            </w:r>
          </w:p>
        </w:tc>
        <w:tc>
          <w:tcPr>
            <w:tcW w:type="dxa" w:w="1108"/>
          </w:tcPr>
          <w:p>
            <w:pPr>
              <w:jc w:val="center"/>
            </w:pPr>
            <w:r/>
            <w:r>
              <w:rPr>
                <w:b w:val="0"/>
                <w:i w:val="0"/>
                <w:sz w:val="17"/>
              </w:rPr>
              <w:t>11.252</w:t>
            </w:r>
          </w:p>
        </w:tc>
        <w:tc>
          <w:tcPr>
            <w:tcW w:type="dxa" w:w="1108"/>
          </w:tcPr>
          <w:p>
            <w:pPr>
              <w:jc w:val="center"/>
            </w:pPr>
            <w:r/>
            <w:r>
              <w:rPr>
                <w:b w:val="0"/>
                <w:i w:val="0"/>
                <w:sz w:val="17"/>
              </w:rPr>
              <w:t>95,6%</w:t>
            </w:r>
          </w:p>
        </w:tc>
      </w:tr>
      <w:tr>
        <w:tc>
          <w:tcPr>
            <w:tcW w:type="dxa" w:w="1108"/>
          </w:tcPr>
          <w:p>
            <w:r/>
            <w:r>
              <w:rPr>
                <w:b/>
                <w:i w:val="0"/>
                <w:sz w:val="17"/>
              </w:rPr>
              <w:t>Ganadería</w:t>
            </w:r>
          </w:p>
        </w:tc>
        <w:tc>
          <w:tcPr>
            <w:tcW w:type="dxa" w:w="1108"/>
          </w:tcPr>
          <w:p>
            <w:pPr>
              <w:jc w:val="center"/>
            </w:pPr>
            <w:r/>
            <w:r>
              <w:rPr>
                <w:b w:val="0"/>
                <w:i w:val="0"/>
                <w:sz w:val="17"/>
              </w:rPr>
              <w:t>1.729</w:t>
            </w:r>
          </w:p>
        </w:tc>
        <w:tc>
          <w:tcPr>
            <w:tcW w:type="dxa" w:w="1108"/>
          </w:tcPr>
          <w:p>
            <w:pPr>
              <w:jc w:val="center"/>
            </w:pPr>
            <w:r/>
            <w:r>
              <w:rPr>
                <w:b w:val="0"/>
                <w:i w:val="0"/>
                <w:sz w:val="17"/>
              </w:rPr>
              <w:t>3,3%</w:t>
            </w:r>
          </w:p>
        </w:tc>
        <w:tc>
          <w:tcPr>
            <w:tcW w:type="dxa" w:w="1108"/>
          </w:tcPr>
          <w:p>
            <w:pPr>
              <w:jc w:val="center"/>
            </w:pPr>
            <w:r/>
            <w:r>
              <w:rPr>
                <w:b w:val="0"/>
                <w:i w:val="0"/>
                <w:sz w:val="17"/>
              </w:rPr>
              <w:t>1.879</w:t>
            </w:r>
          </w:p>
        </w:tc>
        <w:tc>
          <w:tcPr>
            <w:tcW w:type="dxa" w:w="1108"/>
          </w:tcPr>
          <w:p>
            <w:pPr>
              <w:jc w:val="center"/>
            </w:pPr>
            <w:r/>
            <w:r>
              <w:rPr>
                <w:b w:val="0"/>
                <w:i w:val="0"/>
                <w:sz w:val="17"/>
              </w:rPr>
              <w:t>3,9%</w:t>
            </w:r>
          </w:p>
        </w:tc>
        <w:tc>
          <w:tcPr>
            <w:tcW w:type="dxa" w:w="1108"/>
          </w:tcPr>
          <w:p>
            <w:pPr>
              <w:jc w:val="center"/>
            </w:pPr>
            <w:r/>
            <w:r>
              <w:rPr>
                <w:b w:val="0"/>
                <w:i w:val="0"/>
                <w:sz w:val="17"/>
              </w:rPr>
              <w:t>1.910</w:t>
            </w:r>
          </w:p>
        </w:tc>
        <w:tc>
          <w:tcPr>
            <w:tcW w:type="dxa" w:w="1108"/>
          </w:tcPr>
          <w:p>
            <w:pPr>
              <w:jc w:val="center"/>
            </w:pPr>
            <w:r/>
            <w:r>
              <w:rPr>
                <w:b w:val="0"/>
                <w:i w:val="0"/>
                <w:sz w:val="17"/>
              </w:rPr>
              <w:t>4,2%</w:t>
            </w:r>
          </w:p>
        </w:tc>
        <w:tc>
          <w:tcPr>
            <w:tcW w:type="dxa" w:w="1108"/>
          </w:tcPr>
          <w:p>
            <w:pPr>
              <w:jc w:val="center"/>
            </w:pPr>
            <w:r/>
            <w:r>
              <w:rPr>
                <w:b w:val="0"/>
                <w:i w:val="0"/>
                <w:sz w:val="17"/>
              </w:rPr>
              <w:t>512</w:t>
            </w:r>
          </w:p>
        </w:tc>
        <w:tc>
          <w:tcPr>
            <w:tcW w:type="dxa" w:w="1108"/>
          </w:tcPr>
          <w:p>
            <w:pPr>
              <w:jc w:val="center"/>
            </w:pPr>
            <w:r/>
            <w:r>
              <w:rPr>
                <w:b w:val="0"/>
                <w:i w:val="0"/>
                <w:sz w:val="17"/>
              </w:rPr>
              <w:t>4,4%</w:t>
            </w:r>
          </w:p>
        </w:tc>
      </w:tr>
      <w:tr>
        <w:tc>
          <w:tcPr>
            <w:tcW w:type="dxa" w:w="1108"/>
          </w:tcPr>
          <w:p>
            <w:r/>
            <w:r>
              <w:rPr>
                <w:b/>
                <w:i w:val="0"/>
                <w:sz w:val="17"/>
              </w:rPr>
              <w:t>Total</w:t>
            </w:r>
          </w:p>
        </w:tc>
        <w:tc>
          <w:tcPr>
            <w:tcW w:type="dxa" w:w="1108"/>
          </w:tcPr>
          <w:p>
            <w:pPr>
              <w:jc w:val="center"/>
            </w:pPr>
            <w:r/>
            <w:r>
              <w:rPr>
                <w:b w:val="0"/>
                <w:i w:val="0"/>
                <w:sz w:val="17"/>
              </w:rPr>
              <w:t>52.887</w:t>
            </w:r>
          </w:p>
        </w:tc>
        <w:tc>
          <w:tcPr>
            <w:tcW w:type="dxa" w:w="1108"/>
          </w:tcPr>
          <w:p>
            <w:pPr>
              <w:jc w:val="center"/>
            </w:pPr>
            <w:r/>
            <w:r>
              <w:rPr>
                <w:b w:val="0"/>
                <w:i w:val="0"/>
                <w:sz w:val="17"/>
              </w:rPr>
              <w:t>100%</w:t>
            </w:r>
          </w:p>
        </w:tc>
        <w:tc>
          <w:tcPr>
            <w:tcW w:type="dxa" w:w="1108"/>
          </w:tcPr>
          <w:p>
            <w:pPr>
              <w:jc w:val="center"/>
            </w:pPr>
            <w:r/>
            <w:r>
              <w:rPr>
                <w:b w:val="0"/>
                <w:i w:val="0"/>
                <w:sz w:val="17"/>
              </w:rPr>
              <w:t>48.577</w:t>
            </w:r>
          </w:p>
        </w:tc>
        <w:tc>
          <w:tcPr>
            <w:tcW w:type="dxa" w:w="1108"/>
          </w:tcPr>
          <w:p>
            <w:pPr>
              <w:jc w:val="center"/>
            </w:pPr>
            <w:r/>
            <w:r>
              <w:rPr>
                <w:b w:val="0"/>
                <w:i w:val="0"/>
                <w:sz w:val="17"/>
              </w:rPr>
              <w:t>100%</w:t>
            </w:r>
          </w:p>
        </w:tc>
        <w:tc>
          <w:tcPr>
            <w:tcW w:type="dxa" w:w="1108"/>
          </w:tcPr>
          <w:p>
            <w:pPr>
              <w:jc w:val="center"/>
            </w:pPr>
            <w:r/>
            <w:r>
              <w:rPr>
                <w:b w:val="0"/>
                <w:i w:val="0"/>
                <w:sz w:val="17"/>
              </w:rPr>
              <w:t>45.579</w:t>
            </w:r>
          </w:p>
        </w:tc>
        <w:tc>
          <w:tcPr>
            <w:tcW w:type="dxa" w:w="1108"/>
          </w:tcPr>
          <w:p>
            <w:pPr>
              <w:jc w:val="center"/>
            </w:pPr>
            <w:r/>
            <w:r>
              <w:rPr>
                <w:b w:val="0"/>
                <w:i w:val="0"/>
                <w:sz w:val="17"/>
              </w:rPr>
              <w:t>100%</w:t>
            </w:r>
          </w:p>
        </w:tc>
        <w:tc>
          <w:tcPr>
            <w:tcW w:type="dxa" w:w="1108"/>
          </w:tcPr>
          <w:p>
            <w:pPr>
              <w:jc w:val="center"/>
            </w:pPr>
            <w:r/>
            <w:r>
              <w:rPr>
                <w:b w:val="0"/>
                <w:i w:val="0"/>
                <w:sz w:val="17"/>
              </w:rPr>
              <w:t>11.764</w:t>
            </w:r>
          </w:p>
        </w:tc>
        <w:tc>
          <w:tcPr>
            <w:tcW w:type="dxa" w:w="1108"/>
          </w:tcPr>
          <w:p>
            <w:pPr>
              <w:jc w:val="center"/>
            </w:pPr>
            <w:r/>
            <w:r>
              <w:rPr>
                <w:b w:val="0"/>
                <w:i w:val="0"/>
                <w:sz w:val="17"/>
              </w:rPr>
              <w:t>100%</w:t>
            </w:r>
          </w:p>
        </w:tc>
      </w:tr>
    </w:tbl>
    <w:p/>
    <w:p>
      <w:r>
        <w:rPr>
          <w:b w:val="0"/>
          <w:i/>
          <w:color w:val="555555"/>
          <w:sz w:val="17"/>
        </w:rPr>
        <w:t>[Fuente: Yuho FY3/2026 (F_2025.pdf, 25-jun-2026), p.57-58; Yuho FY3/2024 (F_2023.pdf, presentado jun-2024), p.9; Kessan Tanshin 1T FY3/2027 (Q1_2026.pdf, 12-ago-2026), p.8]</w:t>
      </w:r>
    </w:p>
    <w:p>
      <w:pPr>
        <w:pStyle w:val="Heading2"/>
      </w:pPr>
      <w:r>
        <w:t>Por geografía</w:t>
      </w:r>
    </w:p>
    <w:p>
      <w:r>
        <w:rPr>
          <w:b w:val="0"/>
          <w:i w:val="0"/>
        </w:rPr>
        <w:t xml:space="preserve">🔍 </w:t>
      </w:r>
      <w:r>
        <w:rPr>
          <w:b/>
          <w:i w:val="0"/>
        </w:rPr>
        <w:t>100% Japón.</w:t>
      </w:r>
      <w:r>
        <w:rPr>
          <w:b w:val="0"/>
          <w:i w:val="0"/>
        </w:rPr>
        <w:t xml:space="preserve"> «No hay ventas a clientes externos fuera de Japón» y no hay activos fijos fuera de Japón. La exposición internacional está en el </w:t>
      </w:r>
      <w:r>
        <w:rPr>
          <w:b/>
          <w:i w:val="0"/>
        </w:rPr>
        <w:t>lado del coste</w:t>
      </w:r>
      <w:r>
        <w:rPr>
          <w:b w:val="0"/>
          <w:i w:val="0"/>
        </w:rPr>
        <w:t>: la mayoría de las materias primas son importadas (maíz de EE. UU. y Brasil, harina de soja), con precios indexados a la bolsa de Chicago y pagados en USD.</w:t>
      </w:r>
    </w:p>
    <w:p>
      <w:r>
        <w:rPr>
          <w:b w:val="0"/>
          <w:i/>
          <w:color w:val="555555"/>
          <w:sz w:val="17"/>
        </w:rPr>
        <w:t>[Fuente: Yuho FY3/2026 (F_2025.pdf, 25-jun-2026), p.59 «関連情報»; p.7 «事業等のリスク» (1) y (2)]</w:t>
      </w:r>
    </w:p>
    <w:p>
      <w:r>
        <w:rPr>
          <w:b w:val="0"/>
          <w:i w:val="0"/>
        </w:rPr>
        <w:t xml:space="preserve">💡 Por la ubicación de las fábricas, la distribución regional aproximada del negocio sería: </w:t>
      </w:r>
      <w:r>
        <w:rPr>
          <w:b/>
          <w:i w:val="0"/>
        </w:rPr>
        <w:t>Kyushu</w:t>
      </w:r>
      <w:r>
        <w:rPr>
          <w:b w:val="0"/>
          <w:i w:val="0"/>
        </w:rPr>
        <w:t xml:space="preserve"> (Kagoshima + oficina de Nagasaki), </w:t>
      </w:r>
      <w:r>
        <w:rPr>
          <w:b/>
          <w:i w:val="0"/>
        </w:rPr>
        <w:t>Chugoku-Shikoku</w:t>
      </w:r>
      <w:r>
        <w:rPr>
          <w:b w:val="0"/>
          <w:i w:val="0"/>
        </w:rPr>
        <w:t xml:space="preserve"> (Mihara + Sakaide), </w:t>
      </w:r>
      <w:r>
        <w:rPr>
          <w:b/>
          <w:i w:val="0"/>
        </w:rPr>
        <w:t>Kansai</w:t>
      </w:r>
      <w:r>
        <w:rPr>
          <w:b w:val="0"/>
          <w:i w:val="0"/>
        </w:rPr>
        <w:t xml:space="preserve"> (Kobe) y </w:t>
      </w:r>
      <w:r>
        <w:rPr>
          <w:b/>
          <w:i w:val="0"/>
        </w:rPr>
        <w:t>Tohoku</w:t>
      </w:r>
      <w:r>
        <w:rPr>
          <w:b w:val="0"/>
          <w:i w:val="0"/>
        </w:rPr>
        <w:t xml:space="preserve"> (Hachinohe, con producción adicional en Michinoku Shiryo). Kagoshima, Miyazaki y Aomori/Iwate están entre las grandes zonas ganaderas de Japón (porcino, broiler, vacuno de carne). La empresa no publica este desglose.</w:t>
      </w:r>
    </w:p>
    <w:p>
      <w:pPr>
        <w:pStyle w:val="Heading2"/>
      </w:pPr>
      <w:r>
        <w:t>Por cliente</w:t>
      </w:r>
    </w:p>
    <w:p>
      <w:r>
        <w:rPr>
          <w:b w:val="0"/>
          <w:i w:val="0"/>
        </w:rPr>
        <w:t xml:space="preserve">🔍 </w:t>
      </w:r>
      <w:r>
        <w:rPr>
          <w:b/>
          <w:i w:val="0"/>
        </w:rPr>
        <w:t>Ningún cliente supera el 10% de las ventas.</w:t>
      </w:r>
      <w:r>
        <w:rPr>
          <w:b w:val="0"/>
          <w:i w:val="0"/>
        </w:rPr>
        <w:t xml:space="preserve"> La base de clientes son explotaciones ganaderas, integradoras avícolas y distribuidores (特約店). Algunos clientes relevantes son también accionistas: </w:t>
      </w:r>
      <w:r>
        <w:rPr>
          <w:b/>
          <w:i w:val="0"/>
        </w:rPr>
        <w:t>Jumonji Chicken Company</w:t>
      </w:r>
      <w:r>
        <w:rPr>
          <w:b w:val="0"/>
          <w:i w:val="0"/>
        </w:rPr>
        <w:t xml:space="preserve"> (integradora de pollos de Iwate y mayor accionista, con un 8,70%) refleja la relación comercial de Hachinohe con la cadena avícola de Tohoku. ⚠️ Esto último es una inferencia a partir del registro de accionistas, no un dato publicado de ventas.</w:t>
      </w:r>
    </w:p>
    <w:p>
      <w:r>
        <w:rPr>
          <w:b w:val="0"/>
          <w:i/>
          <w:color w:val="555555"/>
          <w:sz w:val="17"/>
        </w:rPr>
        <w:t>[Fuente: Yuho FY3/2026 (F_2025.pdf, 25-jun-2026), p.9 «販売実績» nota 2 y p.15 «大株主の状況»]</w:t>
      </w:r>
    </w:p>
    <w:p>
      <w:pPr>
        <w:pStyle w:val="Heading1"/>
      </w:pPr>
      <w:r>
        <w:t>1.4 KPIs Clave del Negocio</w:t>
      </w:r>
    </w:p>
    <w:p>
      <w:r>
        <w:rPr>
          <w:b w:val="0"/>
          <w:i w:val="0"/>
        </w:rPr>
        <w:t>Nichiwa no publica KPIs operativos (toneladas, precio medio por tonelada, cuota de mercado ni utilización de capacidad). Esta tabla reúne los indicadores que sí se pueden extraer de los informes anuales y que explican el negocio.</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A5F"/>
          </w:tcPr>
          <w:p>
            <w:r/>
            <w:r>
              <w:rPr>
                <w:b/>
                <w:color w:val="FFFFFF"/>
                <w:sz w:val="16"/>
              </w:rPr>
              <w:t>KPI</w:t>
            </w:r>
          </w:p>
        </w:tc>
        <w:tc>
          <w:tcPr>
            <w:tcW w:type="dxa" w:w="1425"/>
            <w:shd w:val="clear" w:color="auto" w:fill="1F3A5F"/>
          </w:tcPr>
          <w:p>
            <w:r/>
            <w:r>
              <w:rPr>
                <w:b/>
                <w:color w:val="FFFFFF"/>
                <w:sz w:val="16"/>
              </w:rPr>
              <w:t>FY3/2021</w:t>
            </w:r>
          </w:p>
        </w:tc>
        <w:tc>
          <w:tcPr>
            <w:tcW w:type="dxa" w:w="1425"/>
            <w:shd w:val="clear" w:color="auto" w:fill="1F3A5F"/>
          </w:tcPr>
          <w:p>
            <w:r/>
            <w:r>
              <w:rPr>
                <w:b/>
                <w:color w:val="FFFFFF"/>
                <w:sz w:val="16"/>
              </w:rPr>
              <w:t>FY3/2022</w:t>
            </w:r>
          </w:p>
        </w:tc>
        <w:tc>
          <w:tcPr>
            <w:tcW w:type="dxa" w:w="1425"/>
            <w:shd w:val="clear" w:color="auto" w:fill="1F3A5F"/>
          </w:tcPr>
          <w:p>
            <w:r/>
            <w:r>
              <w:rPr>
                <w:b/>
                <w:color w:val="FFFFFF"/>
                <w:sz w:val="16"/>
              </w:rPr>
              <w:t>FY3/2023</w:t>
            </w:r>
          </w:p>
        </w:tc>
        <w:tc>
          <w:tcPr>
            <w:tcW w:type="dxa" w:w="1425"/>
            <w:shd w:val="clear" w:color="auto" w:fill="1F3A5F"/>
          </w:tcPr>
          <w:p>
            <w:r/>
            <w:r>
              <w:rPr>
                <w:b/>
                <w:color w:val="FFFFFF"/>
                <w:sz w:val="16"/>
              </w:rPr>
              <w:t>FY3/2024</w:t>
            </w:r>
          </w:p>
        </w:tc>
        <w:tc>
          <w:tcPr>
            <w:tcW w:type="dxa" w:w="1425"/>
            <w:shd w:val="clear" w:color="auto" w:fill="1F3A5F"/>
          </w:tcPr>
          <w:p>
            <w:r/>
            <w:r>
              <w:rPr>
                <w:b/>
                <w:color w:val="FFFFFF"/>
                <w:sz w:val="16"/>
              </w:rPr>
              <w:t>FY3/2025</w:t>
            </w:r>
          </w:p>
        </w:tc>
        <w:tc>
          <w:tcPr>
            <w:tcW w:type="dxa" w:w="1425"/>
            <w:shd w:val="clear" w:color="auto" w:fill="1F3A5F"/>
          </w:tcPr>
          <w:p>
            <w:r/>
            <w:r>
              <w:rPr>
                <w:b/>
                <w:color w:val="FFFFFF"/>
                <w:sz w:val="16"/>
              </w:rPr>
              <w:t>FY3/2026</w:t>
            </w:r>
          </w:p>
        </w:tc>
      </w:tr>
      <w:tr>
        <w:tc>
          <w:tcPr>
            <w:tcW w:type="dxa" w:w="1425"/>
          </w:tcPr>
          <w:p>
            <w:r/>
            <w:r>
              <w:rPr>
                <w:b/>
                <w:i w:val="0"/>
                <w:sz w:val="16"/>
              </w:rPr>
              <w:t>Ventas (M JPY)</w:t>
            </w:r>
          </w:p>
        </w:tc>
        <w:tc>
          <w:tcPr>
            <w:tcW w:type="dxa" w:w="1425"/>
          </w:tcPr>
          <w:p>
            <w:pPr>
              <w:jc w:val="center"/>
            </w:pPr>
            <w:r/>
            <w:r>
              <w:rPr>
                <w:b w:val="0"/>
                <w:i w:val="0"/>
                <w:sz w:val="16"/>
              </w:rPr>
              <w:t>39.901</w:t>
            </w:r>
          </w:p>
        </w:tc>
        <w:tc>
          <w:tcPr>
            <w:tcW w:type="dxa" w:w="1425"/>
          </w:tcPr>
          <w:p>
            <w:pPr>
              <w:jc w:val="center"/>
            </w:pPr>
            <w:r/>
            <w:r>
              <w:rPr>
                <w:b w:val="0"/>
                <w:i w:val="0"/>
                <w:sz w:val="16"/>
              </w:rPr>
              <w:t>44.906</w:t>
            </w:r>
          </w:p>
        </w:tc>
        <w:tc>
          <w:tcPr>
            <w:tcW w:type="dxa" w:w="1425"/>
          </w:tcPr>
          <w:p>
            <w:pPr>
              <w:jc w:val="center"/>
            </w:pPr>
            <w:r/>
            <w:r>
              <w:rPr>
                <w:b w:val="0"/>
                <w:i w:val="0"/>
                <w:sz w:val="16"/>
              </w:rPr>
              <w:t>54.659</w:t>
            </w:r>
          </w:p>
        </w:tc>
        <w:tc>
          <w:tcPr>
            <w:tcW w:type="dxa" w:w="1425"/>
          </w:tcPr>
          <w:p>
            <w:pPr>
              <w:jc w:val="center"/>
            </w:pPr>
            <w:r/>
            <w:r>
              <w:rPr>
                <w:b w:val="0"/>
                <w:i w:val="0"/>
                <w:sz w:val="16"/>
              </w:rPr>
              <w:t>52.887</w:t>
            </w:r>
          </w:p>
        </w:tc>
        <w:tc>
          <w:tcPr>
            <w:tcW w:type="dxa" w:w="1425"/>
          </w:tcPr>
          <w:p>
            <w:pPr>
              <w:jc w:val="center"/>
            </w:pPr>
            <w:r/>
            <w:r>
              <w:rPr>
                <w:b w:val="0"/>
                <w:i w:val="0"/>
                <w:sz w:val="16"/>
              </w:rPr>
              <w:t>48.577</w:t>
            </w:r>
          </w:p>
        </w:tc>
        <w:tc>
          <w:tcPr>
            <w:tcW w:type="dxa" w:w="1425"/>
          </w:tcPr>
          <w:p>
            <w:pPr>
              <w:jc w:val="center"/>
            </w:pPr>
            <w:r/>
            <w:r>
              <w:rPr>
                <w:b w:val="0"/>
                <w:i w:val="0"/>
                <w:sz w:val="16"/>
              </w:rPr>
              <w:t>45.579</w:t>
            </w:r>
          </w:p>
        </w:tc>
      </w:tr>
      <w:tr>
        <w:tc>
          <w:tcPr>
            <w:tcW w:type="dxa" w:w="1425"/>
          </w:tcPr>
          <w:p>
            <w:r/>
            <w:r>
              <w:rPr>
                <w:b/>
                <w:i w:val="0"/>
                <w:sz w:val="16"/>
              </w:rPr>
              <w:t>Margen bruto %</w:t>
            </w:r>
          </w:p>
        </w:tc>
        <w:tc>
          <w:tcPr>
            <w:tcW w:type="dxa" w:w="1425"/>
          </w:tcPr>
          <w:p>
            <w:pPr>
              <w:jc w:val="center"/>
            </w:pPr>
            <w:r/>
            <w:r>
              <w:rPr>
                <w:b w:val="0"/>
                <w:i w:val="0"/>
                <w:sz w:val="16"/>
              </w:rPr>
              <w:t>5,9%</w:t>
            </w:r>
          </w:p>
        </w:tc>
        <w:tc>
          <w:tcPr>
            <w:tcW w:type="dxa" w:w="1425"/>
          </w:tcPr>
          <w:p>
            <w:pPr>
              <w:jc w:val="center"/>
            </w:pPr>
            <w:r/>
            <w:r>
              <w:rPr>
                <w:b w:val="0"/>
                <w:i w:val="0"/>
                <w:sz w:val="16"/>
              </w:rPr>
              <w:t>5,5%</w:t>
            </w:r>
          </w:p>
        </w:tc>
        <w:tc>
          <w:tcPr>
            <w:tcW w:type="dxa" w:w="1425"/>
          </w:tcPr>
          <w:p>
            <w:pPr>
              <w:jc w:val="center"/>
            </w:pPr>
            <w:r/>
            <w:r>
              <w:rPr>
                <w:b w:val="0"/>
                <w:i w:val="0"/>
                <w:sz w:val="16"/>
              </w:rPr>
              <w:t>4,4%</w:t>
            </w:r>
          </w:p>
        </w:tc>
        <w:tc>
          <w:tcPr>
            <w:tcW w:type="dxa" w:w="1425"/>
          </w:tcPr>
          <w:p>
            <w:pPr>
              <w:jc w:val="center"/>
            </w:pPr>
            <w:r/>
            <w:r>
              <w:rPr>
                <w:b w:val="0"/>
                <w:i w:val="0"/>
                <w:sz w:val="16"/>
              </w:rPr>
              <w:t>5,9%</w:t>
            </w:r>
          </w:p>
        </w:tc>
        <w:tc>
          <w:tcPr>
            <w:tcW w:type="dxa" w:w="1425"/>
          </w:tcPr>
          <w:p>
            <w:pPr>
              <w:jc w:val="center"/>
            </w:pPr>
            <w:r/>
            <w:r>
              <w:rPr>
                <w:b w:val="0"/>
                <w:i w:val="0"/>
                <w:sz w:val="16"/>
              </w:rPr>
              <w:t>7,3%</w:t>
            </w:r>
          </w:p>
        </w:tc>
        <w:tc>
          <w:tcPr>
            <w:tcW w:type="dxa" w:w="1425"/>
          </w:tcPr>
          <w:p>
            <w:pPr>
              <w:jc w:val="center"/>
            </w:pPr>
            <w:r/>
            <w:r>
              <w:rPr>
                <w:b w:val="0"/>
                <w:i w:val="0"/>
                <w:sz w:val="16"/>
              </w:rPr>
              <w:t>9,1%</w:t>
            </w:r>
          </w:p>
        </w:tc>
      </w:tr>
      <w:tr>
        <w:tc>
          <w:tcPr>
            <w:tcW w:type="dxa" w:w="1425"/>
          </w:tcPr>
          <w:p>
            <w:r/>
            <w:r>
              <w:rPr>
                <w:b/>
                <w:i w:val="0"/>
                <w:sz w:val="16"/>
              </w:rPr>
              <w:t>BO piensos (M JPY)</w:t>
            </w:r>
          </w:p>
        </w:tc>
        <w:tc>
          <w:tcPr>
            <w:tcW w:type="dxa" w:w="1425"/>
          </w:tcPr>
          <w:p>
            <w:pPr>
              <w:jc w:val="center"/>
            </w:pPr>
            <w:r/>
            <w:r>
              <w:rPr>
                <w:b w:val="0"/>
                <w:i w:val="0"/>
                <w:sz w:val="16"/>
              </w:rPr>
              <w:t>767</w:t>
            </w:r>
          </w:p>
        </w:tc>
        <w:tc>
          <w:tcPr>
            <w:tcW w:type="dxa" w:w="1425"/>
          </w:tcPr>
          <w:p>
            <w:pPr>
              <w:jc w:val="center"/>
            </w:pPr>
            <w:r/>
            <w:r>
              <w:rPr>
                <w:b w:val="0"/>
                <w:i w:val="0"/>
                <w:sz w:val="16"/>
              </w:rPr>
              <w:t>624</w:t>
            </w:r>
          </w:p>
        </w:tc>
        <w:tc>
          <w:tcPr>
            <w:tcW w:type="dxa" w:w="1425"/>
          </w:tcPr>
          <w:p>
            <w:pPr>
              <w:jc w:val="center"/>
            </w:pPr>
            <w:r/>
            <w:r>
              <w:rPr>
                <w:b w:val="0"/>
                <w:i w:val="0"/>
                <w:sz w:val="16"/>
              </w:rPr>
              <w:t>258</w:t>
            </w:r>
          </w:p>
        </w:tc>
        <w:tc>
          <w:tcPr>
            <w:tcW w:type="dxa" w:w="1425"/>
          </w:tcPr>
          <w:p>
            <w:pPr>
              <w:jc w:val="center"/>
            </w:pPr>
            <w:r/>
            <w:r>
              <w:rPr>
                <w:b w:val="0"/>
                <w:i w:val="0"/>
                <w:sz w:val="16"/>
              </w:rPr>
              <w:t>968</w:t>
            </w:r>
          </w:p>
        </w:tc>
        <w:tc>
          <w:tcPr>
            <w:tcW w:type="dxa" w:w="1425"/>
          </w:tcPr>
          <w:p>
            <w:pPr>
              <w:jc w:val="center"/>
            </w:pPr>
            <w:r/>
            <w:r>
              <w:rPr>
                <w:b w:val="0"/>
                <w:i w:val="0"/>
                <w:sz w:val="16"/>
              </w:rPr>
              <w:t>1.087</w:t>
            </w:r>
          </w:p>
        </w:tc>
        <w:tc>
          <w:tcPr>
            <w:tcW w:type="dxa" w:w="1425"/>
          </w:tcPr>
          <w:p>
            <w:pPr>
              <w:jc w:val="center"/>
            </w:pPr>
            <w:r/>
            <w:r>
              <w:rPr>
                <w:b w:val="0"/>
                <w:i w:val="0"/>
                <w:sz w:val="16"/>
              </w:rPr>
              <w:t>1.485</w:t>
            </w:r>
          </w:p>
        </w:tc>
      </w:tr>
      <w:tr>
        <w:tc>
          <w:tcPr>
            <w:tcW w:type="dxa" w:w="1425"/>
          </w:tcPr>
          <w:p>
            <w:r/>
            <w:r>
              <w:rPr>
                <w:b/>
                <w:i w:val="0"/>
                <w:sz w:val="16"/>
              </w:rPr>
              <w:t>BO ganadería (M JPY)</w:t>
            </w:r>
          </w:p>
        </w:tc>
        <w:tc>
          <w:tcPr>
            <w:tcW w:type="dxa" w:w="1425"/>
          </w:tcPr>
          <w:p>
            <w:pPr>
              <w:jc w:val="center"/>
            </w:pPr>
            <w:r/>
            <w:r>
              <w:rPr>
                <w:b w:val="0"/>
                <w:i w:val="0"/>
                <w:sz w:val="16"/>
              </w:rPr>
              <w:t>141</w:t>
            </w:r>
          </w:p>
        </w:tc>
        <w:tc>
          <w:tcPr>
            <w:tcW w:type="dxa" w:w="1425"/>
          </w:tcPr>
          <w:p>
            <w:pPr>
              <w:jc w:val="center"/>
            </w:pPr>
            <w:r/>
            <w:r>
              <w:rPr>
                <w:b w:val="0"/>
                <w:i w:val="0"/>
                <w:sz w:val="16"/>
              </w:rPr>
              <w:t>-2</w:t>
            </w:r>
          </w:p>
        </w:tc>
        <w:tc>
          <w:tcPr>
            <w:tcW w:type="dxa" w:w="1425"/>
          </w:tcPr>
          <w:p>
            <w:pPr>
              <w:jc w:val="center"/>
            </w:pPr>
            <w:r/>
            <w:r>
              <w:rPr>
                <w:b w:val="0"/>
                <w:i w:val="0"/>
                <w:sz w:val="16"/>
              </w:rPr>
              <w:t>-123</w:t>
            </w:r>
          </w:p>
        </w:tc>
        <w:tc>
          <w:tcPr>
            <w:tcW w:type="dxa" w:w="1425"/>
          </w:tcPr>
          <w:p>
            <w:pPr>
              <w:jc w:val="center"/>
            </w:pPr>
            <w:r/>
            <w:r>
              <w:rPr>
                <w:b w:val="0"/>
                <w:i w:val="0"/>
                <w:sz w:val="16"/>
              </w:rPr>
              <w:t>-249</w:t>
            </w:r>
          </w:p>
        </w:tc>
        <w:tc>
          <w:tcPr>
            <w:tcW w:type="dxa" w:w="1425"/>
          </w:tcPr>
          <w:p>
            <w:pPr>
              <w:jc w:val="center"/>
            </w:pPr>
            <w:r/>
            <w:r>
              <w:rPr>
                <w:b w:val="0"/>
                <w:i w:val="0"/>
                <w:sz w:val="16"/>
              </w:rPr>
              <w:t>-127</w:t>
            </w:r>
          </w:p>
        </w:tc>
        <w:tc>
          <w:tcPr>
            <w:tcW w:type="dxa" w:w="1425"/>
          </w:tcPr>
          <w:p>
            <w:pPr>
              <w:jc w:val="center"/>
            </w:pPr>
            <w:r/>
            <w:r>
              <w:rPr>
                <w:b w:val="0"/>
                <w:i w:val="0"/>
                <w:sz w:val="16"/>
              </w:rPr>
              <w:t>5</w:t>
            </w:r>
          </w:p>
        </w:tc>
      </w:tr>
      <w:tr>
        <w:tc>
          <w:tcPr>
            <w:tcW w:type="dxa" w:w="1425"/>
          </w:tcPr>
          <w:p>
            <w:r/>
            <w:r>
              <w:rPr>
                <w:b/>
                <w:i w:val="0"/>
                <w:sz w:val="16"/>
              </w:rPr>
              <w:t>Aportación al Fondo de Estabilización del Precio del Pienso</w:t>
            </w:r>
          </w:p>
        </w:tc>
        <w:tc>
          <w:tcPr>
            <w:tcW w:type="dxa" w:w="1425"/>
          </w:tcPr>
          <w:p>
            <w:pPr>
              <w:jc w:val="center"/>
            </w:pPr>
            <w:r/>
            <w:r>
              <w:rPr>
                <w:b w:val="0"/>
                <w:i w:val="0"/>
                <w:sz w:val="16"/>
              </w:rPr>
              <w:t>0</w:t>
            </w:r>
          </w:p>
        </w:tc>
        <w:tc>
          <w:tcPr>
            <w:tcW w:type="dxa" w:w="1425"/>
          </w:tcPr>
          <w:p>
            <w:pPr>
              <w:jc w:val="center"/>
            </w:pPr>
            <w:r/>
            <w:r>
              <w:rPr>
                <w:b w:val="0"/>
                <w:i w:val="0"/>
                <w:sz w:val="16"/>
              </w:rPr>
              <w:t>463</w:t>
            </w:r>
          </w:p>
        </w:tc>
        <w:tc>
          <w:tcPr>
            <w:tcW w:type="dxa" w:w="1425"/>
          </w:tcPr>
          <w:p>
            <w:pPr>
              <w:jc w:val="center"/>
            </w:pPr>
            <w:r/>
            <w:r>
              <w:rPr>
                <w:b w:val="0"/>
                <w:i w:val="0"/>
                <w:sz w:val="16"/>
              </w:rPr>
              <w:t>876</w:t>
            </w:r>
          </w:p>
        </w:tc>
        <w:tc>
          <w:tcPr>
            <w:tcW w:type="dxa" w:w="1425"/>
          </w:tcPr>
          <w:p>
            <w:pPr>
              <w:jc w:val="center"/>
            </w:pPr>
            <w:r/>
            <w:r>
              <w:rPr>
                <w:b w:val="0"/>
                <w:i w:val="0"/>
                <w:sz w:val="16"/>
              </w:rPr>
              <w:t>986</w:t>
            </w:r>
          </w:p>
        </w:tc>
        <w:tc>
          <w:tcPr>
            <w:tcW w:type="dxa" w:w="1425"/>
          </w:tcPr>
          <w:p>
            <w:pPr>
              <w:jc w:val="center"/>
            </w:pPr>
            <w:r/>
            <w:r>
              <w:rPr>
                <w:b w:val="0"/>
                <w:i w:val="0"/>
                <w:sz w:val="16"/>
              </w:rPr>
              <w:t>1.240</w:t>
            </w:r>
          </w:p>
        </w:tc>
        <w:tc>
          <w:tcPr>
            <w:tcW w:type="dxa" w:w="1425"/>
          </w:tcPr>
          <w:p>
            <w:pPr>
              <w:jc w:val="center"/>
            </w:pPr>
            <w:r/>
            <w:r>
              <w:rPr>
                <w:b w:val="0"/>
                <w:i w:val="0"/>
                <w:sz w:val="16"/>
              </w:rPr>
              <w:t>1.198</w:t>
            </w:r>
          </w:p>
        </w:tc>
      </w:tr>
      <w:tr>
        <w:tc>
          <w:tcPr>
            <w:tcW w:type="dxa" w:w="1425"/>
          </w:tcPr>
          <w:p>
            <w:r/>
            <w:r>
              <w:rPr>
                <w:b/>
                <w:i w:val="0"/>
                <w:sz w:val="16"/>
              </w:rPr>
              <w:t>Fondo / Ventas %</w:t>
            </w:r>
          </w:p>
        </w:tc>
        <w:tc>
          <w:tcPr>
            <w:tcW w:type="dxa" w:w="1425"/>
          </w:tcPr>
          <w:p>
            <w:pPr>
              <w:jc w:val="center"/>
            </w:pPr>
            <w:r/>
            <w:r>
              <w:rPr>
                <w:b w:val="0"/>
                <w:i w:val="0"/>
                <w:sz w:val="16"/>
              </w:rPr>
              <w:t>0,00%</w:t>
            </w:r>
          </w:p>
        </w:tc>
        <w:tc>
          <w:tcPr>
            <w:tcW w:type="dxa" w:w="1425"/>
          </w:tcPr>
          <w:p>
            <w:pPr>
              <w:jc w:val="center"/>
            </w:pPr>
            <w:r/>
            <w:r>
              <w:rPr>
                <w:b w:val="0"/>
                <w:i w:val="0"/>
                <w:sz w:val="16"/>
              </w:rPr>
              <w:t>1,03%</w:t>
            </w:r>
          </w:p>
        </w:tc>
        <w:tc>
          <w:tcPr>
            <w:tcW w:type="dxa" w:w="1425"/>
          </w:tcPr>
          <w:p>
            <w:pPr>
              <w:jc w:val="center"/>
            </w:pPr>
            <w:r/>
            <w:r>
              <w:rPr>
                <w:b w:val="0"/>
                <w:i w:val="0"/>
                <w:sz w:val="16"/>
              </w:rPr>
              <w:t>1,60%</w:t>
            </w:r>
          </w:p>
        </w:tc>
        <w:tc>
          <w:tcPr>
            <w:tcW w:type="dxa" w:w="1425"/>
          </w:tcPr>
          <w:p>
            <w:pPr>
              <w:jc w:val="center"/>
            </w:pPr>
            <w:r/>
            <w:r>
              <w:rPr>
                <w:b w:val="0"/>
                <w:i w:val="0"/>
                <w:sz w:val="16"/>
              </w:rPr>
              <w:t>1,86%</w:t>
            </w:r>
          </w:p>
        </w:tc>
        <w:tc>
          <w:tcPr>
            <w:tcW w:type="dxa" w:w="1425"/>
          </w:tcPr>
          <w:p>
            <w:pPr>
              <w:jc w:val="center"/>
            </w:pPr>
            <w:r/>
            <w:r>
              <w:rPr>
                <w:b w:val="0"/>
                <w:i w:val="0"/>
                <w:sz w:val="16"/>
              </w:rPr>
              <w:t>2,55%</w:t>
            </w:r>
          </w:p>
        </w:tc>
        <w:tc>
          <w:tcPr>
            <w:tcW w:type="dxa" w:w="1425"/>
          </w:tcPr>
          <w:p>
            <w:pPr>
              <w:jc w:val="center"/>
            </w:pPr>
            <w:r/>
            <w:r>
              <w:rPr>
                <w:b w:val="0"/>
                <w:i w:val="0"/>
                <w:sz w:val="16"/>
              </w:rPr>
              <w:t>2,63%</w:t>
            </w:r>
          </w:p>
        </w:tc>
      </w:tr>
      <w:tr>
        <w:tc>
          <w:tcPr>
            <w:tcW w:type="dxa" w:w="1425"/>
          </w:tcPr>
          <w:p>
            <w:r/>
            <w:r>
              <w:rPr>
                <w:b/>
                <w:i w:val="0"/>
                <w:sz w:val="16"/>
              </w:rPr>
              <w:t>Valor de producción de piensos (a coste)</w:t>
            </w:r>
          </w:p>
        </w:tc>
        <w:tc>
          <w:tcPr>
            <w:tcW w:type="dxa" w:w="1425"/>
          </w:tcPr>
          <w:p>
            <w:pPr>
              <w:jc w:val="center"/>
            </w:pPr>
            <w:r/>
            <w:r>
              <w:rPr>
                <w:b w:val="0"/>
                <w:i w:val="0"/>
                <w:sz w:val="16"/>
              </w:rPr>
              <w:t>33.306</w:t>
            </w:r>
          </w:p>
        </w:tc>
        <w:tc>
          <w:tcPr>
            <w:tcW w:type="dxa" w:w="1425"/>
          </w:tcPr>
          <w:p>
            <w:pPr>
              <w:jc w:val="center"/>
            </w:pPr>
            <w:r/>
            <w:r>
              <w:rPr>
                <w:b w:val="0"/>
                <w:i w:val="0"/>
                <w:sz w:val="16"/>
              </w:rPr>
              <w:t>n.d.</w:t>
            </w:r>
          </w:p>
        </w:tc>
        <w:tc>
          <w:tcPr>
            <w:tcW w:type="dxa" w:w="1425"/>
          </w:tcPr>
          <w:p>
            <w:pPr>
              <w:jc w:val="center"/>
            </w:pPr>
            <w:r/>
            <w:r>
              <w:rPr>
                <w:b w:val="0"/>
                <w:i w:val="0"/>
                <w:sz w:val="16"/>
              </w:rPr>
              <w:t>n.d.</w:t>
            </w:r>
          </w:p>
        </w:tc>
        <w:tc>
          <w:tcPr>
            <w:tcW w:type="dxa" w:w="1425"/>
          </w:tcPr>
          <w:p>
            <w:pPr>
              <w:jc w:val="center"/>
            </w:pPr>
            <w:r/>
            <w:r>
              <w:rPr>
                <w:b w:val="0"/>
                <w:i w:val="0"/>
                <w:sz w:val="16"/>
              </w:rPr>
              <w:t>n.d.</w:t>
            </w:r>
          </w:p>
        </w:tc>
        <w:tc>
          <w:tcPr>
            <w:tcW w:type="dxa" w:w="1425"/>
          </w:tcPr>
          <w:p>
            <w:pPr>
              <w:jc w:val="center"/>
            </w:pPr>
            <w:r/>
            <w:r>
              <w:rPr>
                <w:b w:val="0"/>
                <w:i w:val="0"/>
                <w:sz w:val="16"/>
              </w:rPr>
              <w:t>40.676</w:t>
            </w:r>
          </w:p>
        </w:tc>
        <w:tc>
          <w:tcPr>
            <w:tcW w:type="dxa" w:w="1425"/>
          </w:tcPr>
          <w:p>
            <w:pPr>
              <w:jc w:val="center"/>
            </w:pPr>
            <w:r/>
            <w:r>
              <w:rPr>
                <w:b w:val="0"/>
                <w:i w:val="0"/>
                <w:sz w:val="16"/>
              </w:rPr>
              <w:t>37.151</w:t>
            </w:r>
          </w:p>
        </w:tc>
      </w:tr>
      <w:tr>
        <w:tc>
          <w:tcPr>
            <w:tcW w:type="dxa" w:w="1425"/>
          </w:tcPr>
          <w:p>
            <w:r/>
            <w:r>
              <w:rPr>
                <w:b/>
                <w:i w:val="0"/>
                <w:sz w:val="16"/>
              </w:rPr>
              <w:t>Gasto en I+D</w:t>
            </w:r>
          </w:p>
        </w:tc>
        <w:tc>
          <w:tcPr>
            <w:tcW w:type="dxa" w:w="1425"/>
          </w:tcPr>
          <w:p>
            <w:pPr>
              <w:jc w:val="center"/>
            </w:pPr>
            <w:r/>
            <w:r>
              <w:rPr>
                <w:b w:val="0"/>
                <w:i w:val="0"/>
                <w:sz w:val="16"/>
              </w:rPr>
              <w:t>85</w:t>
            </w:r>
          </w:p>
        </w:tc>
        <w:tc>
          <w:tcPr>
            <w:tcW w:type="dxa" w:w="1425"/>
          </w:tcPr>
          <w:p>
            <w:pPr>
              <w:jc w:val="center"/>
            </w:pPr>
            <w:r/>
            <w:r>
              <w:rPr>
                <w:b w:val="0"/>
                <w:i w:val="0"/>
                <w:sz w:val="16"/>
              </w:rPr>
              <w:t>83</w:t>
            </w:r>
          </w:p>
        </w:tc>
        <w:tc>
          <w:tcPr>
            <w:tcW w:type="dxa" w:w="1425"/>
          </w:tcPr>
          <w:p>
            <w:pPr>
              <w:jc w:val="center"/>
            </w:pPr>
            <w:r/>
            <w:r>
              <w:rPr>
                <w:b w:val="0"/>
                <w:i w:val="0"/>
                <w:sz w:val="16"/>
              </w:rPr>
              <w:t>74</w:t>
            </w:r>
          </w:p>
        </w:tc>
        <w:tc>
          <w:tcPr>
            <w:tcW w:type="dxa" w:w="1425"/>
          </w:tcPr>
          <w:p>
            <w:pPr>
              <w:jc w:val="center"/>
            </w:pPr>
            <w:r/>
            <w:r>
              <w:rPr>
                <w:b w:val="0"/>
                <w:i w:val="0"/>
                <w:sz w:val="16"/>
              </w:rPr>
              <w:t>71</w:t>
            </w:r>
          </w:p>
        </w:tc>
        <w:tc>
          <w:tcPr>
            <w:tcW w:type="dxa" w:w="1425"/>
          </w:tcPr>
          <w:p>
            <w:pPr>
              <w:jc w:val="center"/>
            </w:pPr>
            <w:r/>
            <w:r>
              <w:rPr>
                <w:b w:val="0"/>
                <w:i w:val="0"/>
                <w:sz w:val="16"/>
              </w:rPr>
              <w:t>74</w:t>
            </w:r>
          </w:p>
        </w:tc>
        <w:tc>
          <w:tcPr>
            <w:tcW w:type="dxa" w:w="1425"/>
          </w:tcPr>
          <w:p>
            <w:pPr>
              <w:jc w:val="center"/>
            </w:pPr>
            <w:r/>
            <w:r>
              <w:rPr>
                <w:b w:val="0"/>
                <w:i w:val="0"/>
                <w:sz w:val="16"/>
              </w:rPr>
              <w:t>79</w:t>
            </w:r>
          </w:p>
        </w:tc>
      </w:tr>
      <w:tr>
        <w:tc>
          <w:tcPr>
            <w:tcW w:type="dxa" w:w="1425"/>
          </w:tcPr>
          <w:p>
            <w:r/>
            <w:r>
              <w:rPr>
                <w:b/>
                <w:i w:val="0"/>
                <w:sz w:val="16"/>
              </w:rPr>
              <w:t>Plantilla consolidada (+temporales)</w:t>
            </w:r>
          </w:p>
        </w:tc>
        <w:tc>
          <w:tcPr>
            <w:tcW w:type="dxa" w:w="1425"/>
          </w:tcPr>
          <w:p>
            <w:pPr>
              <w:jc w:val="center"/>
            </w:pPr>
            <w:r/>
            <w:r>
              <w:rPr>
                <w:b w:val="0"/>
                <w:i w:val="0"/>
                <w:sz w:val="16"/>
              </w:rPr>
              <w:t>180 (33)</w:t>
            </w:r>
          </w:p>
        </w:tc>
        <w:tc>
          <w:tcPr>
            <w:tcW w:type="dxa" w:w="1425"/>
          </w:tcPr>
          <w:p>
            <w:pPr>
              <w:jc w:val="center"/>
            </w:pPr>
            <w:r/>
            <w:r>
              <w:rPr>
                <w:b w:val="0"/>
                <w:i w:val="0"/>
                <w:sz w:val="16"/>
              </w:rPr>
              <w:t>179 (35)</w:t>
            </w:r>
          </w:p>
        </w:tc>
        <w:tc>
          <w:tcPr>
            <w:tcW w:type="dxa" w:w="1425"/>
          </w:tcPr>
          <w:p>
            <w:pPr>
              <w:jc w:val="center"/>
            </w:pPr>
            <w:r/>
            <w:r>
              <w:rPr>
                <w:b w:val="0"/>
                <w:i w:val="0"/>
                <w:sz w:val="16"/>
              </w:rPr>
              <w:t>183 (38)</w:t>
            </w:r>
          </w:p>
        </w:tc>
        <w:tc>
          <w:tcPr>
            <w:tcW w:type="dxa" w:w="1425"/>
          </w:tcPr>
          <w:p>
            <w:pPr>
              <w:jc w:val="center"/>
            </w:pPr>
            <w:r/>
            <w:r>
              <w:rPr>
                <w:b w:val="0"/>
                <w:i w:val="0"/>
                <w:sz w:val="16"/>
              </w:rPr>
              <w:t>187 (36)</w:t>
            </w:r>
          </w:p>
        </w:tc>
        <w:tc>
          <w:tcPr>
            <w:tcW w:type="dxa" w:w="1425"/>
          </w:tcPr>
          <w:p>
            <w:pPr>
              <w:jc w:val="center"/>
            </w:pPr>
            <w:r/>
            <w:r>
              <w:rPr>
                <w:b w:val="0"/>
                <w:i w:val="0"/>
                <w:sz w:val="16"/>
              </w:rPr>
              <w:t>178 (39)</w:t>
            </w:r>
          </w:p>
        </w:tc>
        <w:tc>
          <w:tcPr>
            <w:tcW w:type="dxa" w:w="1425"/>
          </w:tcPr>
          <w:p>
            <w:pPr>
              <w:jc w:val="center"/>
            </w:pPr>
            <w:r/>
            <w:r>
              <w:rPr>
                <w:b w:val="0"/>
                <w:i w:val="0"/>
                <w:sz w:val="16"/>
              </w:rPr>
              <w:t>179 (44)</w:t>
            </w:r>
          </w:p>
        </w:tc>
      </w:tr>
      <w:tr>
        <w:tc>
          <w:tcPr>
            <w:tcW w:type="dxa" w:w="1425"/>
          </w:tcPr>
          <w:p>
            <w:r/>
            <w:r>
              <w:rPr>
                <w:b/>
                <w:i w:val="0"/>
                <w:sz w:val="16"/>
              </w:rPr>
              <w:t>Ventas por empleado (M JPY)</w:t>
            </w:r>
          </w:p>
        </w:tc>
        <w:tc>
          <w:tcPr>
            <w:tcW w:type="dxa" w:w="1425"/>
          </w:tcPr>
          <w:p>
            <w:pPr>
              <w:jc w:val="center"/>
            </w:pPr>
            <w:r/>
            <w:r>
              <w:rPr>
                <w:b w:val="0"/>
                <w:i w:val="0"/>
                <w:sz w:val="16"/>
              </w:rPr>
              <w:t>222</w:t>
            </w:r>
          </w:p>
        </w:tc>
        <w:tc>
          <w:tcPr>
            <w:tcW w:type="dxa" w:w="1425"/>
          </w:tcPr>
          <w:p>
            <w:pPr>
              <w:jc w:val="center"/>
            </w:pPr>
            <w:r/>
            <w:r>
              <w:rPr>
                <w:b w:val="0"/>
                <w:i w:val="0"/>
                <w:sz w:val="16"/>
              </w:rPr>
              <w:t>251</w:t>
            </w:r>
          </w:p>
        </w:tc>
        <w:tc>
          <w:tcPr>
            <w:tcW w:type="dxa" w:w="1425"/>
          </w:tcPr>
          <w:p>
            <w:pPr>
              <w:jc w:val="center"/>
            </w:pPr>
            <w:r/>
            <w:r>
              <w:rPr>
                <w:b w:val="0"/>
                <w:i w:val="0"/>
                <w:sz w:val="16"/>
              </w:rPr>
              <w:t>299</w:t>
            </w:r>
          </w:p>
        </w:tc>
        <w:tc>
          <w:tcPr>
            <w:tcW w:type="dxa" w:w="1425"/>
          </w:tcPr>
          <w:p>
            <w:pPr>
              <w:jc w:val="center"/>
            </w:pPr>
            <w:r/>
            <w:r>
              <w:rPr>
                <w:b w:val="0"/>
                <w:i w:val="0"/>
                <w:sz w:val="16"/>
              </w:rPr>
              <w:t>283</w:t>
            </w:r>
          </w:p>
        </w:tc>
        <w:tc>
          <w:tcPr>
            <w:tcW w:type="dxa" w:w="1425"/>
          </w:tcPr>
          <w:p>
            <w:pPr>
              <w:jc w:val="center"/>
            </w:pPr>
            <w:r/>
            <w:r>
              <w:rPr>
                <w:b w:val="0"/>
                <w:i w:val="0"/>
                <w:sz w:val="16"/>
              </w:rPr>
              <w:t>273</w:t>
            </w:r>
          </w:p>
        </w:tc>
        <w:tc>
          <w:tcPr>
            <w:tcW w:type="dxa" w:w="1425"/>
          </w:tcPr>
          <w:p>
            <w:pPr>
              <w:jc w:val="center"/>
            </w:pPr>
            <w:r/>
            <w:r>
              <w:rPr>
                <w:b w:val="0"/>
                <w:i w:val="0"/>
                <w:sz w:val="16"/>
              </w:rPr>
              <w:t>255</w:t>
            </w:r>
          </w:p>
        </w:tc>
      </w:tr>
      <w:tr>
        <w:tc>
          <w:tcPr>
            <w:tcW w:type="dxa" w:w="1425"/>
          </w:tcPr>
          <w:p>
            <w:r/>
            <w:r>
              <w:rPr>
                <w:b/>
                <w:i w:val="0"/>
                <w:sz w:val="16"/>
              </w:rPr>
              <w:t>Clientes en concurso/insolvencia (bruto, M JPY)</w:t>
            </w:r>
          </w:p>
        </w:tc>
        <w:tc>
          <w:tcPr>
            <w:tcW w:type="dxa" w:w="1425"/>
          </w:tcPr>
          <w:p>
            <w:pPr>
              <w:jc w:val="center"/>
            </w:pPr>
            <w:r/>
            <w:r>
              <w:rPr>
                <w:b w:val="0"/>
                <w:i w:val="0"/>
                <w:sz w:val="16"/>
              </w:rPr>
              <w:t>1.379</w:t>
            </w:r>
          </w:p>
        </w:tc>
        <w:tc>
          <w:tcPr>
            <w:tcW w:type="dxa" w:w="1425"/>
          </w:tcPr>
          <w:p>
            <w:pPr>
              <w:jc w:val="center"/>
            </w:pPr>
            <w:r/>
            <w:r>
              <w:rPr>
                <w:b w:val="0"/>
                <w:i w:val="0"/>
                <w:sz w:val="16"/>
              </w:rPr>
              <w:t>1.809</w:t>
            </w:r>
          </w:p>
        </w:tc>
        <w:tc>
          <w:tcPr>
            <w:tcW w:type="dxa" w:w="1425"/>
          </w:tcPr>
          <w:p>
            <w:pPr>
              <w:jc w:val="center"/>
            </w:pPr>
            <w:r/>
            <w:r>
              <w:rPr>
                <w:b w:val="0"/>
                <w:i w:val="0"/>
                <w:sz w:val="16"/>
              </w:rPr>
              <w:t>1.574</w:t>
            </w:r>
          </w:p>
        </w:tc>
        <w:tc>
          <w:tcPr>
            <w:tcW w:type="dxa" w:w="1425"/>
          </w:tcPr>
          <w:p>
            <w:pPr>
              <w:jc w:val="center"/>
            </w:pPr>
            <w:r/>
            <w:r>
              <w:rPr>
                <w:b w:val="0"/>
                <w:i w:val="0"/>
                <w:sz w:val="16"/>
              </w:rPr>
              <w:t>1.648</w:t>
            </w:r>
          </w:p>
        </w:tc>
        <w:tc>
          <w:tcPr>
            <w:tcW w:type="dxa" w:w="1425"/>
          </w:tcPr>
          <w:p>
            <w:pPr>
              <w:jc w:val="center"/>
            </w:pPr>
            <w:r/>
            <w:r>
              <w:rPr>
                <w:b w:val="0"/>
                <w:i w:val="0"/>
                <w:sz w:val="16"/>
              </w:rPr>
              <w:t>1.669</w:t>
            </w:r>
          </w:p>
        </w:tc>
        <w:tc>
          <w:tcPr>
            <w:tcW w:type="dxa" w:w="1425"/>
          </w:tcPr>
          <w:p>
            <w:pPr>
              <w:jc w:val="center"/>
            </w:pPr>
            <w:r/>
            <w:r>
              <w:rPr>
                <w:b w:val="0"/>
                <w:i w:val="0"/>
                <w:sz w:val="16"/>
              </w:rPr>
              <w:t>1.243</w:t>
            </w:r>
          </w:p>
        </w:tc>
      </w:tr>
    </w:tbl>
    <w:p/>
    <w:p>
      <w:r>
        <w:rPr>
          <w:b w:val="0"/>
          <w:i/>
          <w:color w:val="555555"/>
          <w:sz w:val="17"/>
        </w:rPr>
        <w:t>[Fuente: Yuho FY3/2021-FY3/2026: estados consolidados, notas de gastos de venta («飼料価格安定基金負担金»), «生産実績», «研究開発活動», «従業員の状況»]</w:t>
      </w:r>
    </w:p>
    <w:p>
      <w:r>
        <w:rPr>
          <w:b/>
          <w:i w:val="0"/>
        </w:rPr>
        <w:t>Interpretación:</w:t>
      </w:r>
      <w:r>
        <w:rPr>
          <w:b w:val="0"/>
          <w:i w:val="0"/>
        </w:rPr>
        <w:t xml:space="preserve"> 🔴 la aportación al </w:t>
      </w:r>
      <w:r>
        <w:rPr>
          <w:b/>
          <w:i w:val="0"/>
        </w:rPr>
        <w:t>Fondo de Estabilización del Precio del Pienso</w:t>
      </w:r>
      <w:r>
        <w:rPr>
          <w:b w:val="0"/>
          <w:i w:val="0"/>
        </w:rPr>
        <w:t xml:space="preserve"> (飼料価格安定基金) ha pasado de 0 en FY3/2021 a 1.198-1.240 M JPY en FY3/2025-26, equivalente al </w:t>
      </w:r>
      <w:r>
        <w:rPr>
          <w:b/>
          <w:i w:val="0"/>
        </w:rPr>
        <w:t>82% del beneficio operativo de FY3/2026</w:t>
      </w:r>
      <w:r>
        <w:rPr>
          <w:b w:val="0"/>
          <w:i w:val="0"/>
        </w:rPr>
        <w:t xml:space="preserve">. Es un coste regulado que el sector paga para compensar a los ganaderos cuando sube el pienso, y que tiende a aumentar tras años de grano caro (el fondo tiene que reponerse). 🟢 Un volumen plano con margen bruto en máximos de 9,1% indica que el beneficio actual depende de un </w:t>
      </w:r>
      <w:r>
        <w:rPr>
          <w:b/>
          <w:i w:val="0"/>
        </w:rPr>
        <w:t>diferencial transitorio</w:t>
      </w:r>
      <w:r>
        <w:rPr>
          <w:b w:val="0"/>
          <w:i w:val="0"/>
        </w:rPr>
        <w:t xml:space="preserve"> entre el precio de venta y el coste.</w:t>
      </w:r>
    </w:p>
    <w:p>
      <w:pPr>
        <w:pStyle w:val="Heading1"/>
      </w:pPr>
      <w:r>
        <w:t>1.5 Clasificación Sectorial y KPIs de Pat Dorsey</w:t>
      </w:r>
    </w:p>
    <w:p>
      <w:pPr>
        <w:pStyle w:val="Heading2"/>
      </w:pPr>
      <w:r>
        <w:t>Clasificación</w:t>
      </w:r>
    </w:p>
    <w:p>
      <w:r>
        <w:rPr>
          <w:b w:val="0"/>
          <w:i w:val="0"/>
        </w:rPr>
        <w:t xml:space="preserve">La Bolsa de Tokio clasifica a Nichiwa en «食料品» (alimentación), que en la guía de Dorsey correspondería a </w:t>
      </w:r>
      <w:r>
        <w:rPr>
          <w:b/>
          <w:i w:val="0"/>
        </w:rPr>
        <w:t>Bienes de Consumo – Alimentos</w:t>
      </w:r>
      <w:r>
        <w:rPr>
          <w:b w:val="0"/>
          <w:i w:val="0"/>
        </w:rPr>
        <w:t xml:space="preserve">. Económicamente, sin embargo, Nichiwa </w:t>
      </w:r>
      <w:r>
        <w:rPr>
          <w:b/>
          <w:i w:val="0"/>
        </w:rPr>
        <w:t>no vende marcas al consumidor</w:t>
      </w:r>
      <w:r>
        <w:rPr>
          <w:b w:val="0"/>
          <w:i w:val="0"/>
        </w:rPr>
        <w:t xml:space="preserve">: transforma una commodity agrícola en un insumo B2B con margen fino. Por eso aplicamos el marco de </w:t>
      </w:r>
      <w:r>
        <w:rPr>
          <w:b/>
          <w:i w:val="0"/>
        </w:rPr>
        <w:t>Materiales Industriales – commodities / transformadores</w:t>
      </w:r>
      <w:r>
        <w:rPr>
          <w:b w:val="0"/>
          <w:i w:val="0"/>
        </w:rPr>
        <w:t xml:space="preserve"> (rentabilidad a lo largo del ciclo, traslado de costes, balance y circulante) y lo complementamos con los KPIs de cadena de suministro de Bienes de Consumo.</w:t>
      </w:r>
    </w:p>
    <w:p>
      <w:r>
        <w:rPr>
          <w:b w:val="0"/>
          <w:i/>
          <w:color w:val="555555"/>
          <w:sz w:val="17"/>
        </w:rPr>
        <w:t>[Fuente: GUIA_SECTORES_Y_KPIS_COMPLETA.md, secciones 10 (Bienes de Consumo) y 11 (Materiales Industriales)]</w:t>
      </w:r>
    </w:p>
    <w:p>
      <w:pPr>
        <w:pStyle w:val="Heading2"/>
      </w:pPr>
      <w:r>
        <w:t>KPIs de Dorsey aplicados (FY3/2026 salvo indicación)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6"/>
              </w:rPr>
              <w:t>KPI Dorsey</w:t>
            </w:r>
          </w:p>
        </w:tc>
        <w:tc>
          <w:tcPr>
            <w:tcW w:type="dxa" w:w="1994"/>
            <w:shd w:val="clear" w:color="auto" w:fill="1F3A5F"/>
          </w:tcPr>
          <w:p>
            <w:r/>
            <w:r>
              <w:rPr>
                <w:b/>
                <w:color w:val="FFFFFF"/>
                <w:sz w:val="16"/>
              </w:rPr>
              <w:t>Fórmula</w:t>
            </w:r>
          </w:p>
        </w:tc>
        <w:tc>
          <w:tcPr>
            <w:tcW w:type="dxa" w:w="1994"/>
            <w:shd w:val="clear" w:color="auto" w:fill="1F3A5F"/>
          </w:tcPr>
          <w:p>
            <w:r/>
            <w:r>
              <w:rPr>
                <w:b/>
                <w:color w:val="FFFFFF"/>
                <w:sz w:val="16"/>
              </w:rPr>
              <w:t>Benchmark guía</w:t>
            </w:r>
          </w:p>
        </w:tc>
        <w:tc>
          <w:tcPr>
            <w:tcW w:type="dxa" w:w="1994"/>
            <w:shd w:val="clear" w:color="auto" w:fill="1F3A5F"/>
          </w:tcPr>
          <w:p>
            <w:r/>
            <w:r>
              <w:rPr>
                <w:b/>
                <w:color w:val="FFFFFF"/>
                <w:sz w:val="16"/>
              </w:rPr>
              <w:t>Nichiwa</w:t>
            </w:r>
          </w:p>
        </w:tc>
        <w:tc>
          <w:tcPr>
            <w:tcW w:type="dxa" w:w="1994"/>
            <w:shd w:val="clear" w:color="auto" w:fill="1F3A5F"/>
          </w:tcPr>
          <w:p>
            <w:r/>
            <w:r>
              <w:rPr>
                <w:b/>
                <w:color w:val="FFFFFF"/>
                <w:sz w:val="16"/>
              </w:rPr>
              <w:t>Valoración</w:t>
            </w:r>
          </w:p>
        </w:tc>
      </w:tr>
      <w:tr>
        <w:tc>
          <w:tcPr>
            <w:tcW w:type="dxa" w:w="1994"/>
          </w:tcPr>
          <w:p>
            <w:r/>
            <w:r>
              <w:rPr>
                <w:b/>
                <w:i w:val="0"/>
                <w:sz w:val="16"/>
              </w:rPr>
              <w:t>Margen bruto</w:t>
            </w:r>
          </w:p>
        </w:tc>
        <w:tc>
          <w:tcPr>
            <w:tcW w:type="dxa" w:w="1994"/>
          </w:tcPr>
          <w:p>
            <w:pPr>
              <w:jc w:val="center"/>
            </w:pPr>
            <w:r/>
            <w:r>
              <w:rPr>
                <w:b w:val="0"/>
                <w:i w:val="0"/>
                <w:sz w:val="16"/>
              </w:rPr>
              <w:t>BB/Ventas</w:t>
            </w:r>
          </w:p>
        </w:tc>
        <w:tc>
          <w:tcPr>
            <w:tcW w:type="dxa" w:w="1994"/>
          </w:tcPr>
          <w:p>
            <w:pPr>
              <w:jc w:val="center"/>
            </w:pPr>
            <w:r/>
            <w:r>
              <w:rPr>
                <w:b w:val="0"/>
                <w:i w:val="0"/>
                <w:sz w:val="16"/>
              </w:rPr>
              <w:t>&gt;50-60% (consumo) / commodity bajo</w:t>
            </w:r>
          </w:p>
        </w:tc>
        <w:tc>
          <w:tcPr>
            <w:tcW w:type="dxa" w:w="1994"/>
          </w:tcPr>
          <w:p>
            <w:pPr>
              <w:jc w:val="center"/>
            </w:pPr>
            <w:r/>
            <w:r>
              <w:rPr>
                <w:b w:val="0"/>
                <w:i w:val="0"/>
                <w:sz w:val="16"/>
              </w:rPr>
              <w:t>9,1% (media 6 años 6,4%)</w:t>
            </w:r>
          </w:p>
        </w:tc>
        <w:tc>
          <w:tcPr>
            <w:tcW w:type="dxa" w:w="1994"/>
          </w:tcPr>
          <w:p>
            <w:pPr>
              <w:jc w:val="center"/>
            </w:pPr>
            <w:r/>
            <w:r>
              <w:rPr>
                <w:b w:val="0"/>
                <w:i w:val="0"/>
                <w:sz w:val="16"/>
              </w:rPr>
              <w:t>🔴 commodity puro</w:t>
            </w:r>
          </w:p>
        </w:tc>
      </w:tr>
      <w:tr>
        <w:tc>
          <w:tcPr>
            <w:tcW w:type="dxa" w:w="1994"/>
          </w:tcPr>
          <w:p>
            <w:r/>
            <w:r>
              <w:rPr>
                <w:b/>
                <w:i w:val="0"/>
                <w:sz w:val="16"/>
              </w:rPr>
              <w:t>Margen EBITDA</w:t>
            </w:r>
          </w:p>
        </w:tc>
        <w:tc>
          <w:tcPr>
            <w:tcW w:type="dxa" w:w="1994"/>
          </w:tcPr>
          <w:p>
            <w:pPr>
              <w:jc w:val="center"/>
            </w:pPr>
            <w:r/>
            <w:r>
              <w:rPr>
                <w:b w:val="0"/>
                <w:i w:val="0"/>
                <w:sz w:val="16"/>
              </w:rPr>
              <w:t>EBITDA/Ventas</w:t>
            </w:r>
          </w:p>
        </w:tc>
        <w:tc>
          <w:tcPr>
            <w:tcW w:type="dxa" w:w="1994"/>
          </w:tcPr>
          <w:p>
            <w:pPr>
              <w:jc w:val="center"/>
            </w:pPr>
            <w:r/>
            <w:r>
              <w:rPr>
                <w:b w:val="0"/>
                <w:i w:val="0"/>
                <w:sz w:val="16"/>
              </w:rPr>
              <w:t>12-18% a mitad de ciclo</w:t>
            </w:r>
          </w:p>
        </w:tc>
        <w:tc>
          <w:tcPr>
            <w:tcW w:type="dxa" w:w="1994"/>
          </w:tcPr>
          <w:p>
            <w:pPr>
              <w:jc w:val="center"/>
            </w:pPr>
            <w:r/>
            <w:r>
              <w:rPr>
                <w:b w:val="0"/>
                <w:i w:val="0"/>
                <w:sz w:val="16"/>
              </w:rPr>
              <w:t>4,3% (máximo en 6 años)</w:t>
            </w:r>
          </w:p>
        </w:tc>
        <w:tc>
          <w:tcPr>
            <w:tcW w:type="dxa" w:w="1994"/>
          </w:tcPr>
          <w:p>
            <w:pPr>
              <w:jc w:val="center"/>
            </w:pPr>
            <w:r/>
            <w:r>
              <w:rPr>
                <w:b w:val="0"/>
                <w:i w:val="0"/>
                <w:sz w:val="16"/>
              </w:rPr>
              <w:t>🔴</w:t>
            </w:r>
          </w:p>
        </w:tc>
      </w:tr>
      <w:tr>
        <w:tc>
          <w:tcPr>
            <w:tcW w:type="dxa" w:w="1994"/>
          </w:tcPr>
          <w:p>
            <w:r/>
            <w:r>
              <w:rPr>
                <w:b/>
                <w:i w:val="0"/>
                <w:sz w:val="16"/>
              </w:rPr>
              <w:t>Margen operativo</w:t>
            </w:r>
          </w:p>
        </w:tc>
        <w:tc>
          <w:tcPr>
            <w:tcW w:type="dxa" w:w="1994"/>
          </w:tcPr>
          <w:p>
            <w:pPr>
              <w:jc w:val="center"/>
            </w:pPr>
            <w:r/>
            <w:r>
              <w:rPr>
                <w:b w:val="0"/>
                <w:i w:val="0"/>
                <w:sz w:val="16"/>
              </w:rPr>
              <w:t>EBIT/Ventas</w:t>
            </w:r>
          </w:p>
        </w:tc>
        <w:tc>
          <w:tcPr>
            <w:tcW w:type="dxa" w:w="1994"/>
          </w:tcPr>
          <w:p>
            <w:pPr>
              <w:jc w:val="center"/>
            </w:pPr>
            <w:r/>
            <w:r>
              <w:rPr>
                <w:b w:val="0"/>
                <w:i w:val="0"/>
                <w:sz w:val="16"/>
              </w:rPr>
              <w:t>8-12% a mitad de ciclo</w:t>
            </w:r>
          </w:p>
        </w:tc>
        <w:tc>
          <w:tcPr>
            <w:tcW w:type="dxa" w:w="1994"/>
          </w:tcPr>
          <w:p>
            <w:pPr>
              <w:jc w:val="center"/>
            </w:pPr>
            <w:r/>
            <w:r>
              <w:rPr>
                <w:b w:val="0"/>
                <w:i w:val="0"/>
                <w:sz w:val="16"/>
              </w:rPr>
              <w:t>3,2% (media FY21-26: 1,2%)</w:t>
            </w:r>
          </w:p>
        </w:tc>
        <w:tc>
          <w:tcPr>
            <w:tcW w:type="dxa" w:w="1994"/>
          </w:tcPr>
          <w:p>
            <w:pPr>
              <w:jc w:val="center"/>
            </w:pPr>
            <w:r/>
            <w:r>
              <w:rPr>
                <w:b w:val="0"/>
                <w:i w:val="0"/>
                <w:sz w:val="16"/>
              </w:rPr>
              <w:t>🔴</w:t>
            </w:r>
          </w:p>
        </w:tc>
      </w:tr>
      <w:tr>
        <w:tc>
          <w:tcPr>
            <w:tcW w:type="dxa" w:w="1994"/>
          </w:tcPr>
          <w:p>
            <w:r/>
            <w:r>
              <w:rPr>
                <w:b/>
                <w:i w:val="0"/>
                <w:sz w:val="16"/>
              </w:rPr>
              <w:t>ROE</w:t>
            </w:r>
          </w:p>
        </w:tc>
        <w:tc>
          <w:tcPr>
            <w:tcW w:type="dxa" w:w="1994"/>
          </w:tcPr>
          <w:p>
            <w:pPr>
              <w:jc w:val="center"/>
            </w:pPr>
            <w:r/>
            <w:r>
              <w:rPr>
                <w:b w:val="0"/>
                <w:i w:val="0"/>
                <w:sz w:val="16"/>
              </w:rPr>
              <w:t>BN/FP medios</w:t>
            </w:r>
          </w:p>
        </w:tc>
        <w:tc>
          <w:tcPr>
            <w:tcW w:type="dxa" w:w="1994"/>
          </w:tcPr>
          <w:p>
            <w:pPr>
              <w:jc w:val="center"/>
            </w:pPr>
            <w:r/>
            <w:r>
              <w:rPr>
                <w:b w:val="0"/>
                <w:i w:val="0"/>
                <w:sz w:val="16"/>
              </w:rPr>
              <w:t>12-15% a mitad de ciclo</w:t>
            </w:r>
          </w:p>
        </w:tc>
        <w:tc>
          <w:tcPr>
            <w:tcW w:type="dxa" w:w="1994"/>
          </w:tcPr>
          <w:p>
            <w:pPr>
              <w:jc w:val="center"/>
            </w:pPr>
            <w:r/>
            <w:r>
              <w:rPr>
                <w:b w:val="0"/>
                <w:i w:val="0"/>
                <w:sz w:val="16"/>
              </w:rPr>
              <w:t>2,0% (media 1,5%)</w:t>
            </w:r>
          </w:p>
        </w:tc>
        <w:tc>
          <w:tcPr>
            <w:tcW w:type="dxa" w:w="1994"/>
          </w:tcPr>
          <w:p>
            <w:pPr>
              <w:jc w:val="center"/>
            </w:pPr>
            <w:r/>
            <w:r>
              <w:rPr>
                <w:b w:val="0"/>
                <w:i w:val="0"/>
                <w:sz w:val="16"/>
              </w:rPr>
              <w:t>🔴</w:t>
            </w:r>
          </w:p>
        </w:tc>
      </w:tr>
      <w:tr>
        <w:tc>
          <w:tcPr>
            <w:tcW w:type="dxa" w:w="1994"/>
          </w:tcPr>
          <w:p>
            <w:r/>
            <w:r>
              <w:rPr>
                <w:b/>
                <w:i w:val="0"/>
                <w:sz w:val="16"/>
              </w:rPr>
              <w:t>ROIC</w:t>
            </w:r>
          </w:p>
        </w:tc>
        <w:tc>
          <w:tcPr>
            <w:tcW w:type="dxa" w:w="1994"/>
          </w:tcPr>
          <w:p>
            <w:pPr>
              <w:jc w:val="center"/>
            </w:pPr>
            <w:r/>
            <w:r>
              <w:rPr>
                <w:b w:val="0"/>
                <w:i w:val="0"/>
                <w:sz w:val="16"/>
              </w:rPr>
              <w:t>NOPAT/Capital invertido</w:t>
            </w:r>
          </w:p>
        </w:tc>
        <w:tc>
          <w:tcPr>
            <w:tcW w:type="dxa" w:w="1994"/>
          </w:tcPr>
          <w:p>
            <w:pPr>
              <w:jc w:val="center"/>
            </w:pPr>
            <w:r/>
            <w:r>
              <w:rPr>
                <w:b w:val="0"/>
                <w:i w:val="0"/>
                <w:sz w:val="16"/>
              </w:rPr>
              <w:t>10-12%</w:t>
            </w:r>
          </w:p>
        </w:tc>
        <w:tc>
          <w:tcPr>
            <w:tcW w:type="dxa" w:w="1994"/>
          </w:tcPr>
          <w:p>
            <w:pPr>
              <w:jc w:val="center"/>
            </w:pPr>
            <w:r/>
            <w:r>
              <w:rPr>
                <w:b w:val="0"/>
                <w:i w:val="0"/>
                <w:sz w:val="16"/>
              </w:rPr>
              <w:t>7,2% (pico); media ≈2,9%</w:t>
            </w:r>
          </w:p>
        </w:tc>
        <w:tc>
          <w:tcPr>
            <w:tcW w:type="dxa" w:w="1994"/>
          </w:tcPr>
          <w:p>
            <w:pPr>
              <w:jc w:val="center"/>
            </w:pPr>
            <w:r/>
            <w:r>
              <w:rPr>
                <w:b w:val="0"/>
                <w:i w:val="0"/>
                <w:sz w:val="16"/>
              </w:rPr>
              <w:t>🔴</w:t>
            </w:r>
          </w:p>
        </w:tc>
      </w:tr>
      <w:tr>
        <w:tc>
          <w:tcPr>
            <w:tcW w:type="dxa" w:w="1994"/>
          </w:tcPr>
          <w:p>
            <w:r/>
            <w:r>
              <w:rPr>
                <w:b/>
                <w:i w:val="0"/>
                <w:sz w:val="16"/>
              </w:rPr>
              <w:t>Traslado de precios</w:t>
            </w:r>
          </w:p>
        </w:tc>
        <w:tc>
          <w:tcPr>
            <w:tcW w:type="dxa" w:w="1994"/>
          </w:tcPr>
          <w:p>
            <w:pPr>
              <w:jc w:val="center"/>
            </w:pPr>
            <w:r/>
            <w:r>
              <w:rPr>
                <w:b w:val="0"/>
                <w:i w:val="0"/>
                <w:sz w:val="16"/>
              </w:rPr>
              <w:t>Δ precio / Δ coste</w:t>
            </w:r>
          </w:p>
        </w:tc>
        <w:tc>
          <w:tcPr>
            <w:tcW w:type="dxa" w:w="1994"/>
          </w:tcPr>
          <w:p>
            <w:pPr>
              <w:jc w:val="center"/>
            </w:pPr>
            <w:r/>
            <w:r>
              <w:rPr>
                <w:b w:val="0"/>
                <w:i w:val="0"/>
                <w:sz w:val="16"/>
              </w:rPr>
              <w:t>&gt;0,8x valor añadido</w:t>
            </w:r>
          </w:p>
        </w:tc>
        <w:tc>
          <w:tcPr>
            <w:tcW w:type="dxa" w:w="1994"/>
          </w:tcPr>
          <w:p>
            <w:pPr>
              <w:jc w:val="center"/>
            </w:pPr>
            <w:r/>
            <w:r>
              <w:rPr>
                <w:b w:val="0"/>
                <w:i w:val="0"/>
                <w:sz w:val="16"/>
              </w:rPr>
              <w:t>≈1x con 1-2 trimestres de retraso</w:t>
            </w:r>
          </w:p>
        </w:tc>
        <w:tc>
          <w:tcPr>
            <w:tcW w:type="dxa" w:w="1994"/>
          </w:tcPr>
          <w:p>
            <w:pPr>
              <w:jc w:val="center"/>
            </w:pPr>
            <w:r/>
            <w:r>
              <w:rPr>
                <w:b w:val="0"/>
                <w:i w:val="0"/>
                <w:sz w:val="16"/>
              </w:rPr>
              <w:t>🟡</w:t>
            </w:r>
          </w:p>
        </w:tc>
      </w:tr>
      <w:tr>
        <w:tc>
          <w:tcPr>
            <w:tcW w:type="dxa" w:w="1994"/>
          </w:tcPr>
          <w:p>
            <w:r/>
            <w:r>
              <w:rPr>
                <w:b/>
                <w:i w:val="0"/>
                <w:sz w:val="16"/>
              </w:rPr>
              <w:t>Deuda neta/EBITDA</w:t>
            </w:r>
          </w:p>
        </w:tc>
        <w:tc>
          <w:tcPr>
            <w:tcW w:type="dxa" w:w="1994"/>
          </w:tcPr>
          <w:p>
            <w:pPr>
              <w:jc w:val="center"/>
            </w:pPr>
            <w:r/>
            <w:r>
              <w:rPr>
                <w:b w:val="0"/>
                <w:i w:val="0"/>
                <w:sz w:val="16"/>
              </w:rPr>
              <w:t>DN/EBITDA</w:t>
            </w:r>
          </w:p>
        </w:tc>
        <w:tc>
          <w:tcPr>
            <w:tcW w:type="dxa" w:w="1994"/>
          </w:tcPr>
          <w:p>
            <w:pPr>
              <w:jc w:val="center"/>
            </w:pPr>
            <w:r/>
            <w:r>
              <w:rPr>
                <w:b w:val="0"/>
                <w:i w:val="0"/>
                <w:sz w:val="16"/>
              </w:rPr>
              <w:t>&lt;2x</w:t>
            </w:r>
          </w:p>
        </w:tc>
        <w:tc>
          <w:tcPr>
            <w:tcW w:type="dxa" w:w="1994"/>
          </w:tcPr>
          <w:p>
            <w:pPr>
              <w:jc w:val="center"/>
            </w:pPr>
            <w:r/>
            <w:r>
              <w:rPr>
                <w:b w:val="0"/>
                <w:i w:val="0"/>
                <w:sz w:val="16"/>
              </w:rPr>
              <w:t>Caja neta: −2,6x</w:t>
            </w:r>
          </w:p>
        </w:tc>
        <w:tc>
          <w:tcPr>
            <w:tcW w:type="dxa" w:w="1994"/>
          </w:tcPr>
          <w:p>
            <w:pPr>
              <w:jc w:val="center"/>
            </w:pPr>
            <w:r/>
            <w:r>
              <w:rPr>
                <w:b w:val="0"/>
                <w:i w:val="0"/>
                <w:sz w:val="16"/>
              </w:rPr>
              <w:t>🟢</w:t>
            </w:r>
          </w:p>
        </w:tc>
      </w:tr>
      <w:tr>
        <w:tc>
          <w:tcPr>
            <w:tcW w:type="dxa" w:w="1994"/>
          </w:tcPr>
          <w:p>
            <w:r/>
            <w:r>
              <w:rPr>
                <w:b/>
                <w:i w:val="0"/>
                <w:sz w:val="16"/>
              </w:rPr>
              <w:t>Cobertura de intereses</w:t>
            </w:r>
          </w:p>
        </w:tc>
        <w:tc>
          <w:tcPr>
            <w:tcW w:type="dxa" w:w="1994"/>
          </w:tcPr>
          <w:p>
            <w:pPr>
              <w:jc w:val="center"/>
            </w:pPr>
            <w:r/>
            <w:r>
              <w:rPr>
                <w:b w:val="0"/>
                <w:i w:val="0"/>
                <w:sz w:val="16"/>
              </w:rPr>
              <w:t>EBITDA/Intereses</w:t>
            </w:r>
          </w:p>
        </w:tc>
        <w:tc>
          <w:tcPr>
            <w:tcW w:type="dxa" w:w="1994"/>
          </w:tcPr>
          <w:p>
            <w:pPr>
              <w:jc w:val="center"/>
            </w:pPr>
            <w:r/>
            <w:r>
              <w:rPr>
                <w:b w:val="0"/>
                <w:i w:val="0"/>
                <w:sz w:val="16"/>
              </w:rPr>
              <w:t>&gt;5x</w:t>
            </w:r>
          </w:p>
        </w:tc>
        <w:tc>
          <w:tcPr>
            <w:tcW w:type="dxa" w:w="1994"/>
          </w:tcPr>
          <w:p>
            <w:pPr>
              <w:jc w:val="center"/>
            </w:pPr>
            <w:r/>
            <w:r>
              <w:rPr>
                <w:b w:val="0"/>
                <w:i w:val="0"/>
                <w:sz w:val="16"/>
              </w:rPr>
              <w:t>27,7x</w:t>
            </w:r>
          </w:p>
        </w:tc>
        <w:tc>
          <w:tcPr>
            <w:tcW w:type="dxa" w:w="1994"/>
          </w:tcPr>
          <w:p>
            <w:pPr>
              <w:jc w:val="center"/>
            </w:pPr>
            <w:r/>
            <w:r>
              <w:rPr>
                <w:b w:val="0"/>
                <w:i w:val="0"/>
                <w:sz w:val="16"/>
              </w:rPr>
              <w:t>🟢</w:t>
            </w:r>
          </w:p>
        </w:tc>
      </w:tr>
      <w:tr>
        <w:tc>
          <w:tcPr>
            <w:tcW w:type="dxa" w:w="1994"/>
          </w:tcPr>
          <w:p>
            <w:r/>
            <w:r>
              <w:rPr>
                <w:b/>
                <w:i w:val="0"/>
                <w:sz w:val="16"/>
              </w:rPr>
              <w:t>Ratio corriente</w:t>
            </w:r>
          </w:p>
        </w:tc>
        <w:tc>
          <w:tcPr>
            <w:tcW w:type="dxa" w:w="1994"/>
          </w:tcPr>
          <w:p>
            <w:pPr>
              <w:jc w:val="center"/>
            </w:pPr>
            <w:r/>
            <w:r>
              <w:rPr>
                <w:b w:val="0"/>
                <w:i w:val="0"/>
                <w:sz w:val="16"/>
              </w:rPr>
              <w:t>AC/PC</w:t>
            </w:r>
          </w:p>
        </w:tc>
        <w:tc>
          <w:tcPr>
            <w:tcW w:type="dxa" w:w="1994"/>
          </w:tcPr>
          <w:p>
            <w:pPr>
              <w:jc w:val="center"/>
            </w:pPr>
            <w:r/>
            <w:r>
              <w:rPr>
                <w:b w:val="0"/>
                <w:i w:val="0"/>
                <w:sz w:val="16"/>
              </w:rPr>
              <w:t>&gt;1,5x</w:t>
            </w:r>
          </w:p>
        </w:tc>
        <w:tc>
          <w:tcPr>
            <w:tcW w:type="dxa" w:w="1994"/>
          </w:tcPr>
          <w:p>
            <w:pPr>
              <w:jc w:val="center"/>
            </w:pPr>
            <w:r/>
            <w:r>
              <w:rPr>
                <w:b w:val="0"/>
                <w:i w:val="0"/>
                <w:sz w:val="16"/>
              </w:rPr>
              <w:t>2,33x</w:t>
            </w:r>
          </w:p>
        </w:tc>
        <w:tc>
          <w:tcPr>
            <w:tcW w:type="dxa" w:w="1994"/>
          </w:tcPr>
          <w:p>
            <w:pPr>
              <w:jc w:val="center"/>
            </w:pPr>
            <w:r/>
            <w:r>
              <w:rPr>
                <w:b w:val="0"/>
                <w:i w:val="0"/>
                <w:sz w:val="16"/>
              </w:rPr>
              <w:t>🟢</w:t>
            </w:r>
          </w:p>
        </w:tc>
      </w:tr>
      <w:tr>
        <w:tc>
          <w:tcPr>
            <w:tcW w:type="dxa" w:w="1994"/>
          </w:tcPr>
          <w:p>
            <w:r/>
            <w:r>
              <w:rPr>
                <w:b/>
                <w:i w:val="0"/>
                <w:sz w:val="16"/>
              </w:rPr>
              <w:t>Deuda/Fondos propios</w:t>
            </w:r>
          </w:p>
        </w:tc>
        <w:tc>
          <w:tcPr>
            <w:tcW w:type="dxa" w:w="1994"/>
          </w:tcPr>
          <w:p>
            <w:pPr>
              <w:jc w:val="center"/>
            </w:pPr>
            <w:r/>
            <w:r>
              <w:rPr>
                <w:b w:val="0"/>
                <w:i w:val="0"/>
                <w:sz w:val="16"/>
              </w:rPr>
              <w:t>Deuda/FP</w:t>
            </w:r>
          </w:p>
        </w:tc>
        <w:tc>
          <w:tcPr>
            <w:tcW w:type="dxa" w:w="1994"/>
          </w:tcPr>
          <w:p>
            <w:pPr>
              <w:jc w:val="center"/>
            </w:pPr>
            <w:r/>
            <w:r>
              <w:rPr>
                <w:b w:val="0"/>
                <w:i w:val="0"/>
                <w:sz w:val="16"/>
              </w:rPr>
              <w:t>&lt;0,5x</w:t>
            </w:r>
          </w:p>
        </w:tc>
        <w:tc>
          <w:tcPr>
            <w:tcW w:type="dxa" w:w="1994"/>
          </w:tcPr>
          <w:p>
            <w:pPr>
              <w:jc w:val="center"/>
            </w:pPr>
            <w:r/>
            <w:r>
              <w:rPr>
                <w:b w:val="0"/>
                <w:i w:val="0"/>
                <w:sz w:val="16"/>
              </w:rPr>
              <w:t>0,23x</w:t>
            </w:r>
          </w:p>
        </w:tc>
        <w:tc>
          <w:tcPr>
            <w:tcW w:type="dxa" w:w="1994"/>
          </w:tcPr>
          <w:p>
            <w:pPr>
              <w:jc w:val="center"/>
            </w:pPr>
            <w:r/>
            <w:r>
              <w:rPr>
                <w:b w:val="0"/>
                <w:i w:val="0"/>
                <w:sz w:val="16"/>
              </w:rPr>
              <w:t>🟢</w:t>
            </w:r>
          </w:p>
        </w:tc>
      </w:tr>
      <w:tr>
        <w:tc>
          <w:tcPr>
            <w:tcW w:type="dxa" w:w="1994"/>
          </w:tcPr>
          <w:p>
            <w:r/>
            <w:r>
              <w:rPr>
                <w:b/>
                <w:i w:val="0"/>
                <w:sz w:val="16"/>
              </w:rPr>
              <w:t>CapEx/Ventas</w:t>
            </w:r>
          </w:p>
        </w:tc>
        <w:tc>
          <w:tcPr>
            <w:tcW w:type="dxa" w:w="1994"/>
          </w:tcPr>
          <w:p>
            <w:pPr>
              <w:jc w:val="center"/>
            </w:pPr>
            <w:r/>
            <w:r>
              <w:rPr>
                <w:b w:val="0"/>
                <w:i w:val="0"/>
                <w:sz w:val="16"/>
              </w:rPr>
              <w:t>CapEx/Ventas</w:t>
            </w:r>
          </w:p>
        </w:tc>
        <w:tc>
          <w:tcPr>
            <w:tcW w:type="dxa" w:w="1994"/>
          </w:tcPr>
          <w:p>
            <w:pPr>
              <w:jc w:val="center"/>
            </w:pPr>
            <w:r/>
            <w:r>
              <w:rPr>
                <w:b w:val="0"/>
                <w:i w:val="0"/>
                <w:sz w:val="16"/>
              </w:rPr>
              <w:t>4-8% mantenimiento</w:t>
            </w:r>
          </w:p>
        </w:tc>
        <w:tc>
          <w:tcPr>
            <w:tcW w:type="dxa" w:w="1994"/>
          </w:tcPr>
          <w:p>
            <w:pPr>
              <w:jc w:val="center"/>
            </w:pPr>
            <w:r/>
            <w:r>
              <w:rPr>
                <w:b w:val="0"/>
                <w:i w:val="0"/>
                <w:sz w:val="16"/>
              </w:rPr>
              <w:t>0,8% (media FY21-26: 1,4%)</w:t>
            </w:r>
          </w:p>
        </w:tc>
        <w:tc>
          <w:tcPr>
            <w:tcW w:type="dxa" w:w="1994"/>
          </w:tcPr>
          <w:p>
            <w:pPr>
              <w:jc w:val="center"/>
            </w:pPr>
            <w:r/>
            <w:r>
              <w:rPr>
                <w:b w:val="0"/>
                <w:i w:val="0"/>
                <w:sz w:val="16"/>
              </w:rPr>
              <w:t>🟡 infrainversión</w:t>
            </w:r>
          </w:p>
        </w:tc>
      </w:tr>
      <w:tr>
        <w:tc>
          <w:tcPr>
            <w:tcW w:type="dxa" w:w="1994"/>
          </w:tcPr>
          <w:p>
            <w:r/>
            <w:r>
              <w:rPr>
                <w:b/>
                <w:i w:val="0"/>
                <w:sz w:val="16"/>
              </w:rPr>
              <w:t>CapEx/Amortización</w:t>
            </w:r>
          </w:p>
        </w:tc>
        <w:tc>
          <w:tcPr>
            <w:tcW w:type="dxa" w:w="1994"/>
          </w:tcPr>
          <w:p>
            <w:pPr>
              <w:jc w:val="center"/>
            </w:pPr>
            <w:r/>
            <w:r>
              <w:rPr>
                <w:b w:val="0"/>
                <w:i w:val="0"/>
                <w:sz w:val="16"/>
              </w:rPr>
              <w:t>CapEx/D&amp;A</w:t>
            </w:r>
          </w:p>
        </w:tc>
        <w:tc>
          <w:tcPr>
            <w:tcW w:type="dxa" w:w="1994"/>
          </w:tcPr>
          <w:p>
            <w:pPr>
              <w:jc w:val="center"/>
            </w:pPr>
            <w:r/>
            <w:r>
              <w:rPr>
                <w:b w:val="0"/>
                <w:i w:val="0"/>
                <w:sz w:val="16"/>
              </w:rPr>
              <w:t>≈1,0x mantenimiento</w:t>
            </w:r>
          </w:p>
        </w:tc>
        <w:tc>
          <w:tcPr>
            <w:tcW w:type="dxa" w:w="1994"/>
          </w:tcPr>
          <w:p>
            <w:pPr>
              <w:jc w:val="center"/>
            </w:pPr>
            <w:r/>
            <w:r>
              <w:rPr>
                <w:b w:val="0"/>
                <w:i w:val="0"/>
                <w:sz w:val="16"/>
              </w:rPr>
              <w:t>0,75x (FY21-24: 1,2-1,6x)</w:t>
            </w:r>
          </w:p>
        </w:tc>
        <w:tc>
          <w:tcPr>
            <w:tcW w:type="dxa" w:w="1994"/>
          </w:tcPr>
          <w:p>
            <w:pPr>
              <w:jc w:val="center"/>
            </w:pPr>
            <w:r/>
            <w:r>
              <w:rPr>
                <w:b w:val="0"/>
                <w:i w:val="0"/>
                <w:sz w:val="16"/>
              </w:rPr>
              <w:t>🟡</w:t>
            </w:r>
          </w:p>
        </w:tc>
      </w:tr>
      <w:tr>
        <w:tc>
          <w:tcPr>
            <w:tcW w:type="dxa" w:w="1994"/>
          </w:tcPr>
          <w:p>
            <w:r/>
            <w:r>
              <w:rPr>
                <w:b/>
                <w:i w:val="0"/>
                <w:sz w:val="16"/>
              </w:rPr>
              <w:t>Rotación de activos</w:t>
            </w:r>
          </w:p>
        </w:tc>
        <w:tc>
          <w:tcPr>
            <w:tcW w:type="dxa" w:w="1994"/>
          </w:tcPr>
          <w:p>
            <w:pPr>
              <w:jc w:val="center"/>
            </w:pPr>
            <w:r/>
            <w:r>
              <w:rPr>
                <w:b w:val="0"/>
                <w:i w:val="0"/>
                <w:sz w:val="16"/>
              </w:rPr>
              <w:t>Ventas/Activo total</w:t>
            </w:r>
          </w:p>
        </w:tc>
        <w:tc>
          <w:tcPr>
            <w:tcW w:type="dxa" w:w="1994"/>
          </w:tcPr>
          <w:p>
            <w:pPr>
              <w:jc w:val="center"/>
            </w:pPr>
            <w:r/>
            <w:r>
              <w:rPr>
                <w:b w:val="0"/>
                <w:i w:val="0"/>
                <w:sz w:val="16"/>
              </w:rPr>
              <w:t>&gt;1,0x</w:t>
            </w:r>
          </w:p>
        </w:tc>
        <w:tc>
          <w:tcPr>
            <w:tcW w:type="dxa" w:w="1994"/>
          </w:tcPr>
          <w:p>
            <w:pPr>
              <w:jc w:val="center"/>
            </w:pPr>
            <w:r/>
            <w:r>
              <w:rPr>
                <w:b w:val="0"/>
                <w:i w:val="0"/>
                <w:sz w:val="16"/>
              </w:rPr>
              <w:t>1,48x</w:t>
            </w:r>
          </w:p>
        </w:tc>
        <w:tc>
          <w:tcPr>
            <w:tcW w:type="dxa" w:w="1994"/>
          </w:tcPr>
          <w:p>
            <w:pPr>
              <w:jc w:val="center"/>
            </w:pPr>
            <w:r/>
            <w:r>
              <w:rPr>
                <w:b w:val="0"/>
                <w:i w:val="0"/>
                <w:sz w:val="16"/>
              </w:rPr>
              <w:t>🟢</w:t>
            </w:r>
          </w:p>
        </w:tc>
      </w:tr>
      <w:tr>
        <w:tc>
          <w:tcPr>
            <w:tcW w:type="dxa" w:w="1994"/>
          </w:tcPr>
          <w:p>
            <w:r/>
            <w:r>
              <w:rPr>
                <w:b/>
                <w:i w:val="0"/>
                <w:sz w:val="16"/>
              </w:rPr>
              <w:t>Rotación de activo fijo</w:t>
            </w:r>
          </w:p>
        </w:tc>
        <w:tc>
          <w:tcPr>
            <w:tcW w:type="dxa" w:w="1994"/>
          </w:tcPr>
          <w:p>
            <w:pPr>
              <w:jc w:val="center"/>
            </w:pPr>
            <w:r/>
            <w:r>
              <w:rPr>
                <w:b w:val="0"/>
                <w:i w:val="0"/>
                <w:sz w:val="16"/>
              </w:rPr>
              <w:t>Ventas/PP&amp;E</w:t>
            </w:r>
          </w:p>
        </w:tc>
        <w:tc>
          <w:tcPr>
            <w:tcW w:type="dxa" w:w="1994"/>
          </w:tcPr>
          <w:p>
            <w:pPr>
              <w:jc w:val="center"/>
            </w:pPr>
            <w:r/>
            <w:r>
              <w:rPr>
                <w:b w:val="0"/>
                <w:i w:val="0"/>
                <w:sz w:val="16"/>
              </w:rPr>
              <w:t>&gt;2x</w:t>
            </w:r>
          </w:p>
        </w:tc>
        <w:tc>
          <w:tcPr>
            <w:tcW w:type="dxa" w:w="1994"/>
          </w:tcPr>
          <w:p>
            <w:pPr>
              <w:jc w:val="center"/>
            </w:pPr>
            <w:r/>
            <w:r>
              <w:rPr>
                <w:b w:val="0"/>
                <w:i w:val="0"/>
                <w:sz w:val="16"/>
              </w:rPr>
              <w:t>11,3x</w:t>
            </w:r>
          </w:p>
        </w:tc>
        <w:tc>
          <w:tcPr>
            <w:tcW w:type="dxa" w:w="1994"/>
          </w:tcPr>
          <w:p>
            <w:pPr>
              <w:jc w:val="center"/>
            </w:pPr>
            <w:r/>
            <w:r>
              <w:rPr>
                <w:b w:val="0"/>
                <w:i w:val="0"/>
                <w:sz w:val="16"/>
              </w:rPr>
              <w:t>🟢</w:t>
            </w:r>
          </w:p>
        </w:tc>
      </w:tr>
      <w:tr>
        <w:tc>
          <w:tcPr>
            <w:tcW w:type="dxa" w:w="1994"/>
          </w:tcPr>
          <w:p>
            <w:r/>
            <w:r>
              <w:rPr>
                <w:b/>
                <w:i w:val="0"/>
                <w:sz w:val="16"/>
              </w:rPr>
              <w:t>DSO</w:t>
            </w:r>
          </w:p>
        </w:tc>
        <w:tc>
          <w:tcPr>
            <w:tcW w:type="dxa" w:w="1994"/>
          </w:tcPr>
          <w:p>
            <w:pPr>
              <w:jc w:val="center"/>
            </w:pPr>
            <w:r/>
            <w:r>
              <w:rPr>
                <w:b w:val="0"/>
                <w:i w:val="0"/>
                <w:sz w:val="16"/>
              </w:rPr>
              <w:t>Clientes/Ventas×365</w:t>
            </w:r>
          </w:p>
        </w:tc>
        <w:tc>
          <w:tcPr>
            <w:tcW w:type="dxa" w:w="1994"/>
          </w:tcPr>
          <w:p>
            <w:pPr>
              <w:jc w:val="center"/>
            </w:pPr>
            <w:r/>
            <w:r>
              <w:rPr>
                <w:b w:val="0"/>
                <w:i w:val="0"/>
                <w:sz w:val="16"/>
              </w:rPr>
              <w:t>&lt;60 días</w:t>
            </w:r>
          </w:p>
        </w:tc>
        <w:tc>
          <w:tcPr>
            <w:tcW w:type="dxa" w:w="1994"/>
          </w:tcPr>
          <w:p>
            <w:pPr>
              <w:jc w:val="center"/>
            </w:pPr>
            <w:r/>
            <w:r>
              <w:rPr>
                <w:b w:val="0"/>
                <w:i w:val="0"/>
                <w:sz w:val="16"/>
              </w:rPr>
              <w:t>91 días</w:t>
            </w:r>
          </w:p>
        </w:tc>
        <w:tc>
          <w:tcPr>
            <w:tcW w:type="dxa" w:w="1994"/>
          </w:tcPr>
          <w:p>
            <w:pPr>
              <w:jc w:val="center"/>
            </w:pPr>
            <w:r/>
            <w:r>
              <w:rPr>
                <w:b w:val="0"/>
                <w:i w:val="0"/>
                <w:sz w:val="16"/>
              </w:rPr>
              <w:t>🔴</w:t>
            </w:r>
          </w:p>
        </w:tc>
      </w:tr>
      <w:tr>
        <w:tc>
          <w:tcPr>
            <w:tcW w:type="dxa" w:w="1994"/>
          </w:tcPr>
          <w:p>
            <w:r/>
            <w:r>
              <w:rPr>
                <w:b/>
                <w:i w:val="0"/>
                <w:sz w:val="16"/>
              </w:rPr>
              <w:t>DIO</w:t>
            </w:r>
          </w:p>
        </w:tc>
        <w:tc>
          <w:tcPr>
            <w:tcW w:type="dxa" w:w="1994"/>
          </w:tcPr>
          <w:p>
            <w:pPr>
              <w:jc w:val="center"/>
            </w:pPr>
            <w:r/>
            <w:r>
              <w:rPr>
                <w:b w:val="0"/>
                <w:i w:val="0"/>
                <w:sz w:val="16"/>
              </w:rPr>
              <w:t>Existencias/Coste ventas×365</w:t>
            </w:r>
          </w:p>
        </w:tc>
        <w:tc>
          <w:tcPr>
            <w:tcW w:type="dxa" w:w="1994"/>
          </w:tcPr>
          <w:p>
            <w:pPr>
              <w:jc w:val="center"/>
            </w:pPr>
            <w:r/>
            <w:r>
              <w:rPr>
                <w:b w:val="0"/>
                <w:i w:val="0"/>
                <w:sz w:val="16"/>
              </w:rPr>
              <w:t>&lt;90 días</w:t>
            </w:r>
          </w:p>
        </w:tc>
        <w:tc>
          <w:tcPr>
            <w:tcW w:type="dxa" w:w="1994"/>
          </w:tcPr>
          <w:p>
            <w:pPr>
              <w:jc w:val="center"/>
            </w:pPr>
            <w:r/>
            <w:r>
              <w:rPr>
                <w:b w:val="0"/>
                <w:i w:val="0"/>
                <w:sz w:val="16"/>
              </w:rPr>
              <w:t>24 días</w:t>
            </w:r>
          </w:p>
        </w:tc>
        <w:tc>
          <w:tcPr>
            <w:tcW w:type="dxa" w:w="1994"/>
          </w:tcPr>
          <w:p>
            <w:pPr>
              <w:jc w:val="center"/>
            </w:pPr>
            <w:r/>
            <w:r>
              <w:rPr>
                <w:b w:val="0"/>
                <w:i w:val="0"/>
                <w:sz w:val="16"/>
              </w:rPr>
              <w:t>🟢</w:t>
            </w:r>
          </w:p>
        </w:tc>
      </w:tr>
      <w:tr>
        <w:tc>
          <w:tcPr>
            <w:tcW w:type="dxa" w:w="1994"/>
          </w:tcPr>
          <w:p>
            <w:r/>
            <w:r>
              <w:rPr>
                <w:b/>
                <w:i w:val="0"/>
                <w:sz w:val="16"/>
              </w:rPr>
              <w:t>DPO</w:t>
            </w:r>
          </w:p>
        </w:tc>
        <w:tc>
          <w:tcPr>
            <w:tcW w:type="dxa" w:w="1994"/>
          </w:tcPr>
          <w:p>
            <w:pPr>
              <w:jc w:val="center"/>
            </w:pPr>
            <w:r/>
            <w:r>
              <w:rPr>
                <w:b w:val="0"/>
                <w:i w:val="0"/>
                <w:sz w:val="16"/>
              </w:rPr>
              <w:t>Proveedores/Coste ventas×365</w:t>
            </w:r>
          </w:p>
        </w:tc>
        <w:tc>
          <w:tcPr>
            <w:tcW w:type="dxa" w:w="1994"/>
          </w:tcPr>
          <w:p>
            <w:pPr>
              <w:jc w:val="center"/>
            </w:pPr>
            <w:r/>
            <w:r>
              <w:rPr>
                <w:b w:val="0"/>
                <w:i w:val="0"/>
                <w:sz w:val="16"/>
              </w:rPr>
              <w:t>&gt;60 días</w:t>
            </w:r>
          </w:p>
        </w:tc>
        <w:tc>
          <w:tcPr>
            <w:tcW w:type="dxa" w:w="1994"/>
          </w:tcPr>
          <w:p>
            <w:pPr>
              <w:jc w:val="center"/>
            </w:pPr>
            <w:r/>
            <w:r>
              <w:rPr>
                <w:b w:val="0"/>
                <w:i w:val="0"/>
                <w:sz w:val="16"/>
              </w:rPr>
              <w:t>51 días</w:t>
            </w:r>
          </w:p>
        </w:tc>
        <w:tc>
          <w:tcPr>
            <w:tcW w:type="dxa" w:w="1994"/>
          </w:tcPr>
          <w:p>
            <w:pPr>
              <w:jc w:val="center"/>
            </w:pPr>
            <w:r/>
            <w:r>
              <w:rPr>
                <w:b w:val="0"/>
                <w:i w:val="0"/>
                <w:sz w:val="16"/>
              </w:rPr>
              <w:t>🟡</w:t>
            </w:r>
          </w:p>
        </w:tc>
      </w:tr>
      <w:tr>
        <w:tc>
          <w:tcPr>
            <w:tcW w:type="dxa" w:w="1994"/>
          </w:tcPr>
          <w:p>
            <w:r/>
            <w:r>
              <w:rPr>
                <w:b/>
                <w:i w:val="0"/>
                <w:sz w:val="16"/>
              </w:rPr>
              <w:t>Ciclo de caja (CCC)</w:t>
            </w:r>
          </w:p>
        </w:tc>
        <w:tc>
          <w:tcPr>
            <w:tcW w:type="dxa" w:w="1994"/>
          </w:tcPr>
          <w:p>
            <w:pPr>
              <w:jc w:val="center"/>
            </w:pPr>
            <w:r/>
            <w:r>
              <w:rPr>
                <w:b w:val="0"/>
                <w:i w:val="0"/>
                <w:sz w:val="16"/>
              </w:rPr>
              <w:t>DSO+DIO−DPO</w:t>
            </w:r>
          </w:p>
        </w:tc>
        <w:tc>
          <w:tcPr>
            <w:tcW w:type="dxa" w:w="1994"/>
          </w:tcPr>
          <w:p>
            <w:pPr>
              <w:jc w:val="center"/>
            </w:pPr>
            <w:r/>
            <w:r>
              <w:rPr>
                <w:b w:val="0"/>
                <w:i w:val="0"/>
                <w:sz w:val="16"/>
              </w:rPr>
              <w:t>&lt;60 días</w:t>
            </w:r>
          </w:p>
        </w:tc>
        <w:tc>
          <w:tcPr>
            <w:tcW w:type="dxa" w:w="1994"/>
          </w:tcPr>
          <w:p>
            <w:pPr>
              <w:jc w:val="center"/>
            </w:pPr>
            <w:r/>
            <w:r>
              <w:rPr>
                <w:b w:val="0"/>
                <w:i w:val="0"/>
                <w:sz w:val="16"/>
              </w:rPr>
              <w:t>64 días</w:t>
            </w:r>
          </w:p>
        </w:tc>
        <w:tc>
          <w:tcPr>
            <w:tcW w:type="dxa" w:w="1994"/>
          </w:tcPr>
          <w:p>
            <w:pPr>
              <w:jc w:val="center"/>
            </w:pPr>
            <w:r/>
            <w:r>
              <w:rPr>
                <w:b w:val="0"/>
                <w:i w:val="0"/>
                <w:sz w:val="16"/>
              </w:rPr>
              <w:t>🟡</w:t>
            </w:r>
          </w:p>
        </w:tc>
      </w:tr>
      <w:tr>
        <w:tc>
          <w:tcPr>
            <w:tcW w:type="dxa" w:w="1994"/>
          </w:tcPr>
          <w:p>
            <w:r/>
            <w:r>
              <w:rPr>
                <w:b/>
                <w:i w:val="0"/>
                <w:sz w:val="16"/>
              </w:rPr>
              <w:t>Circulante/Ventas</w:t>
            </w:r>
          </w:p>
        </w:tc>
        <w:tc>
          <w:tcPr>
            <w:tcW w:type="dxa" w:w="1994"/>
          </w:tcPr>
          <w:p>
            <w:pPr>
              <w:jc w:val="center"/>
            </w:pPr>
            <w:r/>
            <w:r>
              <w:rPr>
                <w:b w:val="0"/>
                <w:i w:val="0"/>
                <w:sz w:val="16"/>
              </w:rPr>
              <w:t>(AC−PC)/Ventas</w:t>
            </w:r>
          </w:p>
        </w:tc>
        <w:tc>
          <w:tcPr>
            <w:tcW w:type="dxa" w:w="1994"/>
          </w:tcPr>
          <w:p>
            <w:pPr>
              <w:jc w:val="center"/>
            </w:pPr>
            <w:r/>
            <w:r>
              <w:rPr>
                <w:b w:val="0"/>
                <w:i w:val="0"/>
                <w:sz w:val="16"/>
              </w:rPr>
              <w:t>&lt;15%</w:t>
            </w:r>
          </w:p>
        </w:tc>
        <w:tc>
          <w:tcPr>
            <w:tcW w:type="dxa" w:w="1994"/>
          </w:tcPr>
          <w:p>
            <w:pPr>
              <w:jc w:val="center"/>
            </w:pPr>
            <w:r/>
            <w:r>
              <w:rPr>
                <w:b w:val="0"/>
                <w:i w:val="0"/>
                <w:sz w:val="16"/>
              </w:rPr>
              <w:t>30% (incluye caja)</w:t>
            </w:r>
          </w:p>
        </w:tc>
        <w:tc>
          <w:tcPr>
            <w:tcW w:type="dxa" w:w="1994"/>
          </w:tcPr>
          <w:p>
            <w:pPr>
              <w:jc w:val="center"/>
            </w:pPr>
            <w:r/>
            <w:r>
              <w:rPr>
                <w:b w:val="0"/>
                <w:i w:val="0"/>
                <w:sz w:val="16"/>
              </w:rPr>
              <w:t>🟡</w:t>
            </w:r>
          </w:p>
        </w:tc>
      </w:tr>
      <w:tr>
        <w:tc>
          <w:tcPr>
            <w:tcW w:type="dxa" w:w="1994"/>
          </w:tcPr>
          <w:p>
            <w:r/>
            <w:r>
              <w:rPr>
                <w:b/>
                <w:i w:val="0"/>
                <w:sz w:val="16"/>
              </w:rPr>
              <w:t>Concentración de clientes</w:t>
            </w:r>
          </w:p>
        </w:tc>
        <w:tc>
          <w:tcPr>
            <w:tcW w:type="dxa" w:w="1994"/>
          </w:tcPr>
          <w:p>
            <w:pPr>
              <w:jc w:val="center"/>
            </w:pPr>
            <w:r/>
            <w:r>
              <w:rPr>
                <w:b w:val="0"/>
                <w:i w:val="0"/>
                <w:sz w:val="16"/>
              </w:rPr>
              <w:t>% top clientes</w:t>
            </w:r>
          </w:p>
        </w:tc>
        <w:tc>
          <w:tcPr>
            <w:tcW w:type="dxa" w:w="1994"/>
          </w:tcPr>
          <w:p>
            <w:pPr>
              <w:jc w:val="center"/>
            </w:pPr>
            <w:r/>
            <w:r>
              <w:rPr>
                <w:b w:val="0"/>
                <w:i w:val="0"/>
                <w:sz w:val="16"/>
              </w:rPr>
              <w:t>&lt;40%</w:t>
            </w:r>
          </w:p>
        </w:tc>
        <w:tc>
          <w:tcPr>
            <w:tcW w:type="dxa" w:w="1994"/>
          </w:tcPr>
          <w:p>
            <w:pPr>
              <w:jc w:val="center"/>
            </w:pPr>
            <w:r/>
            <w:r>
              <w:rPr>
                <w:b w:val="0"/>
                <w:i w:val="0"/>
                <w:sz w:val="16"/>
              </w:rPr>
              <w:t>Ninguno &gt;10%</w:t>
            </w:r>
          </w:p>
        </w:tc>
        <w:tc>
          <w:tcPr>
            <w:tcW w:type="dxa" w:w="1994"/>
          </w:tcPr>
          <w:p>
            <w:pPr>
              <w:jc w:val="center"/>
            </w:pPr>
            <w:r/>
            <w:r>
              <w:rPr>
                <w:b w:val="0"/>
                <w:i w:val="0"/>
                <w:sz w:val="16"/>
              </w:rPr>
              <w:t>🟢</w:t>
            </w:r>
          </w:p>
        </w:tc>
      </w:tr>
    </w:tbl>
    <w:p/>
    <w:p>
      <w:r>
        <w:rPr>
          <w:b w:val="0"/>
          <w:i w:val="0"/>
          <w:color w:val="1F4E79"/>
          <w:sz w:val="19"/>
        </w:rPr>
        <w:t>💡 ESTIMACIÓN / CÁLCULO PROPIO: EBITDA FY3/2026 = BO 1.456 + amortización 511 = 1.967 M JPY. Caja neta = caja 9.390 − deuda financiera 4.362 = 5.028 M JPY → DN/EBITDA = −2,6x. ROIC = BO × (1 − 30,6%) / (FP 19.039 + deuda 4.362 − caja 9.390) = 1.010 / 14.011 = 7,2%. DSO = 11.363/45.579×365 = 91 días.</w:t>
      </w:r>
    </w:p>
    <w:p>
      <w:pPr>
        <w:pStyle w:val="Heading2"/>
      </w:pPr>
      <w:r>
        <w:t>Evaluación de existencia de moat</w:t>
      </w:r>
    </w:p>
    <w:p>
      <w:r>
        <w:rPr>
          <w:b w:val="0"/>
          <w:i w:val="0"/>
        </w:rPr>
        <w:t xml:space="preserve">Según Dorsey, los transformadores de commodities casi nunca tienen foso económico: compiten en precio y el retorno sobre capital a lo largo del ciclo converge al coste de capital o por debajo. Nichiwa lo confirma: </w:t>
      </w:r>
      <w:r>
        <w:rPr>
          <w:b/>
          <w:i w:val="0"/>
        </w:rPr>
        <w:t>ROE medio de 1,5% en seis años</w:t>
      </w:r>
      <w:r>
        <w:rPr>
          <w:b w:val="0"/>
          <w:i w:val="0"/>
        </w:rPr>
        <w:t xml:space="preserve"> frente a un coste de capital que la propia empresa estima en </w:t>
      </w:r>
      <w:r>
        <w:rPr>
          <w:b/>
          <w:i w:val="0"/>
        </w:rPr>
        <w:t>6,7-8,0%</w:t>
      </w:r>
      <w:r>
        <w:rPr>
          <w:b w:val="0"/>
          <w:i w:val="0"/>
        </w:rPr>
        <w:t xml:space="preserve"> (las tasas que usa en sus pruebas de deterioro). </w:t>
      </w:r>
      <w:r>
        <w:rPr>
          <w:b/>
          <w:i w:val="0"/>
        </w:rPr>
        <w:t>Conclusión preliminar: SIN MOAT (inexistente)</w:t>
      </w:r>
      <w:r>
        <w:rPr>
          <w:b w:val="0"/>
          <w:i w:val="0"/>
        </w:rPr>
        <w:t>, con ventajas locales menores (logística portuaria y relaciones con clientes). Se desarrolla en la Sección 2.</w:t>
      </w:r>
    </w:p>
    <w:p>
      <w:r>
        <w:rPr>
          <w:b w:val="0"/>
          <w:i/>
          <w:color w:val="555555"/>
          <w:sz w:val="17"/>
        </w:rPr>
        <w:t>[Fuente: Yuho FY3/2025 (F_2024.pdf, presentado jun-2025) nota de deterioro (WACC 6,7%); Yuho FY3/2026 (F_2025.pdf, 25-jun-2026), p.44 (WACC 8,0%)]</w:t>
      </w:r>
    </w:p>
    <w:p>
      <w:pPr>
        <w:pStyle w:val="Heading1"/>
      </w:pPr>
      <w:r>
        <w:t>1.6 Mecánica de Generación de Ingresos</w:t>
      </w:r>
    </w:p>
    <w:p>
      <w:pPr>
        <w:pStyle w:val="Heading2"/>
      </w:pPr>
      <w:r>
        <w:t>Modelo de pricing</w:t>
      </w:r>
    </w:p>
    <w:p>
      <w:pPr>
        <w:pStyle w:val="ListBullet"/>
      </w:pPr>
      <w:r>
        <w:rPr>
          <w:b/>
          <w:i w:val="0"/>
        </w:rPr>
        <w:t>Revisión trimestral del precio</w:t>
      </w:r>
      <w:r>
        <w:rPr>
          <w:b w:val="0"/>
          <w:i w:val="0"/>
        </w:rPr>
        <w:t xml:space="preserve"> (abril, julio, octubre, enero), en línea con el calendario de JA Zen-Noh y del resto del sector. El precio se ajusta a la variación esperada del coste de maíz (CBOT), harina de soja, fletes marítimos y el tipo USD/JPY. Revisiones recientes: FY3/2026 bajó tres veces (abr, jul y oct-2025) y subió en ene-2026; en abr-2026 volvió a subir.</w:t>
      </w:r>
    </w:p>
    <w:p>
      <w:pPr>
        <w:pStyle w:val="ListBullet"/>
      </w:pPr>
      <w:r>
        <w:rPr>
          <w:b/>
          <w:i w:val="0"/>
        </w:rPr>
        <w:t>Retraso del traslado + FIFO:</w:t>
      </w:r>
      <w:r>
        <w:rPr>
          <w:b w:val="0"/>
          <w:i w:val="0"/>
        </w:rPr>
        <w:t xml:space="preserve"> las existencias se valoran por FIFO y el grano se compra con meses de antelación. Cuando el coste sube, el margen se comprime (FY3/2022-23); cuando baja, el precio de venta baja más despacio y el margen se amplía (FY3/2024-26). </w:t>
      </w:r>
      <w:r>
        <w:rPr>
          <w:b/>
          <w:i w:val="0"/>
        </w:rPr>
        <w:t>El beneficio es un diferencial temporal, no un margen estructural.</w:t>
      </w:r>
    </w:p>
    <w:p>
      <w:pPr>
        <w:pStyle w:val="ListBullet"/>
      </w:pPr>
      <w:r>
        <w:rPr>
          <w:b/>
          <w:i w:val="0"/>
        </w:rPr>
        <w:t>Fondo de Estabilización (配合飼料価格安定制度):</w:t>
      </w:r>
      <w:r>
        <w:rPr>
          <w:b w:val="0"/>
          <w:i w:val="0"/>
        </w:rPr>
        <w:t xml:space="preserve"> fabricantes y ganaderos aportan a un fondo que compensa al ganadero cuando el precio del pienso supera la media del último año. Para Nichiwa es un </w:t>
      </w:r>
      <w:r>
        <w:rPr>
          <w:b/>
          <w:i w:val="0"/>
        </w:rPr>
        <w:t>gasto de venta</w:t>
      </w:r>
      <w:r>
        <w:rPr>
          <w:b w:val="0"/>
          <w:i w:val="0"/>
        </w:rPr>
        <w:t xml:space="preserve"> variable (1.198 M JPY en FY3/2026) que sube con el tiempo tras periodos de grano caro.</w:t>
      </w:r>
    </w:p>
    <w:p>
      <w:pPr>
        <w:pStyle w:val="ListBullet"/>
      </w:pPr>
      <w:r>
        <w:rPr>
          <w:b/>
          <w:i w:val="0"/>
        </w:rPr>
        <w:t>Cobertura de divisa:</w:t>
      </w:r>
      <w:r>
        <w:rPr>
          <w:b w:val="0"/>
          <w:i w:val="0"/>
        </w:rPr>
        <w:t xml:space="preserve"> contratos a plazo USD/JPY solo sobre cuentas a pagar en divisa (615 M JPY de nocional a mar-2026); sin especulación. 🟡 La cobertura es pequeña frente a un coste de ventas de 41.448 M JPY: el tipo de cambio se traslada sobre todo vía precio.</w:t>
      </w:r>
    </w:p>
    <w:p>
      <w:r>
        <w:rPr>
          <w:b w:val="0"/>
          <w:i/>
          <w:color w:val="555555"/>
          <w:sz w:val="17"/>
        </w:rPr>
        <w:t>[Fuente: Yuho FY3/2026 (F_2025.pdf, 25-jun-2026), p.7-8 (riesgos y MD&amp;A), p.38 (FIFO), p.43 (gastos de venta), p.53 (derivados); Kessan Tanshin 1T FY3/2027 (Q1_2026.pdf, 12-ago-2026), p.4]</w:t>
      </w:r>
    </w:p>
    <w:p>
      <w:pPr>
        <w:pStyle w:val="Heading2"/>
      </w:pPr>
      <w:r>
        <w:t>Estacionalidad</w:t>
      </w:r>
    </w:p>
    <w:p>
      <w:r>
        <w:rPr>
          <w:b w:val="0"/>
          <w:i w:val="0"/>
        </w:rPr>
        <w:t xml:space="preserve">Estacionalidad baja en volumen (el ganado come todo el año), pero con dos efectos: (i) el </w:t>
      </w:r>
      <w:r>
        <w:rPr>
          <w:b/>
          <w:i w:val="0"/>
        </w:rPr>
        <w:t>4.º trimestre fiscal (ene-mar)</w:t>
      </w:r>
      <w:r>
        <w:rPr>
          <w:b w:val="0"/>
          <w:i w:val="0"/>
        </w:rPr>
        <w:t xml:space="preserve"> concentra los brotes de </w:t>
      </w:r>
      <w:r>
        <w:rPr>
          <w:b/>
          <w:i w:val="0"/>
        </w:rPr>
        <w:t>gripe aviar</w:t>
      </w:r>
      <w:r>
        <w:rPr>
          <w:b w:val="0"/>
          <w:i w:val="0"/>
        </w:rPr>
        <w:t xml:space="preserve">, que reducen las cabañas de ponedoras y la demanda de pienso avícola; (ii) los </w:t>
      </w:r>
      <w:r>
        <w:rPr>
          <w:b/>
          <w:i w:val="0"/>
        </w:rPr>
        <w:t>cambios de precio en enero y abril</w:t>
      </w:r>
      <w:r>
        <w:rPr>
          <w:b w:val="0"/>
          <w:i w:val="0"/>
        </w:rPr>
        <w:t xml:space="preserve"> desplazan márgenes entre trimestres. Ejemplo FY3/2024: beneficio antes de impuestos acumulado de 151 / 563 / 842 / 1.054 M JPY por trimestre, con el 1T débil.</w:t>
      </w:r>
    </w:p>
    <w:p>
      <w:r>
        <w:rPr>
          <w:b w:val="0"/>
          <w:i/>
          <w:color w:val="555555"/>
          <w:sz w:val="17"/>
        </w:rPr>
        <w:t>[Fuente: Yuho FY3/2024 (F_2023.pdf, presentado jun-2024), p.62 «四半期情報»]</w:t>
      </w:r>
    </w:p>
    <w:p>
      <w:pPr>
        <w:pStyle w:val="Heading2"/>
      </w:pPr>
      <w:r>
        <w:t>Ciclo de conversión de caja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7"/>
              </w:rPr>
              <w:t>Ejercicio</w:t>
            </w:r>
          </w:p>
        </w:tc>
        <w:tc>
          <w:tcPr>
            <w:tcW w:type="dxa" w:w="1994"/>
            <w:shd w:val="clear" w:color="auto" w:fill="1F3A5F"/>
          </w:tcPr>
          <w:p>
            <w:r/>
            <w:r>
              <w:rPr>
                <w:b/>
                <w:color w:val="FFFFFF"/>
                <w:sz w:val="17"/>
              </w:rPr>
              <w:t>DSO (días)</w:t>
            </w:r>
          </w:p>
        </w:tc>
        <w:tc>
          <w:tcPr>
            <w:tcW w:type="dxa" w:w="1994"/>
            <w:shd w:val="clear" w:color="auto" w:fill="1F3A5F"/>
          </w:tcPr>
          <w:p>
            <w:r/>
            <w:r>
              <w:rPr>
                <w:b/>
                <w:color w:val="FFFFFF"/>
                <w:sz w:val="17"/>
              </w:rPr>
              <w:t>DIO (días)</w:t>
            </w:r>
          </w:p>
        </w:tc>
        <w:tc>
          <w:tcPr>
            <w:tcW w:type="dxa" w:w="1994"/>
            <w:shd w:val="clear" w:color="auto" w:fill="1F3A5F"/>
          </w:tcPr>
          <w:p>
            <w:r/>
            <w:r>
              <w:rPr>
                <w:b/>
                <w:color w:val="FFFFFF"/>
                <w:sz w:val="17"/>
              </w:rPr>
              <w:t>DPO (días)</w:t>
            </w:r>
          </w:p>
        </w:tc>
        <w:tc>
          <w:tcPr>
            <w:tcW w:type="dxa" w:w="1994"/>
            <w:shd w:val="clear" w:color="auto" w:fill="1F3A5F"/>
          </w:tcPr>
          <w:p>
            <w:r/>
            <w:r>
              <w:rPr>
                <w:b/>
                <w:color w:val="FFFFFF"/>
                <w:sz w:val="17"/>
              </w:rPr>
              <w:t>CCC (días)</w:t>
            </w:r>
          </w:p>
        </w:tc>
      </w:tr>
      <w:tr>
        <w:tc>
          <w:tcPr>
            <w:tcW w:type="dxa" w:w="1994"/>
          </w:tcPr>
          <w:p>
            <w:r/>
            <w:r>
              <w:rPr>
                <w:b/>
                <w:i w:val="0"/>
                <w:sz w:val="17"/>
              </w:rPr>
              <w:t>FY3/2021</w:t>
            </w:r>
          </w:p>
        </w:tc>
        <w:tc>
          <w:tcPr>
            <w:tcW w:type="dxa" w:w="1994"/>
          </w:tcPr>
          <w:p>
            <w:pPr>
              <w:jc w:val="center"/>
            </w:pPr>
            <w:r/>
            <w:r>
              <w:rPr>
                <w:b w:val="0"/>
                <w:i w:val="0"/>
                <w:sz w:val="17"/>
              </w:rPr>
              <w:t>78</w:t>
            </w:r>
          </w:p>
        </w:tc>
        <w:tc>
          <w:tcPr>
            <w:tcW w:type="dxa" w:w="1994"/>
          </w:tcPr>
          <w:p>
            <w:pPr>
              <w:jc w:val="center"/>
            </w:pPr>
            <w:r/>
            <w:r>
              <w:rPr>
                <w:b w:val="0"/>
                <w:i w:val="0"/>
                <w:sz w:val="17"/>
              </w:rPr>
              <w:t>24</w:t>
            </w:r>
          </w:p>
        </w:tc>
        <w:tc>
          <w:tcPr>
            <w:tcW w:type="dxa" w:w="1994"/>
          </w:tcPr>
          <w:p>
            <w:pPr>
              <w:jc w:val="center"/>
            </w:pPr>
            <w:r/>
            <w:r>
              <w:rPr>
                <w:b w:val="0"/>
                <w:i w:val="0"/>
                <w:sz w:val="17"/>
              </w:rPr>
              <w:t>44</w:t>
            </w:r>
          </w:p>
        </w:tc>
        <w:tc>
          <w:tcPr>
            <w:tcW w:type="dxa" w:w="1994"/>
          </w:tcPr>
          <w:p>
            <w:pPr>
              <w:jc w:val="center"/>
            </w:pPr>
            <w:r/>
            <w:r>
              <w:rPr>
                <w:b w:val="0"/>
                <w:i w:val="0"/>
                <w:sz w:val="17"/>
              </w:rPr>
              <w:t>58</w:t>
            </w:r>
          </w:p>
        </w:tc>
      </w:tr>
      <w:tr>
        <w:tc>
          <w:tcPr>
            <w:tcW w:type="dxa" w:w="1994"/>
          </w:tcPr>
          <w:p>
            <w:r/>
            <w:r>
              <w:rPr>
                <w:b/>
                <w:i w:val="0"/>
                <w:sz w:val="17"/>
              </w:rPr>
              <w:t>FY3/2022</w:t>
            </w:r>
          </w:p>
        </w:tc>
        <w:tc>
          <w:tcPr>
            <w:tcW w:type="dxa" w:w="1994"/>
          </w:tcPr>
          <w:p>
            <w:pPr>
              <w:jc w:val="center"/>
            </w:pPr>
            <w:r/>
            <w:r>
              <w:rPr>
                <w:b w:val="0"/>
                <w:i w:val="0"/>
                <w:sz w:val="17"/>
              </w:rPr>
              <w:t>86</w:t>
            </w:r>
          </w:p>
        </w:tc>
        <w:tc>
          <w:tcPr>
            <w:tcW w:type="dxa" w:w="1994"/>
          </w:tcPr>
          <w:p>
            <w:pPr>
              <w:jc w:val="center"/>
            </w:pPr>
            <w:r/>
            <w:r>
              <w:rPr>
                <w:b w:val="0"/>
                <w:i w:val="0"/>
                <w:sz w:val="17"/>
              </w:rPr>
              <w:t>26</w:t>
            </w:r>
          </w:p>
        </w:tc>
        <w:tc>
          <w:tcPr>
            <w:tcW w:type="dxa" w:w="1994"/>
          </w:tcPr>
          <w:p>
            <w:pPr>
              <w:jc w:val="center"/>
            </w:pPr>
            <w:r/>
            <w:r>
              <w:rPr>
                <w:b w:val="0"/>
                <w:i w:val="0"/>
                <w:sz w:val="17"/>
              </w:rPr>
              <w:t>50</w:t>
            </w:r>
          </w:p>
        </w:tc>
        <w:tc>
          <w:tcPr>
            <w:tcW w:type="dxa" w:w="1994"/>
          </w:tcPr>
          <w:p>
            <w:pPr>
              <w:jc w:val="center"/>
            </w:pPr>
            <w:r/>
            <w:r>
              <w:rPr>
                <w:b w:val="0"/>
                <w:i w:val="0"/>
                <w:sz w:val="17"/>
              </w:rPr>
              <w:t>62</w:t>
            </w:r>
          </w:p>
        </w:tc>
      </w:tr>
      <w:tr>
        <w:tc>
          <w:tcPr>
            <w:tcW w:type="dxa" w:w="1994"/>
          </w:tcPr>
          <w:p>
            <w:r/>
            <w:r>
              <w:rPr>
                <w:b/>
                <w:i w:val="0"/>
                <w:sz w:val="17"/>
              </w:rPr>
              <w:t>FY3/2023</w:t>
            </w:r>
          </w:p>
        </w:tc>
        <w:tc>
          <w:tcPr>
            <w:tcW w:type="dxa" w:w="1994"/>
          </w:tcPr>
          <w:p>
            <w:pPr>
              <w:jc w:val="center"/>
            </w:pPr>
            <w:r/>
            <w:r>
              <w:rPr>
                <w:b w:val="0"/>
                <w:i w:val="0"/>
                <w:sz w:val="17"/>
              </w:rPr>
              <w:t>90</w:t>
            </w:r>
          </w:p>
        </w:tc>
        <w:tc>
          <w:tcPr>
            <w:tcW w:type="dxa" w:w="1994"/>
          </w:tcPr>
          <w:p>
            <w:pPr>
              <w:jc w:val="center"/>
            </w:pPr>
            <w:r/>
            <w:r>
              <w:rPr>
                <w:b w:val="0"/>
                <w:i w:val="0"/>
                <w:sz w:val="17"/>
              </w:rPr>
              <w:t>23</w:t>
            </w:r>
          </w:p>
        </w:tc>
        <w:tc>
          <w:tcPr>
            <w:tcW w:type="dxa" w:w="1994"/>
          </w:tcPr>
          <w:p>
            <w:pPr>
              <w:jc w:val="center"/>
            </w:pPr>
            <w:r/>
            <w:r>
              <w:rPr>
                <w:b w:val="0"/>
                <w:i w:val="0"/>
                <w:sz w:val="17"/>
              </w:rPr>
              <w:t>47</w:t>
            </w:r>
          </w:p>
        </w:tc>
        <w:tc>
          <w:tcPr>
            <w:tcW w:type="dxa" w:w="1994"/>
          </w:tcPr>
          <w:p>
            <w:pPr>
              <w:jc w:val="center"/>
            </w:pPr>
            <w:r/>
            <w:r>
              <w:rPr>
                <w:b w:val="0"/>
                <w:i w:val="0"/>
                <w:sz w:val="17"/>
              </w:rPr>
              <w:t>66</w:t>
            </w:r>
          </w:p>
        </w:tc>
      </w:tr>
      <w:tr>
        <w:tc>
          <w:tcPr>
            <w:tcW w:type="dxa" w:w="1994"/>
          </w:tcPr>
          <w:p>
            <w:r/>
            <w:r>
              <w:rPr>
                <w:b/>
                <w:i w:val="0"/>
                <w:sz w:val="17"/>
              </w:rPr>
              <w:t>FY3/2024</w:t>
            </w:r>
          </w:p>
        </w:tc>
        <w:tc>
          <w:tcPr>
            <w:tcW w:type="dxa" w:w="1994"/>
          </w:tcPr>
          <w:p>
            <w:pPr>
              <w:jc w:val="center"/>
            </w:pPr>
            <w:r/>
            <w:r>
              <w:rPr>
                <w:b w:val="0"/>
                <w:i w:val="0"/>
                <w:sz w:val="17"/>
              </w:rPr>
              <w:t>103</w:t>
            </w:r>
          </w:p>
        </w:tc>
        <w:tc>
          <w:tcPr>
            <w:tcW w:type="dxa" w:w="1994"/>
          </w:tcPr>
          <w:p>
            <w:pPr>
              <w:jc w:val="center"/>
            </w:pPr>
            <w:r/>
            <w:r>
              <w:rPr>
                <w:b w:val="0"/>
                <w:i w:val="0"/>
                <w:sz w:val="17"/>
              </w:rPr>
              <w:t>21</w:t>
            </w:r>
          </w:p>
        </w:tc>
        <w:tc>
          <w:tcPr>
            <w:tcW w:type="dxa" w:w="1994"/>
          </w:tcPr>
          <w:p>
            <w:pPr>
              <w:jc w:val="center"/>
            </w:pPr>
            <w:r/>
            <w:r>
              <w:rPr>
                <w:b w:val="0"/>
                <w:i w:val="0"/>
                <w:sz w:val="17"/>
              </w:rPr>
              <w:t>63</w:t>
            </w:r>
          </w:p>
        </w:tc>
        <w:tc>
          <w:tcPr>
            <w:tcW w:type="dxa" w:w="1994"/>
          </w:tcPr>
          <w:p>
            <w:pPr>
              <w:jc w:val="center"/>
            </w:pPr>
            <w:r/>
            <w:r>
              <w:rPr>
                <w:b w:val="0"/>
                <w:i w:val="0"/>
                <w:sz w:val="17"/>
              </w:rPr>
              <w:t>61</w:t>
            </w:r>
          </w:p>
        </w:tc>
      </w:tr>
      <w:tr>
        <w:tc>
          <w:tcPr>
            <w:tcW w:type="dxa" w:w="1994"/>
          </w:tcPr>
          <w:p>
            <w:r/>
            <w:r>
              <w:rPr>
                <w:b/>
                <w:i w:val="0"/>
                <w:sz w:val="17"/>
              </w:rPr>
              <w:t>FY3/2025</w:t>
            </w:r>
          </w:p>
        </w:tc>
        <w:tc>
          <w:tcPr>
            <w:tcW w:type="dxa" w:w="1994"/>
          </w:tcPr>
          <w:p>
            <w:pPr>
              <w:jc w:val="center"/>
            </w:pPr>
            <w:r/>
            <w:r>
              <w:rPr>
                <w:b w:val="0"/>
                <w:i w:val="0"/>
                <w:sz w:val="17"/>
              </w:rPr>
              <w:t>84</w:t>
            </w:r>
          </w:p>
        </w:tc>
        <w:tc>
          <w:tcPr>
            <w:tcW w:type="dxa" w:w="1994"/>
          </w:tcPr>
          <w:p>
            <w:pPr>
              <w:jc w:val="center"/>
            </w:pPr>
            <w:r/>
            <w:r>
              <w:rPr>
                <w:b w:val="0"/>
                <w:i w:val="0"/>
                <w:sz w:val="17"/>
              </w:rPr>
              <w:t>23</w:t>
            </w:r>
          </w:p>
        </w:tc>
        <w:tc>
          <w:tcPr>
            <w:tcW w:type="dxa" w:w="1994"/>
          </w:tcPr>
          <w:p>
            <w:pPr>
              <w:jc w:val="center"/>
            </w:pPr>
            <w:r/>
            <w:r>
              <w:rPr>
                <w:b w:val="0"/>
                <w:i w:val="0"/>
                <w:sz w:val="17"/>
              </w:rPr>
              <w:t>50</w:t>
            </w:r>
          </w:p>
        </w:tc>
        <w:tc>
          <w:tcPr>
            <w:tcW w:type="dxa" w:w="1994"/>
          </w:tcPr>
          <w:p>
            <w:pPr>
              <w:jc w:val="center"/>
            </w:pPr>
            <w:r/>
            <w:r>
              <w:rPr>
                <w:b w:val="0"/>
                <w:i w:val="0"/>
                <w:sz w:val="17"/>
              </w:rPr>
              <w:t>57</w:t>
            </w:r>
          </w:p>
        </w:tc>
      </w:tr>
      <w:tr>
        <w:tc>
          <w:tcPr>
            <w:tcW w:type="dxa" w:w="1994"/>
          </w:tcPr>
          <w:p>
            <w:r/>
            <w:r>
              <w:rPr>
                <w:b/>
                <w:i w:val="0"/>
                <w:sz w:val="17"/>
              </w:rPr>
              <w:t>FY3/2026</w:t>
            </w:r>
          </w:p>
        </w:tc>
        <w:tc>
          <w:tcPr>
            <w:tcW w:type="dxa" w:w="1994"/>
          </w:tcPr>
          <w:p>
            <w:pPr>
              <w:jc w:val="center"/>
            </w:pPr>
            <w:r/>
            <w:r>
              <w:rPr>
                <w:b w:val="0"/>
                <w:i w:val="0"/>
                <w:sz w:val="17"/>
              </w:rPr>
              <w:t>91</w:t>
            </w:r>
          </w:p>
        </w:tc>
        <w:tc>
          <w:tcPr>
            <w:tcW w:type="dxa" w:w="1994"/>
          </w:tcPr>
          <w:p>
            <w:pPr>
              <w:jc w:val="center"/>
            </w:pPr>
            <w:r/>
            <w:r>
              <w:rPr>
                <w:b w:val="0"/>
                <w:i w:val="0"/>
                <w:sz w:val="17"/>
              </w:rPr>
              <w:t>24</w:t>
            </w:r>
          </w:p>
        </w:tc>
        <w:tc>
          <w:tcPr>
            <w:tcW w:type="dxa" w:w="1994"/>
          </w:tcPr>
          <w:p>
            <w:pPr>
              <w:jc w:val="center"/>
            </w:pPr>
            <w:r/>
            <w:r>
              <w:rPr>
                <w:b w:val="0"/>
                <w:i w:val="0"/>
                <w:sz w:val="17"/>
              </w:rPr>
              <w:t>51</w:t>
            </w:r>
          </w:p>
        </w:tc>
        <w:tc>
          <w:tcPr>
            <w:tcW w:type="dxa" w:w="1994"/>
          </w:tcPr>
          <w:p>
            <w:pPr>
              <w:jc w:val="center"/>
            </w:pPr>
            <w:r/>
            <w:r>
              <w:rPr>
                <w:b w:val="0"/>
                <w:i w:val="0"/>
                <w:sz w:val="17"/>
              </w:rPr>
              <w:t>64</w:t>
            </w:r>
          </w:p>
        </w:tc>
      </w:tr>
    </w:tbl>
    <w:p/>
    <w:p>
      <w:r>
        <w:rPr>
          <w:b w:val="0"/>
          <w:i w:val="0"/>
          <w:color w:val="1F4E79"/>
          <w:sz w:val="19"/>
        </w:rPr>
        <w:t>💡 ESTIMACIÓN / CÁLCULO PROPIO: DSO = (efectos + derechos de cobro electrónicos + clientes) / ventas × 365; DIO = existencias / coste de ventas × 365; DPO = proveedores / coste de ventas × 365. Datos de los balances consolidados de cada Yuho.</w:t>
      </w:r>
    </w:p>
    <w:p>
      <w:r>
        <w:rPr>
          <w:b/>
          <w:i w:val="0"/>
        </w:rPr>
        <w:t>Lectura:</w:t>
      </w:r>
      <w:r>
        <w:rPr>
          <w:b w:val="0"/>
          <w:i w:val="0"/>
        </w:rPr>
        <w:t xml:space="preserve"> el ciclo de caja de ~60 días se debe a que </w:t>
      </w:r>
      <w:r>
        <w:rPr>
          <w:b/>
          <w:i w:val="0"/>
        </w:rPr>
        <w:t>Nichiwa financia a sus clientes ganaderos</w:t>
      </w:r>
      <w:r>
        <w:rPr>
          <w:b w:val="0"/>
          <w:i w:val="0"/>
        </w:rPr>
        <w:t xml:space="preserve"> (DSO de 85-100 días) mientras paga el grano en ~50 días. Cuando suben los precios del grano, el circulante absorbe caja: en FY3/2022-23 el flujo operativo fue de −1.038 y −1.533 M JPY. Por eso </w:t>
      </w:r>
      <w:r>
        <w:rPr>
          <w:b/>
          <w:i w:val="0"/>
        </w:rPr>
        <w:t>la caja del balance no es íntegramente «excedente»</w:t>
      </w:r>
      <w:r>
        <w:rPr>
          <w:b w:val="0"/>
          <w:i w:val="0"/>
        </w:rPr>
        <w:t>: en parte es un colchón para el ciclo de circulante.</w:t>
      </w:r>
    </w:p>
    <w:p>
      <w:pPr>
        <w:pStyle w:val="Heading2"/>
      </w:pPr>
      <w:r>
        <w:t>Drivers de ingresos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6"/>
              </w:rPr>
              <w:t>Driver</w:t>
            </w:r>
          </w:p>
        </w:tc>
        <w:tc>
          <w:tcPr>
            <w:tcW w:type="dxa" w:w="2493"/>
            <w:shd w:val="clear" w:color="auto" w:fill="1F3A5F"/>
          </w:tcPr>
          <w:p>
            <w:r/>
            <w:r>
              <w:rPr>
                <w:b/>
                <w:color w:val="FFFFFF"/>
                <w:sz w:val="16"/>
              </w:rPr>
              <w:t>Efecto en ventas</w:t>
            </w:r>
          </w:p>
        </w:tc>
        <w:tc>
          <w:tcPr>
            <w:tcW w:type="dxa" w:w="2493"/>
            <w:shd w:val="clear" w:color="auto" w:fill="1F3A5F"/>
          </w:tcPr>
          <w:p>
            <w:r/>
            <w:r>
              <w:rPr>
                <w:b/>
                <w:color w:val="FFFFFF"/>
                <w:sz w:val="16"/>
              </w:rPr>
              <w:t>Efecto en margen</w:t>
            </w:r>
          </w:p>
        </w:tc>
        <w:tc>
          <w:tcPr>
            <w:tcW w:type="dxa" w:w="2493"/>
            <w:shd w:val="clear" w:color="auto" w:fill="1F3A5F"/>
          </w:tcPr>
          <w:p>
            <w:r/>
            <w:r>
              <w:rPr>
                <w:b/>
                <w:color w:val="FFFFFF"/>
                <w:sz w:val="16"/>
              </w:rPr>
              <w:t>Situación oct-2026</w:t>
            </w:r>
          </w:p>
        </w:tc>
      </w:tr>
      <w:tr>
        <w:tc>
          <w:tcPr>
            <w:tcW w:type="dxa" w:w="2493"/>
          </w:tcPr>
          <w:p>
            <w:r/>
            <w:r>
              <w:rPr>
                <w:b/>
                <w:i w:val="0"/>
                <w:sz w:val="16"/>
              </w:rPr>
              <w:t>Precio maíz/soja (CBOT)</w:t>
            </w:r>
          </w:p>
        </w:tc>
        <w:tc>
          <w:tcPr>
            <w:tcW w:type="dxa" w:w="2493"/>
          </w:tcPr>
          <w:p>
            <w:pPr>
              <w:jc w:val="center"/>
            </w:pPr>
            <w:r/>
            <w:r>
              <w:rPr>
                <w:b w:val="0"/>
                <w:i w:val="0"/>
                <w:sz w:val="16"/>
              </w:rPr>
              <w:t>Directo (+)</w:t>
            </w:r>
          </w:p>
        </w:tc>
        <w:tc>
          <w:tcPr>
            <w:tcW w:type="dxa" w:w="2493"/>
          </w:tcPr>
          <w:p>
            <w:pPr>
              <w:jc w:val="center"/>
            </w:pPr>
            <w:r/>
            <w:r>
              <w:rPr>
                <w:b w:val="0"/>
                <w:i w:val="0"/>
                <w:sz w:val="16"/>
              </w:rPr>
              <w:t>Inverso a corto plazo (retraso)</w:t>
            </w:r>
          </w:p>
        </w:tc>
        <w:tc>
          <w:tcPr>
            <w:tcW w:type="dxa" w:w="2493"/>
          </w:tcPr>
          <w:p>
            <w:pPr>
              <w:jc w:val="center"/>
            </w:pPr>
            <w:r/>
            <w:r>
              <w:rPr>
                <w:b w:val="0"/>
                <w:i w:val="0"/>
                <w:sz w:val="16"/>
              </w:rPr>
              <w:t>🟡 maíz al alza en 1T por fletes, a la baja por buena cosecha EE. UU.</w:t>
            </w:r>
          </w:p>
        </w:tc>
      </w:tr>
      <w:tr>
        <w:tc>
          <w:tcPr>
            <w:tcW w:type="dxa" w:w="2493"/>
          </w:tcPr>
          <w:p>
            <w:r/>
            <w:r>
              <w:rPr>
                <w:b/>
                <w:i w:val="0"/>
                <w:sz w:val="16"/>
              </w:rPr>
              <w:t>USD/JPY</w:t>
            </w:r>
          </w:p>
        </w:tc>
        <w:tc>
          <w:tcPr>
            <w:tcW w:type="dxa" w:w="2493"/>
          </w:tcPr>
          <w:p>
            <w:pPr>
              <w:jc w:val="center"/>
            </w:pPr>
            <w:r/>
            <w:r>
              <w:rPr>
                <w:b w:val="0"/>
                <w:i w:val="0"/>
                <w:sz w:val="16"/>
              </w:rPr>
              <w:t>Directo (+ con yen débil)</w:t>
            </w:r>
          </w:p>
        </w:tc>
        <w:tc>
          <w:tcPr>
            <w:tcW w:type="dxa" w:w="2493"/>
          </w:tcPr>
          <w:p>
            <w:pPr>
              <w:jc w:val="center"/>
            </w:pPr>
            <w:r/>
            <w:r>
              <w:rPr>
                <w:b w:val="0"/>
                <w:i w:val="0"/>
                <w:sz w:val="16"/>
              </w:rPr>
              <w:t>Inverso a corto plazo</w:t>
            </w:r>
          </w:p>
        </w:tc>
        <w:tc>
          <w:tcPr>
            <w:tcW w:type="dxa" w:w="2493"/>
          </w:tcPr>
          <w:p>
            <w:pPr>
              <w:jc w:val="center"/>
            </w:pPr>
            <w:r/>
            <w:r>
              <w:rPr>
                <w:b w:val="0"/>
                <w:i w:val="0"/>
                <w:sz w:val="16"/>
              </w:rPr>
              <w:t>🔴 yen débil por diferencial de tipos y Oriente Medio</w:t>
            </w:r>
          </w:p>
        </w:tc>
      </w:tr>
      <w:tr>
        <w:tc>
          <w:tcPr>
            <w:tcW w:type="dxa" w:w="2493"/>
          </w:tcPr>
          <w:p>
            <w:r/>
            <w:r>
              <w:rPr>
                <w:b/>
                <w:i w:val="0"/>
                <w:sz w:val="16"/>
              </w:rPr>
              <w:t>Fletes marítimos / petróleo</w:t>
            </w:r>
          </w:p>
        </w:tc>
        <w:tc>
          <w:tcPr>
            <w:tcW w:type="dxa" w:w="2493"/>
          </w:tcPr>
          <w:p>
            <w:pPr>
              <w:jc w:val="center"/>
            </w:pPr>
            <w:r/>
            <w:r>
              <w:rPr>
                <w:b w:val="0"/>
                <w:i w:val="0"/>
                <w:sz w:val="16"/>
              </w:rPr>
              <w:t>Directo</w:t>
            </w:r>
          </w:p>
        </w:tc>
        <w:tc>
          <w:tcPr>
            <w:tcW w:type="dxa" w:w="2493"/>
          </w:tcPr>
          <w:p>
            <w:pPr>
              <w:jc w:val="center"/>
            </w:pPr>
            <w:r/>
            <w:r>
              <w:rPr>
                <w:b w:val="0"/>
                <w:i w:val="0"/>
                <w:sz w:val="16"/>
              </w:rPr>
              <w:t>Inverso</w:t>
            </w:r>
          </w:p>
        </w:tc>
        <w:tc>
          <w:tcPr>
            <w:tcW w:type="dxa" w:w="2493"/>
          </w:tcPr>
          <w:p>
            <w:pPr>
              <w:jc w:val="center"/>
            </w:pPr>
            <w:r/>
            <w:r>
              <w:rPr>
                <w:b w:val="0"/>
                <w:i w:val="0"/>
                <w:sz w:val="16"/>
              </w:rPr>
              <w:t>🔴 al alza por Oriente Medio</w:t>
            </w:r>
          </w:p>
        </w:tc>
      </w:tr>
      <w:tr>
        <w:tc>
          <w:tcPr>
            <w:tcW w:type="dxa" w:w="2493"/>
          </w:tcPr>
          <w:p>
            <w:r/>
            <w:r>
              <w:rPr>
                <w:b/>
                <w:i w:val="0"/>
                <w:sz w:val="16"/>
              </w:rPr>
              <w:t>Cabaña ganadera (gripe aviar, PPC)</w:t>
            </w:r>
          </w:p>
        </w:tc>
        <w:tc>
          <w:tcPr>
            <w:tcW w:type="dxa" w:w="2493"/>
          </w:tcPr>
          <w:p>
            <w:pPr>
              <w:jc w:val="center"/>
            </w:pPr>
            <w:r/>
            <w:r>
              <w:rPr>
                <w:b w:val="0"/>
                <w:i w:val="0"/>
                <w:sz w:val="16"/>
              </w:rPr>
              <w:t>Volumen</w:t>
            </w:r>
          </w:p>
        </w:tc>
        <w:tc>
          <w:tcPr>
            <w:tcW w:type="dxa" w:w="2493"/>
          </w:tcPr>
          <w:p>
            <w:pPr>
              <w:jc w:val="center"/>
            </w:pPr>
            <w:r/>
            <w:r>
              <w:rPr>
                <w:b w:val="0"/>
                <w:i w:val="0"/>
                <w:sz w:val="16"/>
              </w:rPr>
              <w:t>Mayor riesgo de crédito</w:t>
            </w:r>
          </w:p>
        </w:tc>
        <w:tc>
          <w:tcPr>
            <w:tcW w:type="dxa" w:w="2493"/>
          </w:tcPr>
          <w:p>
            <w:pPr>
              <w:jc w:val="center"/>
            </w:pPr>
            <w:r/>
            <w:r>
              <w:rPr>
                <w:b w:val="0"/>
                <w:i w:val="0"/>
                <w:sz w:val="16"/>
              </w:rPr>
              <w:t>🟡 la gripe aviar sigue reduciendo la oferta de huevo</w:t>
            </w:r>
          </w:p>
        </w:tc>
      </w:tr>
      <w:tr>
        <w:tc>
          <w:tcPr>
            <w:tcW w:type="dxa" w:w="2493"/>
          </w:tcPr>
          <w:p>
            <w:r/>
            <w:r>
              <w:rPr>
                <w:b/>
                <w:i w:val="0"/>
                <w:sz w:val="16"/>
              </w:rPr>
              <w:t>Precios de productos ganaderos</w:t>
            </w:r>
          </w:p>
        </w:tc>
        <w:tc>
          <w:tcPr>
            <w:tcW w:type="dxa" w:w="2493"/>
          </w:tcPr>
          <w:p>
            <w:pPr>
              <w:jc w:val="center"/>
            </w:pPr>
            <w:r/>
            <w:r>
              <w:rPr>
                <w:b w:val="0"/>
                <w:i w:val="0"/>
                <w:sz w:val="16"/>
              </w:rPr>
              <w:t>Solvencia de clientes; segmento ganadería</w:t>
            </w:r>
          </w:p>
        </w:tc>
        <w:tc>
          <w:tcPr>
            <w:tcW w:type="dxa" w:w="2493"/>
          </w:tcPr>
          <w:p>
            <w:pPr>
              <w:jc w:val="center"/>
            </w:pPr>
            <w:r/>
            <w:r>
              <w:rPr>
                <w:b w:val="0"/>
                <w:i w:val="0"/>
                <w:sz w:val="16"/>
              </w:rPr>
              <w:t>Directo en ganadería</w:t>
            </w:r>
          </w:p>
        </w:tc>
        <w:tc>
          <w:tcPr>
            <w:tcW w:type="dxa" w:w="2493"/>
          </w:tcPr>
          <w:p>
            <w:pPr>
              <w:jc w:val="center"/>
            </w:pPr>
            <w:r/>
            <w:r>
              <w:rPr>
                <w:b w:val="0"/>
                <w:i w:val="0"/>
                <w:sz w:val="16"/>
              </w:rPr>
              <w:t>🟢 huevo alto; cerdo y pollo estables</w:t>
            </w:r>
          </w:p>
        </w:tc>
      </w:tr>
      <w:tr>
        <w:tc>
          <w:tcPr>
            <w:tcW w:type="dxa" w:w="2493"/>
          </w:tcPr>
          <w:p>
            <w:r/>
            <w:r>
              <w:rPr>
                <w:b/>
                <w:i w:val="0"/>
                <w:sz w:val="16"/>
              </w:rPr>
              <w:t>Aportación al fondo de estabilización</w:t>
            </w:r>
          </w:p>
        </w:tc>
        <w:tc>
          <w:tcPr>
            <w:tcW w:type="dxa" w:w="2493"/>
          </w:tcPr>
          <w:p>
            <w:pPr>
              <w:jc w:val="center"/>
            </w:pPr>
            <w:r/>
            <w:r>
              <w:rPr>
                <w:b w:val="0"/>
                <w:i w:val="0"/>
                <w:sz w:val="16"/>
              </w:rPr>
              <w:t>—</w:t>
            </w:r>
          </w:p>
        </w:tc>
        <w:tc>
          <w:tcPr>
            <w:tcW w:type="dxa" w:w="2493"/>
          </w:tcPr>
          <w:p>
            <w:pPr>
              <w:jc w:val="center"/>
            </w:pPr>
            <w:r/>
            <w:r>
              <w:rPr>
                <w:b w:val="0"/>
                <w:i w:val="0"/>
                <w:sz w:val="16"/>
              </w:rPr>
              <w:t>Inverso</w:t>
            </w:r>
          </w:p>
        </w:tc>
        <w:tc>
          <w:tcPr>
            <w:tcW w:type="dxa" w:w="2493"/>
          </w:tcPr>
          <w:p>
            <w:pPr>
              <w:jc w:val="center"/>
            </w:pPr>
            <w:r/>
            <w:r>
              <w:rPr>
                <w:b w:val="0"/>
                <w:i w:val="0"/>
                <w:sz w:val="16"/>
              </w:rPr>
              <w:t>🔴 en máximos (≈1.200 M JPY/año)</w:t>
            </w:r>
          </w:p>
        </w:tc>
      </w:tr>
      <w:tr>
        <w:tc>
          <w:tcPr>
            <w:tcW w:type="dxa" w:w="2493"/>
          </w:tcPr>
          <w:p>
            <w:r/>
            <w:r>
              <w:rPr>
                <w:b/>
                <w:i w:val="0"/>
                <w:sz w:val="16"/>
              </w:rPr>
              <w:t>Cuota de mercado y volumen</w:t>
            </w:r>
          </w:p>
        </w:tc>
        <w:tc>
          <w:tcPr>
            <w:tcW w:type="dxa" w:w="2493"/>
          </w:tcPr>
          <w:p>
            <w:pPr>
              <w:jc w:val="center"/>
            </w:pPr>
            <w:r/>
            <w:r>
              <w:rPr>
                <w:b w:val="0"/>
                <w:i w:val="0"/>
                <w:sz w:val="16"/>
              </w:rPr>
              <w:t>Directo</w:t>
            </w:r>
          </w:p>
        </w:tc>
        <w:tc>
          <w:tcPr>
            <w:tcW w:type="dxa" w:w="2493"/>
          </w:tcPr>
          <w:p>
            <w:pPr>
              <w:jc w:val="center"/>
            </w:pPr>
            <w:r/>
            <w:r>
              <w:rPr>
                <w:b w:val="0"/>
                <w:i w:val="0"/>
                <w:sz w:val="16"/>
              </w:rPr>
              <w:t>Apalancamiento operativo</w:t>
            </w:r>
          </w:p>
        </w:tc>
        <w:tc>
          <w:tcPr>
            <w:tcW w:type="dxa" w:w="2493"/>
          </w:tcPr>
          <w:p>
            <w:pPr>
              <w:jc w:val="center"/>
            </w:pPr>
            <w:r/>
            <w:r>
              <w:rPr>
                <w:b w:val="0"/>
                <w:i w:val="0"/>
                <w:sz w:val="16"/>
              </w:rPr>
              <w:t>🟡 sin datos; sector maduro</w:t>
            </w:r>
          </w:p>
        </w:tc>
      </w:tr>
    </w:tbl>
    <w:p/>
    <w:p>
      <w:r>
        <w:rPr>
          <w:b w:val="0"/>
          <w:i/>
          <w:color w:val="555555"/>
          <w:sz w:val="17"/>
        </w:rPr>
        <w:t>[Fuente: Kessan Tanshin 1T FY3/2027 (Q1_2026.pdf, 12-ago-2026), p.4; Yuho FY3/2026 (F_2025.pdf, 25-jun-2026), p.8]</w:t>
      </w:r>
    </w:p>
    <w:p>
      <w:pPr>
        <w:pStyle w:val="Heading1"/>
      </w:pPr>
      <w:r>
        <w:t>1.7 El mercado en el que opera</w:t>
      </w:r>
    </w:p>
    <w:p>
      <w:r>
        <w:rPr>
          <w:b w:val="0"/>
          <w:i w:val="0"/>
        </w:rPr>
        <w:t xml:space="preserve">💡 / ⚠️ Contexto sectorial (fuentes secundarias; la empresa no publica cuotas): Japón produce unos </w:t>
      </w:r>
      <w:r>
        <w:rPr>
          <w:b/>
          <w:i w:val="0"/>
        </w:rPr>
        <w:t>23 millones de toneladas anuales de pienso compuesto</w:t>
      </w:r>
      <w:r>
        <w:rPr>
          <w:b w:val="0"/>
          <w:i w:val="0"/>
        </w:rPr>
        <w:t xml:space="preserve"> y depende de la importación para la mayor parte del maíz y la soja. El mercado está dominado por (i) el sistema cooperativo </w:t>
      </w:r>
      <w:r>
        <w:rPr>
          <w:b/>
          <w:i w:val="0"/>
        </w:rPr>
        <w:t>JA Zen-Noh</w:t>
      </w:r>
      <w:r>
        <w:rPr>
          <w:b w:val="0"/>
          <w:i w:val="0"/>
        </w:rPr>
        <w:t xml:space="preserve"> y sus filiales, que marca de facto el precio de referencia trimestral; (ii) grupos comerciales ligados a las grandes tradings: </w:t>
      </w:r>
      <w:r>
        <w:rPr>
          <w:b/>
          <w:i w:val="0"/>
        </w:rPr>
        <w:t>Feed One</w:t>
      </w:r>
      <w:r>
        <w:rPr>
          <w:b w:val="0"/>
          <w:i w:val="0"/>
        </w:rPr>
        <w:t xml:space="preserve"> (TSE 2060, ventas de 290.675 M JPY en FY3/2026), </w:t>
      </w:r>
      <w:r>
        <w:rPr>
          <w:b/>
          <w:i w:val="0"/>
        </w:rPr>
        <w:t>Chubu Shiryo</w:t>
      </w:r>
      <w:r>
        <w:rPr>
          <w:b w:val="0"/>
          <w:i w:val="0"/>
        </w:rPr>
        <w:t xml:space="preserve"> (TSE 2053, 211.814 M JPY), Marubeni-Nisshin Feed, Nosan (grupo Mitsubishi) y la alianza Itochu Feed/Chubu; y (iii) independientes regionales pequeños como Nichiwa. Con ≈44.000 M JPY de ventas de pienso, </w:t>
      </w:r>
      <w:r>
        <w:rPr>
          <w:b/>
          <w:i w:val="0"/>
        </w:rPr>
        <w:t>Nichiwa factura ≈15% de lo que factura Feed One</w:t>
      </w:r>
      <w:r>
        <w:rPr>
          <w:b w:val="0"/>
          <w:i w:val="0"/>
        </w:rPr>
        <w:t>. ⚠️ Su cuota de volumen estimada sería de ≈1,5-2,5% del mercado nacional.</w:t>
      </w:r>
    </w:p>
    <w:p>
      <w:r>
        <w:rPr>
          <w:b w:val="0"/>
          <w:i w:val="0"/>
          <w:color w:val="1F4E79"/>
          <w:sz w:val="19"/>
        </w:rPr>
        <w:t>💡 ESTIMACIÓN / CÁLCULO PROPIO: Si el precio medio del pienso compuesto se sitúa en ≈90.000-100.000 JPY/t (referencia Zen-Noh; varía por especie), 43.669 M JPY de ventas de piensos equivalen a ≈440.000-490.000 t/año, es decir ≈1,9-2,1% de 23 Mt. El componente de compraventa de productos ganaderos dentro del segmento hace que esta cifra esté sobreestimada.</w:t>
      </w:r>
    </w:p>
    <w:p>
      <w:r>
        <w:rPr>
          <w:b w:val="0"/>
          <w:i/>
          <w:color w:val="555555"/>
          <w:sz w:val="17"/>
        </w:rPr>
        <w:t>[Fuente: JA Zen-Noh: subida de 3.700 JPY/t para jul-sep 2026 (logi-today.com/966921, sogyotecho.jp, jul-2026); resultados FY3/2026 de Feed One y Chubu Shiryo (TDnet, mayo-2026, vía búsqueda); kantei.go.jp (estructura del sector)]</w:t>
      </w:r>
    </w:p>
    <w:p>
      <w:r>
        <w:rPr>
          <w:b/>
          <w:i w:val="0"/>
        </w:rPr>
        <w:t>Tendencias estructurales:</w:t>
      </w:r>
      <w:r>
        <w:rPr>
          <w:b w:val="0"/>
          <w:i w:val="0"/>
        </w:rPr>
        <w:t xml:space="preserve"> 🔴 menos explotaciones ganaderas, pero más grandes (más poder de negociación de los clientes); 🔴 población japonesa en descenso; 🟡 consolidación del sector (Feed One nace en 2014-15 de la fusión de Kyodo Shiryo y Nippon Haigo Shiryo; alianza Itochu/Chubu de 2015); 🟢 la seguridad alimentaria y el autoabastecimiento son prioridad política, con apoyo del Ministerio de Agricultura a la racionalización de fábricas y silos; 🟢 la presión para reducir metano abre un nicho de piensos funcionales, donde Nichiwa investiga.</w:t>
      </w:r>
    </w:p>
    <w:p>
      <w:pPr>
        <w:pStyle w:val="Heading1"/>
      </w:pPr>
      <w:r>
        <w:t>Conclusión de la Sección 1</w:t>
      </w:r>
    </w:p>
    <w:tbl>
      <w:tblPr>
        <w:tblStyle w:val="TableGrid"/>
        <w:tblW w:type="auto" w:w="0"/>
        <w:tblLook w:firstColumn="1" w:firstRow="1" w:lastColumn="0" w:lastRow="0" w:noHBand="0" w:noVBand="1" w:val="04A0"/>
      </w:tblPr>
      <w:tblGrid>
        <w:gridCol w:w="9972"/>
      </w:tblGrid>
      <w:tr>
        <w:tc>
          <w:tcPr>
            <w:tcW w:type="dxa" w:w="9972"/>
            <w:shd w:val="clear" w:color="auto" w:fill="FFF4E5"/>
          </w:tcPr>
          <w:p>
            <w:r/>
            <w:r>
              <w:rPr>
                <w:b w:val="0"/>
                <w:i w:val="0"/>
              </w:rPr>
              <w:t xml:space="preserve">🟡 </w:t>
            </w:r>
            <w:r>
              <w:rPr>
                <w:b/>
                <w:i w:val="0"/>
              </w:rPr>
              <w:t>Negocio comprensible, maduro y sin ventaja competitiva.</w:t>
            </w:r>
            <w:r>
              <w:rPr>
                <w:b w:val="0"/>
                <w:i w:val="0"/>
              </w:rPr>
              <w:t xml:space="preserve"> Nichiwa es un molinero de pienso regional que convierte grano importado en alimento animal con un margen fino y cíclico. Ingresos ≈45.000 M JPY, sin crecimiento real en volumen, 96% del negocio en piensos y una filial ganadera que destruye valor.</w:t>
            </w:r>
          </w:p>
          <w:p>
            <w:r>
              <w:rPr>
                <w:b w:val="0"/>
                <w:i w:val="0"/>
              </w:rPr>
              <w:t xml:space="preserve">🟢 Lo que la hace interesante no es el negocio sino el </w:t>
            </w:r>
            <w:r>
              <w:rPr>
                <w:b/>
                <w:i w:val="0"/>
              </w:rPr>
              <w:t>balance</w:t>
            </w:r>
            <w:r>
              <w:rPr>
                <w:b w:val="0"/>
                <w:i w:val="0"/>
              </w:rPr>
              <w:t>: 9.390 M JPY de caja (≈150% de la capitalización) y fondos propios de 19.039 M JPY frente a 6.267 M JPY de capitalización.</w:t>
            </w:r>
          </w:p>
          <w:p>
            <w:r>
              <w:rPr>
                <w:b w:val="0"/>
                <w:i w:val="0"/>
              </w:rPr>
              <w:t xml:space="preserve">🔴 El beneficio de FY3/2026 (BO de 1.456 M JPY) está en </w:t>
            </w:r>
            <w:r>
              <w:rPr>
                <w:b/>
                <w:i w:val="0"/>
              </w:rPr>
              <w:t>máximos de ciclo</w:t>
            </w:r>
            <w:r>
              <w:rPr>
                <w:b w:val="0"/>
                <w:i w:val="0"/>
              </w:rPr>
              <w:t xml:space="preserve"> por el diferencial temporal de precios del grano. La propia dirección prevé una caída del 66% en FY3/2027.</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