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Financiero Detallado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4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4.1 Revenue Analysis</w:t>
      </w:r>
    </w:p>
    <w:p>
      <w:pPr>
        <w:pStyle w:val="Heading2"/>
      </w:pPr>
      <w:r>
        <w:t>Evolución trimestral / semestral (últimos 8 periodos disponibles)</w:t>
      </w:r>
    </w:p>
    <w:p>
      <w:r>
        <w:rPr>
          <w:b w:val="0"/>
          <w:i w:val="0"/>
        </w:rPr>
        <w:t>🔍 Desde abril de 2024 Japón eliminó el informe trimestral obligatorio (四半期報告書) y lo sustituyó por un informe semestral (半期報告書). Nichiwa publica el Kessan Tanshin del 1T, pero los informes anuales de FY3/2025 y FY3/2026 solo dan datos semestrales. La serie combina trimestres y semestres según disponibilidad.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Ventas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Var. a/a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BO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Bº antes de impuestos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BN atribuible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Comentario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3T FY3/2024 (oct-dic 23)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13.760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−9,9%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279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163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Bajada de precios en oct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4T FY3/2024 (ene-mar 24)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13.239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−3,4%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212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−16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Deterioro de 168 en Towa; venta de terreno +395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1T FY3/2025 (abr-jun 24)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≈12.394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≈−9,1%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≈180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Estimado a partir de la variación publicada en 1T FY3/2026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2T FY3/2025 (jul-sep 24)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≈12.122 💡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≈−1,1%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1S FY3/2025: ventas 24.516, BAI 545, BN 399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2S FY3/2025 (oct-24 a mar-25)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24.061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−10,9%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−46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−89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Deterioro de 644 (Miki y Kanoya)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1T FY3/2026 (abr-jun 25)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11.514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−7,1%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274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301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214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BO +51,8%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2T FY3/2026 (jul-sep 25)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10.729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≈−11,5%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255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189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1S FY3/2026: ventas 22.243, BAI 556, BN 403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2S FY3/2026 (oct-25 a mar-26)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23.336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−3,0%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n.d.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251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−25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Deterioro de 633 (Unzen y otras granjas)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1T FY3/2027 (abr-jun 26)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11.764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+2,2%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382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413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300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BO +39,1%; subida de precio en abr-26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FY3/2024 (F_2023.pdf, presentado jun-2024) p.62 (四半期情報); Yuho FY3/2025 (F_2024.pdf, presentado jun-2025) p.61 (半期情報); Yuho FY3/2026 (F_2025.pdf, 25-jun-2026) p.62; Kessan Tanshin 1T FY3/2027 (Q1_2026.pdf, 12-ago-2026) p.1 y p.6]</w:t>
      </w:r>
    </w:p>
    <w:p>
      <w:r>
        <w:rPr>
          <w:b w:val="0"/>
          <w:i w:val="0"/>
          <w:color w:val="1F4E79"/>
          <w:sz w:val="19"/>
        </w:rPr>
        <w:t>💡 ESTIMACIÓN / CÁLCULO PROPIO: 1T FY3/2025: 11.514/(1−0,071) = 12.394 y BO 274/1,518 = 180. 2T = 1S − 1T. 2S = año − 1S. Var. a/a del 2S FY3/2025 = 24.061/(52.887−25.888) − 1 = −10,9%.</w:t>
      </w:r>
    </w:p>
    <w:p>
      <w:pPr>
        <w:pStyle w:val="Heading2"/>
      </w:pPr>
      <w:r>
        <w:t>Evolución anual (últimos 6 años)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Ventas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Δ%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Bº bruto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Bº ordinario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BN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BPA (JPY)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7"/>
              </w:rPr>
              <w:t>FY3/2021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39.901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-4,9%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2.351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379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7,20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44.906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12,5%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2.472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217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6,08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54.659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21,7%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2.401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-200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-99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157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8,68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52.887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-3,2%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3.143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915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541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29,91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48.577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-8,1%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3.557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1.143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310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17,12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45.579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-6,2%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4.131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1.456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1.440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20,92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 de resultados consolidadas de cada Yuho (p.33-35)]</w:t>
      </w:r>
    </w:p>
    <w:p>
      <w:pPr>
        <w:pStyle w:val="Heading2"/>
      </w:pPr>
      <w:r>
        <w:t>CAGR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Fin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Años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CAGR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Ventas FY3/2017→FY3/2026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41.055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45.579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+1,2%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Ventas FY3/2021→FY3/2026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39.901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45.579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+2,7%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Ventas FY3/2023→FY3/2026 (desde el pico)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54.659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45.579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−5,9%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Bº ordinario FY3/2017→FY3/2026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806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1.440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+6,7%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BN FY3/2017→FY3/2026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+1,7%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BPA FY3/2017→FY3/2026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16,80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20,92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+2,5% (ayudado por la recompra de 2022)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Valor contable por acción FY3/2017→FY3/2026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871,31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1.051,22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+2,1%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CAGR = (Fin/Inicio)^(1/años) − 1. Ej.: (45.579/41.055)^(1/9) − 1 = 1,17%.</w:t>
      </w:r>
    </w:p>
    <w:p>
      <w:pPr>
        <w:pStyle w:val="Heading1"/>
      </w:pPr>
      <w:r>
        <w:t>4.2 Recurrencia de Ingresos</w:t>
      </w:r>
    </w:p>
    <w:p>
      <w:r>
        <w:rPr>
          <w:b w:val="0"/>
          <w:i w:val="0"/>
        </w:rPr>
        <w:t xml:space="preserve">🟡 </w:t>
      </w:r>
      <w:r>
        <w:rPr>
          <w:b/>
          <w:i w:val="0"/>
        </w:rPr>
        <w:t>Recurrencia «de facto» alta (~95%+), pero sin contratos.</w:t>
      </w:r>
      <w:r>
        <w:rPr>
          <w:b w:val="0"/>
          <w:i w:val="0"/>
        </w:rPr>
        <w:t xml:space="preserve"> El pienso es un consumible diario: los mismos ganaderos compran cada semana. Sin embargo </w:t>
      </w:r>
      <w:r>
        <w:rPr>
          <w:b/>
          <w:i w:val="0"/>
        </w:rPr>
        <w:t>no hay contratos plurianuales ni volúmenes garantizados</w:t>
      </w:r>
      <w:r>
        <w:rPr>
          <w:b w:val="0"/>
          <w:i w:val="0"/>
        </w:rPr>
        <w:t>, y el precio se revisa cada trimestre. La empresa «no produce bajo pedido» (受注生産を行っていない), así que no hay cartera de pedidos.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Tipo de ingreso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estimado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Naturaleza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Pienso a clientes habituales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≈90-95% 💡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Recurrente no contractual; volumen estable, precio variable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Compraventa de productos ganaderos de clientes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 (dentro de piensos)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Ligada a la financiación del cliente; volátil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Productos ganaderos propios (Towa)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≈4%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Precio de mercado spot (cerdo, pollo); muy volátil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Ingresos no operativos (venta de electricidad solar, alquileres, dividendos)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&lt;0,5%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Recurrentes y pequeños (venta de electricidad 49 M JPY, alquileres 22, dividendos 34)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p.9 (b. 受注実績) y p.33 (営業外収益)]</w:t>
      </w:r>
    </w:p>
    <w:p>
      <w:pPr>
        <w:pStyle w:val="Heading1"/>
      </w:pPr>
      <w:r>
        <w:t>4.3 Crecimiento Orgánico vs Adquisiciones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Δ Ventas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Orgánico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Adquisiciones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💡 Efecto precio (estimado)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💡 Efecto volumen/mix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+5.005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≈+12-15%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≈−1 a −3%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+9.753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≈+20-25%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≈−1 a −3%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−1.772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≈−3 a −5%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≈0 a +2%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−4.310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≈−7 a −9%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−2.998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≈−3 a −5%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≈−2 a −4%</w:t>
            </w:r>
          </w:p>
        </w:tc>
      </w:tr>
    </w:tbl>
    <w:p/>
    <w:p>
      <w:r>
        <w:rPr>
          <w:b w:val="0"/>
          <w:i w:val="0"/>
        </w:rPr>
        <w:t xml:space="preserve">🔍 </w:t>
      </w:r>
      <w:r>
        <w:rPr>
          <w:b/>
          <w:i w:val="0"/>
        </w:rPr>
        <w:t>Todo el crecimiento es orgánico</w:t>
      </w:r>
      <w:r>
        <w:rPr>
          <w:b w:val="0"/>
          <w:i w:val="0"/>
        </w:rPr>
        <w:t xml:space="preserve">; no hay adquisiciones en el periodo. ⚠️ La separación precio/volumen es una estimación propia: la empresa no publica toneladas. La comparamos con el valor de producción a coste (FY3/2026: −8,7% en piensos frente a ventas −6,5%) y con los movimientos del precio Zen-Noh. Que en FY3/2026 las ventas de Nichiwa (−6,5% en piensos) cayeran más que las de Feed One (+1,8%) y Chubu (+0,9%) sugiere </w:t>
      </w:r>
      <w:r>
        <w:rPr>
          <w:b/>
          <w:i w:val="0"/>
        </w:rPr>
        <w:t>pérdida de volumen</w:t>
      </w:r>
      <w:r>
        <w:rPr>
          <w:b w:val="0"/>
          <w:i w:val="0"/>
        </w:rPr>
        <w:t>.</w:t>
      </w:r>
    </w:p>
    <w:p>
      <w:r>
        <w:rPr>
          <w:b w:val="0"/>
          <w:i/>
          <w:color w:val="555555"/>
          <w:sz w:val="17"/>
        </w:rPr>
        <w:t>[Fuente: Yuho FY3/2026 (F_2025.pdf, 25-jun-2026), p.9 (生産実績 飼料事業 37.151, −8,7%)]</w:t>
      </w:r>
    </w:p>
    <w:p>
      <w:pPr>
        <w:pStyle w:val="Heading1"/>
      </w:pPr>
      <w:r>
        <w:t>4.4 Análisis M&amp;A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Año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Importe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 creado/destruido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Michinoku Shiryo (asociada, planta de pienso de vacuno)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2003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Participación de 31 M JPY al coste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Neutral: externaliza producción de vacuno en Tohoku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Transferencia interna de granjas a Towa Chikusan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2018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Intragrupo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Destrucción: el negocio ganadero acumula deterioros de 1.445 M JPY (FY3/2024-26) y préstamos provisionados de 1.604 M JPY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Recompra de acciones (ToSTNeT)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feb-2022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426 M JPY (1,2 M acciones a 355 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Creación: a 0,37x valor contable; probablemente compradas a un accionista que salía (Unearth International, Seychelles, 4,95% en 2021 y ausente desde 2022 ⚠️)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 p.4 y p.44; Yuho FY3/2022 (F_2021.pdf, presentado jun-2022) p.17; Yuho FY3/2021 (F_2020.pdf, presentado jun-2021) p.17 (accionistas)]</w:t>
      </w:r>
    </w:p>
    <w:p>
      <w:r>
        <w:rPr>
          <w:b w:val="0"/>
          <w:i w:val="0"/>
        </w:rPr>
        <w:t xml:space="preserve">🟡 Nichiwa </w:t>
      </w:r>
      <w:r>
        <w:rPr>
          <w:b/>
          <w:i w:val="0"/>
        </w:rPr>
        <w:t>no hace M&amp;A</w:t>
      </w:r>
      <w:r>
        <w:rPr>
          <w:b w:val="0"/>
          <w:i w:val="0"/>
        </w:rPr>
        <w:t>. La gran decisión de asignación de capital pendiente es qué hacer con el segmento ganadero, que lleva tres ejercicios consecutivos de deterioros.</w:t>
      </w:r>
    </w:p>
    <w:p>
      <w:pPr>
        <w:pStyle w:val="Heading1"/>
      </w:pPr>
      <w:r>
        <w:t>4.5 Backlog y Pipeline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Sin backlog.</w:t>
      </w:r>
      <w:r>
        <w:rPr>
          <w:b w:val="0"/>
          <w:i w:val="0"/>
        </w:rPr>
        <w:t xml:space="preserve"> No se produce bajo pedido. La visibilidad se limita a: (i) el precio ya anunciado para el trimestre en curso; (ii) el coste del grano y las coberturas de divisa (615 M JPY de nocional a mar-2026, cobertura pequeña); (iii) la previsión anual de la empresa: </w:t>
      </w:r>
      <w:r>
        <w:rPr>
          <w:b/>
          <w:i w:val="0"/>
        </w:rPr>
        <w:t>ventas de 50.000 M JPY (+9,7%), BO de 500 M JPY (−65,7%), Bº ordinario de 500 M JPY (−65,3%) y BN de 300 M JPY (−20,8%)</w:t>
      </w:r>
      <w:r>
        <w:rPr>
          <w:b w:val="0"/>
          <w:i w:val="0"/>
        </w:rPr>
        <w:t xml:space="preserve"> para FY3/2027, sin cambios tras el 1T.</w:t>
      </w:r>
    </w:p>
    <w:p>
      <w:r>
        <w:rPr>
          <w:b w:val="0"/>
          <w:i/>
          <w:color w:val="555555"/>
          <w:sz w:val="17"/>
        </w:rPr>
        <w:t>[Fuente: Yuho FY3/2026 (F_2025.pdf, 25-jun-2026) p.6 (経営戦略等) y p.53; Kessan Tanshin 1T FY3/2027 (Q1_2026.pdf, 12-ago-2026) p.1 y p.4]</w:t>
      </w:r>
    </w:p>
    <w:p>
      <w:r>
        <w:rPr>
          <w:b w:val="0"/>
          <w:i w:val="0"/>
          <w:color w:val="1F4E79"/>
          <w:sz w:val="19"/>
        </w:rPr>
        <w:t xml:space="preserve">💡 ESTIMACIÓN / CÁLCULO PROPIO: El 1T FY3/2027 ya ha generado un BO de 382 M JPY, el </w:t>
      </w:r>
      <w:r>
        <w:rPr>
          <w:b/>
          <w:i w:val="0"/>
          <w:color w:val="1F4E79"/>
          <w:sz w:val="19"/>
        </w:rPr>
        <w:t>76% de la previsión anual</w:t>
      </w:r>
      <w:r>
        <w:rPr>
          <w:b w:val="0"/>
          <w:i w:val="0"/>
          <w:color w:val="1F4E79"/>
          <w:sz w:val="19"/>
        </w:rPr>
        <w:t xml:space="preserve"> (500). Con el patrón histórico (en FY3/2026 el 1T fue el 19% del BO anual), la previsión parece </w:t>
      </w:r>
      <w:r>
        <w:rPr>
          <w:b/>
          <w:i w:val="0"/>
          <w:color w:val="1F4E79"/>
          <w:sz w:val="19"/>
        </w:rPr>
        <w:t>muy conservadora</w:t>
      </w:r>
      <w:r>
        <w:rPr>
          <w:b w:val="0"/>
          <w:i w:val="0"/>
          <w:color w:val="1F4E79"/>
          <w:sz w:val="19"/>
        </w:rPr>
        <w:t xml:space="preserve"> salvo un fuerte deterioro del margen en el 2S. Escenario base propio para FY3/2027: BO de 800-1.100 M JPY (ver Sección 10).</w:t>
      </w:r>
    </w:p>
    <w:p>
      <w:pPr>
        <w:pStyle w:val="Heading1"/>
      </w:pPr>
      <w:r>
        <w:t>4.6 Drivers de Crecimiento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Driver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Impacto potencial (BO)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Probabilidad 6-18m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1. Diferencial de precio vs coste del grano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Si el maíz y la soja se estabilizan y las subidas de abr/jul-2026 se mantienen, el margen bruto puede seguir por encima del 7%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±500-800 M JPY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 (50%)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2. Saneamiento del segmento ganadero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Tras 1.445 M JPY de deterioros, la base de activos es menor; el 1T muestra un BO de 60 M JPY con cerdo y huevo altos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+100-250 M JPY y menos deterioros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 (40-50%)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3. Reversión de provisiones de clientes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Recuperación de créditos concursales (1.243 M JPY brutos, provisionados al 100%)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+50-200 M JPY no recurrente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Media-baja (30%)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4. Reducción de la aportación al fondo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Si el fondo de estabilización se recapitaliza, las aportaciones (≈1.200 M JPY) pueden bajar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+100-400 M JPY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Baja a 18 meses (20%)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5. Piensos funcionales (bajo metano, sin antibióticos)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Nicho de valor añadido en línea con la política agrícola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Marginal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Baja (10%)</w:t>
            </w:r>
          </w:p>
        </w:tc>
      </w:tr>
    </w:tbl>
    <w:p/>
    <w:p>
      <w:pPr>
        <w:pStyle w:val="Heading1"/>
      </w:pPr>
      <w:r>
        <w:t>Conclusión de la Sección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🟡 Ingresos estancados en volumen y totalmente orgánicos, con un crecimiento nominal que depende del precio del grano. El beneficio es muy volátil (pérdida operativa en FY3/2023 y máximo en FY3/2026). 🟢 El 1T FY3/2027 es </w:t>
            </w:r>
            <w:r>
              <w:rPr>
                <w:b/>
                <w:i w:val="0"/>
              </w:rPr>
              <w:t>fuerte</w:t>
            </w:r>
            <w:r>
              <w:rPr>
                <w:b w:val="0"/>
                <w:i w:val="0"/>
              </w:rPr>
              <w:t xml:space="preserve"> (BO +39%) y deja la previsión anual de la dirección (BO de 500) con mucho margen de sorpresa positiva.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