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Dividendos y Recompras - Nichiwa Sangyo Co (2055) - 3/10/2026</w:t>
      </w:r>
    </w:p>
    <w:p>
      <w:r>
        <w:rPr>
          <w:b w:val="0"/>
          <w:i/>
          <w:color w:val="1F3A5F"/>
          <w:sz w:val="18"/>
        </w:rPr>
        <w:t>Análisis de Inversión - Nichiwa Sangyo Co (2055) - 3/10/2026 · Sección 8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31 de marzo (FY3/2026 = abr-2025 a mar-2026). Precio de referencia: </w:t>
      </w:r>
      <w:r>
        <w:rPr>
          <w:b/>
          <w:i w:val="0"/>
          <w:sz w:val="18"/>
        </w:rPr>
        <w:t>346 JPY</w:t>
      </w:r>
      <w:r>
        <w:rPr>
          <w:b w:val="0"/>
          <w:i w:val="0"/>
          <w:sz w:val="18"/>
        </w:rPr>
        <w:t xml:space="preserve"> (cierre del último día hábil, 2-oct-2026; verificado en rango 345-346 JPY a 25-sep-2026).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8.1 Política de Dividendos</w:t>
      </w:r>
    </w:p>
    <w:p>
      <w:r>
        <w:rPr>
          <w:b w:val="0"/>
          <w:i w:val="0"/>
        </w:rPr>
        <w:t xml:space="preserve">🔍 Política declarada: «asegurar reservas internas para reforzar a largo plazo la estructura financiera y la base de gestión, y pagar un </w:t>
      </w:r>
      <w:r>
        <w:rPr>
          <w:b/>
          <w:i w:val="0"/>
        </w:rPr>
        <w:t>dividendo estable y continuado</w:t>
      </w:r>
      <w:r>
        <w:rPr>
          <w:b w:val="0"/>
          <w:i w:val="0"/>
        </w:rPr>
        <w:t xml:space="preserve">». Un único pago anual (dividendo final), con posibilidad estatutaria de dividendo a cuenta, que </w:t>
      </w:r>
      <w:r>
        <w:rPr>
          <w:b/>
          <w:i w:val="0"/>
        </w:rPr>
        <w:t>nunca se ha utilizado</w:t>
      </w:r>
      <w:r>
        <w:rPr>
          <w:b w:val="0"/>
          <w:i w:val="0"/>
        </w:rPr>
        <w:t>. Desde la reforma de estatutos, el dividendo lo decide el consejo y no la junta.</w:t>
      </w:r>
    </w:p>
    <w:p>
      <w:r>
        <w:rPr>
          <w:b w:val="0"/>
          <w:i/>
          <w:color w:val="555555"/>
          <w:sz w:val="17"/>
        </w:rPr>
        <w:t>[Fuente: Yuho FY3/2026 (F_2025.pdf, 25-jun-2026), p.17 «配当政策» y p.20]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DPA (JPY)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Total (M JPY)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BPA consolidado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Payout consolidado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Payout individual (oficial)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Yield a 346 JPY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FY3/2017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16,80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31,4%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1,45%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FY3/2018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27,19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20,0%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1,45%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FY3/2019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13,17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21,3%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1,45%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19,23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34,7%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1,73%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7,20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382,2%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1,73%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6,08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84,3%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1,73%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8,68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36,8%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1,73%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 (6+2 cent.)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145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29,91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25,6%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2,31%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17,12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34,4%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1,73%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20,92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36,0%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1,73%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FY3/2027E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 (previsión)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16,56 (prev.) / ≈30 💡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36% / ≈20%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1,73%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DPA y payout individual: Yuho FY3/2021 (F_2020.pdf, presentado jun-2021) p.3; Yuho FY3/2026 (F_2025.pdf, 25-jun-2026) p.3; FY3/2027E: Kessan Tanshin 1T FY3/2027 (Q1_2026.pdf, 12-ago-2026) p.1 (dividendo a cuenta 0, final 6). FY3/2024 incluye 2 JPY de dividendo conmemorativo del centenario]</w:t>
      </w:r>
    </w:p>
    <w:p>
      <w:r>
        <w:rPr>
          <w:b w:val="0"/>
          <w:i w:val="0"/>
          <w:color w:val="1F4E79"/>
          <w:sz w:val="19"/>
        </w:rPr>
        <w:t>💡 ESTIMACIÓN / CÁLCULO PROPIO: Total = DPA × acciones en circulación (19,31 M hasta FY3/2021; 18,11 M desde la recompra de feb-2022). Dividend yield = 6/346 = 1,73%.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Dividendo plano</w:t>
      </w:r>
      <w:r>
        <w:rPr>
          <w:b w:val="0"/>
          <w:i w:val="0"/>
        </w:rPr>
        <w:t xml:space="preserve">: 5-6 JPY en 10 años (solo el extra del centenario en FY3/2024), sin relación con el beneficio, el FCF ni la caja. El payout consolidado de mitad de ciclo ronda el 30-35% y </w:t>
      </w:r>
      <w:r>
        <w:rPr>
          <w:b/>
          <w:i w:val="0"/>
        </w:rPr>
        <w:t>el dividendo apenas representa el 2,2% de la caja neta al año</w:t>
      </w:r>
      <w:r>
        <w:rPr>
          <w:b w:val="0"/>
          <w:i w:val="0"/>
        </w:rPr>
        <w:t xml:space="preserve">. 🟢 El dividendo es muy seguro: el coste anual (≈109 M JPY) es el 1,1% de la caja. ⚠️ Una búsqueda secundaria indica 12 JPY (6+6) para FY3/2027; </w:t>
      </w:r>
      <w:r>
        <w:rPr>
          <w:b/>
          <w:i w:val="0"/>
        </w:rPr>
        <w:t>el Tanshin oficial muestra dividendo a cuenta 0,00 y final 6,00 (total 6)</w:t>
      </w:r>
      <w:r>
        <w:rPr>
          <w:b w:val="0"/>
          <w:i w:val="0"/>
        </w:rPr>
        <w:t>. Prevalece la fuente primaria.</w:t>
      </w:r>
    </w:p>
    <w:p>
      <w:pPr>
        <w:pStyle w:val="Heading1"/>
      </w:pPr>
      <w:r>
        <w:t>8.2 Recompras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Acciones recompradas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Importe (M JPY)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Precio medio (JPY)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P/VC implícito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Autocartera a cierre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Buyback yield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≈77 (fracciones)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1.518.877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1.200.041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426,3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355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≈0,37x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2.718.918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≈6,0% (sobre la cap. de entonces)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2.718.971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2.718.972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2.719.032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2.719.032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0,0%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FY3/2022 (F_2021.pdf, presentado jun-2022) p.17 (acuerdo del consejo de 24-feb-2022: 1.200.000 acciones por 426.000 miles de JPY, ejecutado el 25-feb-2022); Yuho FY3/2026 (F_2025.pdf, 25-jun-2026) p.16-17 y p.45-46]</w:t>
      </w:r>
    </w:p>
    <w:p>
      <w:r>
        <w:rPr>
          <w:b w:val="0"/>
          <w:i w:val="0"/>
        </w:rPr>
        <w:t xml:space="preserve">🟢 La recompra de 2022 fue </w:t>
      </w:r>
      <w:r>
        <w:rPr>
          <w:b/>
          <w:i w:val="0"/>
        </w:rPr>
        <w:t>muy acertada</w:t>
      </w:r>
      <w:r>
        <w:rPr>
          <w:b w:val="0"/>
          <w:i w:val="0"/>
        </w:rPr>
        <w:t xml:space="preserve">: a 355 JPY, un 66% por debajo del valor contable, añadió ≈42 JPY de valor contable por acción a los accionistas que se quedaron. 🔴 Fue un hecho aislado, probablemente para dar salida a un accionista concreto (bloque fuera de mercado, en un solo día). Desde entonces </w:t>
      </w:r>
      <w:r>
        <w:rPr>
          <w:b/>
          <w:i w:val="0"/>
        </w:rPr>
        <w:t>no hay recompras</w:t>
      </w:r>
      <w:r>
        <w:rPr>
          <w:b w:val="0"/>
          <w:i w:val="0"/>
        </w:rPr>
        <w:t xml:space="preserve">, a pesar de que el P/B ha bajado a 0,33x. 🟡 La autocartera (13,05%) </w:t>
      </w:r>
      <w:r>
        <w:rPr>
          <w:b/>
          <w:i w:val="0"/>
        </w:rPr>
        <w:t>no se ha amortizado</w:t>
      </w:r>
      <w:r>
        <w:rPr>
          <w:b w:val="0"/>
          <w:i w:val="0"/>
        </w:rPr>
        <w:t>: puede reutilizarse (por ejemplo, para alianzas o intercambios de acciones).</w:t>
      </w:r>
    </w:p>
    <w:p>
      <w:r>
        <w:rPr>
          <w:b w:val="0"/>
          <w:i w:val="0"/>
          <w:color w:val="1F4E79"/>
          <w:sz w:val="19"/>
        </w:rPr>
        <w:t>💡 ESTIMACIÓN / CÁLCULO PROPIO: Efecto en el VC por acción de la recompra de 2022: PN tras la recompra 17.410 / 18,112 M acciones = 961 JPY frente a (17.410 + 426) / 19,312 M = 924 JPY sin recompra → +37-42 JPY/acción (≈+4%).</w:t>
      </w:r>
    </w:p>
    <w:p>
      <w:pPr>
        <w:pStyle w:val="Heading1"/>
      </w:pPr>
      <w:r>
        <w:t>8.3 Capital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Uso del capital (acumulado FY3/2021-26)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 JPY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% de la caja operativa generada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Flujo operativo (OCF) generado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4.342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CapEx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−4.083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94%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Préstamos netos a clientes (cobros − concesiones)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+160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−4%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Venta de activos (terreno FY3/2024)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+581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−13%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Compra de valores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−211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Dividendos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−699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16%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Recompras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−426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Variación neta de deuda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+93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−2%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Otros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−185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Variación de caja (9.818 → 9.390)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−428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</w:p>
        </w:tc>
      </w:tr>
    </w:tbl>
    <w:p/>
    <w:p>
      <w:r>
        <w:rPr>
          <w:b w:val="0"/>
          <w:i/>
          <w:color w:val="555555"/>
          <w:sz w:val="17"/>
        </w:rPr>
        <w:t>[Fuente: Estados de flujos de efectivo FY3/2021-26 (suma de los Yuho). Cálculo propio]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Opción de asignación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Situación actual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Valoración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Reinversión en el negocio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CapEx ≈ amortización; sin proyectos de crecimiento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M&amp;A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Ninguna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Dividendos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Payout de mitad de ciclo ≈30-35%; yield 1,7%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Bajo para el balance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Recompras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 desde 2022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Con P/B de 0,33x cada recompra acumula valor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Acumular caja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Caja neta de 5.028 M JPY → 5.777 M a jun-2026 💡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Destruye ROE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Potencial: un programa de recompra del 10% del capital (1,8 M acciones a ≈380 JPY = 690 M JPY) consumiría solo el 14% de la caja neta y subiría el VC por acción de ≈1.066 a ≈1.140 JPY (+7%) y el BPA ≈+11%. Un dividendo extraordinario de 100 JPY (1.811 M JPY) dejaría la caja neta en ≈3.950 M JPY y supondría un 29% del precio actual.</w:t>
      </w:r>
    </w:p>
    <w:p>
      <w:pPr>
        <w:pStyle w:val="Heading1"/>
      </w:pPr>
      <w:r>
        <w:t>Conclusión de la Sección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i w:val="0"/>
              </w:rPr>
              <w:t xml:space="preserve">🔴 </w:t>
            </w:r>
            <w:r>
              <w:rPr>
                <w:b/>
                <w:i w:val="0"/>
              </w:rPr>
              <w:t>La retribución al accionista es la gran asignatura pendiente</w:t>
            </w:r>
            <w:r>
              <w:rPr>
                <w:b w:val="0"/>
                <w:i w:val="0"/>
              </w:rPr>
              <w:t xml:space="preserve">: yield del 1,7%, dividendo congelado desde hace 10 años, sin recompras desde 2022 y caja creciendo. 🟢 La capacidad de pago es enorme: total shareholder yield potencial &gt;15% sin comprometer la solvencia. </w:t>
            </w:r>
            <w:r>
              <w:rPr>
                <w:b/>
                <w:i w:val="0"/>
              </w:rPr>
              <w:t>Cualquier cambio de política (aumento de payout, recompra, amortización de autocartera, plan de P/B) sería un catalizador directo del precio.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