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Valoración y Comparables - Nichiwa Sangyo Co (2055) - 3/10/2026</w:t>
      </w:r>
    </w:p>
    <w:p>
      <w:r>
        <w:rPr>
          <w:b w:val="0"/>
          <w:i/>
          <w:color w:val="1F3A5F"/>
          <w:sz w:val="18"/>
        </w:rPr>
        <w:t>Análisis de Inversión - Nichiwa Sangyo Co (2055) - 3/10/2026 · Sección 10 de 12</w:t>
      </w:r>
    </w:p>
    <w:p>
      <w:r>
        <w:rPr>
          <w:b w:val="0"/>
          <w:i w:val="0"/>
          <w:sz w:val="18"/>
        </w:rPr>
        <w:t xml:space="preserve">Moneda: </w:t>
      </w:r>
      <w:r>
        <w:rPr>
          <w:b/>
          <w:i w:val="0"/>
          <w:sz w:val="18"/>
        </w:rPr>
        <w:t>JPY</w:t>
      </w:r>
      <w:r>
        <w:rPr>
          <w:b w:val="0"/>
          <w:i w:val="0"/>
          <w:sz w:val="18"/>
        </w:rPr>
        <w:t xml:space="preserve"> (millones de yenes salvo indicación). Ejercicio fiscal cerrado a 31 de marzo (FY3/2026 = abr-2025 a mar-2026). Precio de referencia: </w:t>
      </w:r>
      <w:r>
        <w:rPr>
          <w:b/>
          <w:i w:val="0"/>
          <w:sz w:val="18"/>
        </w:rPr>
        <w:t>346 JPY</w:t>
      </w:r>
      <w:r>
        <w:rPr>
          <w:b w:val="0"/>
          <w:i w:val="0"/>
          <w:sz w:val="18"/>
        </w:rPr>
        <w:t xml:space="preserve"> (cierre del último día hábil, 2-oct-2026; verificado en rango 345-346 JPY a 25-sep-2026). Normas contables: J-GAAP. Leyenda: 🔍 DATO VERIFICADO · 💡 ESTIMACIÓN · ⚠️ ESPECULACIÓN · 🟢 Positivo / 🟡 Neutral / 🔴 Negativo.</w:t>
      </w:r>
    </w:p>
    <w:p>
      <w:pPr>
        <w:pStyle w:val="Heading1"/>
      </w:pPr>
      <w:r>
        <w:t>10.1 Múltiplos Actuales</w:t>
      </w:r>
    </w:p>
    <w:p>
      <w:r>
        <w:rPr>
          <w:b w:val="0"/>
          <w:i w:val="0"/>
        </w:rPr>
        <w:t xml:space="preserve">🔍 </w:t>
      </w:r>
      <w:r>
        <w:rPr>
          <w:b/>
          <w:i w:val="0"/>
        </w:rPr>
        <w:t>Precio actual: 346 JPY</w:t>
      </w:r>
      <w:r>
        <w:rPr>
          <w:b w:val="0"/>
          <w:i w:val="0"/>
        </w:rPr>
        <w:t xml:space="preserve"> (dato del encargo; contrastado con fuentes de mercado: 345,0 JPY al cierre del 25-sep-2026, con PER 20,89x, PBR 0,37x, yield 1,73% y capitalización de 72.000 M JPY según el cálculo del portal sobre las acciones emitidas). Ticker: </w:t>
      </w:r>
      <w:r>
        <w:rPr>
          <w:b/>
          <w:i w:val="0"/>
        </w:rPr>
        <w:t>2055.T</w:t>
      </w:r>
      <w:r>
        <w:rPr>
          <w:b w:val="0"/>
          <w:i w:val="0"/>
        </w:rPr>
        <w:t xml:space="preserve"> (Yahoo Finance) / </w:t>
      </w:r>
      <w:r>
        <w:rPr>
          <w:b/>
          <w:i w:val="0"/>
        </w:rPr>
        <w:t>TSE:2055</w:t>
      </w:r>
      <w:r>
        <w:rPr>
          <w:b w:val="0"/>
          <w:i w:val="0"/>
        </w:rPr>
        <w:t xml:space="preserve"> (TradingView). Segmento Standard de la TSE.</w:t>
      </w:r>
    </w:p>
    <w:p>
      <w:r>
        <w:rPr>
          <w:b w:val="0"/>
          <w:i/>
          <w:color w:val="555555"/>
          <w:sz w:val="17"/>
        </w:rPr>
        <w:t>[Fuente: Monex Scouter / Matsui / kabuyoho (búsqueda web del 3-oct-2026). Nota: los portales calculan PER y PBR con la previsión de BPA (16,56) y con el número de acciones emitidas; aquí usamos las acciones en circulación (18.111.793)]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Dato base</w:t>
            </w:r>
          </w:p>
        </w:tc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Valor</w:t>
            </w:r>
          </w:p>
        </w:tc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Cálculo / fuente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Acciones en circulación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18.111.793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20.830.825 emitidas − 2.719.032 en autocartera (Q1 p.2)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Capitalización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6.267 M JPY</w:t>
            </w:r>
            <w:r>
              <w:rPr>
                <w:b w:val="0"/>
                <w:i w:val="0"/>
                <w:sz w:val="17"/>
              </w:rPr>
              <w:t xml:space="preserve"> (≈42 M USD a 150 JPY/USD)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346 × 18.111.793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Deuda financiera (30-jun-26)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≈4.312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3.379 CP + 733 LP + ≈199 de vencimiento corriente ⚠️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Caja (30-jun-26)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10.089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Q1 p.5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EV (30-jun-26)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≈490 M JPY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6.267 + 4.312 − 10.089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EV (31-mar-26, coherente con las cifras anuales)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1.239 M JPY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6.267 + 4.362 − 9.390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BN de los últimos 12 meses (TTM)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464 M JPY → BPA 25,6 JPY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378 − 214 (1T FY26) + 300 (1T FY27)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BO TTM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1.564 M JPY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1.456 − 274 + 382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Valor contable por acción (30-jun-26)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1.066 JPY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19.314 / 18,11 M</w:t>
            </w:r>
          </w:p>
        </w:tc>
      </w:tr>
    </w:tbl>
    <w:p/>
    <w:p>
      <w:pPr>
        <w:pStyle w:val="Heading2"/>
      </w:pPr>
      <w:r>
        <w:t>Tabla de múltiplos (vs historia propia y sector)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Múltiplo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Actual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Base de cálculo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Historia propia (cierres FY3/2021-26)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Sector (Feed One / Chubu)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Valoración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5"/>
              </w:rPr>
              <w:t>P/E (TTM)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13,5x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BPA TTM 25,6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10,4x – 49,4x (mediana ≈22x)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≈9,0x / ≈10,0x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🟡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5"/>
              </w:rPr>
              <w:t>P/E (FY3/2026)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16,5x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BPA 20,92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🟡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5"/>
              </w:rPr>
              <w:t>P/E forward (previsión de la empresa)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20,9x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BPA previsto 16,56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8,7x / ≈8,1x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🔴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5"/>
              </w:rPr>
              <w:t>P/E forward (💡 estimación propia)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11,4x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BPA base ≈30,4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🟡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5"/>
              </w:rPr>
              <w:t>P/S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0,14x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Ventas TTM 45.829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0,08-0,17x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0,20x / ≈0,26x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🟢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5"/>
              </w:rPr>
              <w:t>P/B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0,32x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VC 1.066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0,25x – 0,39x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0,91x / ≈0,77x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🟢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5"/>
              </w:rPr>
              <w:t>EV/Revenue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0,01-0,03x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EV 490-1.239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n.d.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🟢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5"/>
              </w:rPr>
              <w:t>EV/EBITDA (FY3/2026)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0,63x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EBITDA 1.967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0,3x – 8,1x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n.d. (≈4-6x ⚠️)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🟢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5"/>
              </w:rPr>
              <w:t>EV/EBITDA normalizado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1,1x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EBITDA normalizado 1.150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🟢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5"/>
              </w:rPr>
              <w:t>EV/FCF (FY3/2026)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1,6x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FCF 773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🟢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5"/>
              </w:rPr>
              <w:t>EV/FCF normalizado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3,8x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FCF normalizado 330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🟢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5"/>
              </w:rPr>
              <w:t>Precio/NCAV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0,50x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NCAV 687,5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≈0,4-0,6x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🟢</w:t>
            </w:r>
          </w:p>
        </w:tc>
      </w:tr>
    </w:tbl>
    <w:p/>
    <w:p>
      <w:r>
        <w:rPr>
          <w:b w:val="0"/>
          <w:i w:val="0"/>
          <w:color w:val="1F4E79"/>
          <w:sz w:val="19"/>
        </w:rPr>
        <w:t>💡 ESTIMACIÓN / CÁLCULO PROPIO: Precios al cierre de cada ejercicio = PER publicado × BPA: FY3/2021 356; FY3/2022 295; FY3/2023 238; FY3/2024 311; FY3/2025 301; FY3/2026 384 JPY → P/B 0,39 / 0,31 / 0,25 / 0,31 / 0,30 / 0,37. EV/EBITDA histórico = (cap. + deuda − caja) / (BO + D&amp;A).</w:t>
      </w:r>
    </w:p>
    <w:p>
      <w:r>
        <w:rPr>
          <w:b w:val="0"/>
          <w:i/>
          <w:color w:val="555555"/>
          <w:sz w:val="17"/>
        </w:rPr>
        <w:t>[Fuente: PER publicados: Yuho FY3/2021 (F_2020.pdf, presentado jun-2021) p.2 y Yuho FY3/2026 (F_2025.pdf, 25-jun-2026) p.2]</w:t>
      </w:r>
    </w:p>
    <w:p>
      <w:pPr>
        <w:pStyle w:val="Heading1"/>
      </w:pPr>
      <w:r>
        <w:t>10.2 Empresas Comparables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Ticker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Justificación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Limitaciones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Feed One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TSE Prime 2060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N.º 1 privado en pienso compuesto (fusión de Kyodo Shiryo y Nippon Haigo); mismo negocio y mismos riesgos (grano, yen, fondo)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6,4x más grande; incluye negocio de alimentación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Chubu Shiryo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TSE Prime 2053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Fabricante de pienso de Nagoya, aliado de Itochu; modelo muy similar y balance sólido (66,8% de solvencia)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4,6x más grande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Higashimaru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Fukuoka 2058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Fabricante pequeño de pienso para acuicultura y alimentación en Kagoshima (misma región que una planta de Nichiwa); tamaño comparable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Más acuícola; bolsa regional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Axyz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TSE Standard 1381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Integradora avícola de Kagoshima (pienso + broiler): proxy del segmento ganadero y de los clientes de Nichiwa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Modelo integrado; ejercicio a junio</w:t>
            </w:r>
          </w:p>
        </w:tc>
      </w:tr>
    </w:tbl>
    <w:p/>
    <w:p>
      <w:r>
        <w:rPr>
          <w:b w:val="0"/>
          <w:i w:val="0"/>
        </w:rPr>
        <w:t xml:space="preserve">⚠️ Nota de verificación: los datos de los peers proceden de búsquedas web (TDnet, portales de Monex, Matsui, kabuyoho, edinetdb) del 3-oct-2026. No se han podido descargar los documentos originales por restricciones de red, así que se tratan como </w:t>
      </w:r>
      <w:r>
        <w:rPr>
          <w:b/>
          <w:i w:val="0"/>
        </w:rPr>
        <w:t>datos secundarios</w:t>
      </w:r>
      <w:r>
        <w:rPr>
          <w:b w:val="0"/>
          <w:i w:val="0"/>
        </w:rPr>
        <w:t xml:space="preserve"> y algunos se marcan n.d. o con ⚠️ cuando las fuentes discrepan.</w:t>
      </w:r>
    </w:p>
    <w:p>
      <w:pPr>
        <w:pStyle w:val="Heading1"/>
      </w:pPr>
      <w:r>
        <w:t>10.3 TABLA SCREENER COMPARATIVA COMPLETA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2041"/>
            <w:shd w:val="clear" w:color="auto" w:fill="1F3A5F"/>
          </w:tcPr>
          <w:p>
            <w:r/>
            <w:r>
              <w:rPr>
                <w:b/>
                <w:color w:val="FFFFFF"/>
                <w:sz w:val="14"/>
              </w:rPr>
              <w:t>Métrica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b/>
                <w:color w:val="FFFFFF"/>
                <w:sz w:val="14"/>
              </w:rPr>
              <w:t>Nichiwa 2055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b/>
                <w:color w:val="FFFFFF"/>
                <w:sz w:val="14"/>
              </w:rPr>
              <w:t>Feed One 2060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b/>
                <w:color w:val="FFFFFF"/>
                <w:sz w:val="14"/>
              </w:rPr>
              <w:t>Chubu 2053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b/>
                <w:color w:val="FFFFFF"/>
                <w:sz w:val="14"/>
              </w:rPr>
              <w:t>Higashimaru 2058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b/>
                <w:color w:val="FFFFFF"/>
                <w:sz w:val="14"/>
              </w:rPr>
              <w:t>Axyz 1381</w:t>
            </w:r>
          </w:p>
        </w:tc>
        <w:tc>
          <w:tcPr>
            <w:tcW w:type="dxa" w:w="964"/>
            <w:shd w:val="clear" w:color="auto" w:fill="1F3A5F"/>
          </w:tcPr>
          <w:p>
            <w:r/>
            <w:r>
              <w:rPr>
                <w:b/>
                <w:color w:val="FFFFFF"/>
                <w:sz w:val="14"/>
              </w:rPr>
              <w:t>Media peers</w:t>
            </w:r>
          </w:p>
        </w:tc>
        <w:tc>
          <w:tcPr>
            <w:tcW w:type="dxa" w:w="1304"/>
            <w:shd w:val="clear" w:color="auto" w:fill="1F3A5F"/>
          </w:tcPr>
          <w:p>
            <w:r/>
            <w:r>
              <w:rPr>
                <w:b/>
                <w:color w:val="FFFFFF"/>
                <w:sz w:val="14"/>
              </w:rPr>
              <w:t>Posición</w:t>
            </w:r>
          </w:p>
        </w:tc>
      </w:tr>
      <w:tr>
        <w:tc>
          <w:tcPr>
            <w:tcW w:type="dxa" w:w="1304"/>
            <w:gridSpan w:val="8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DATOS BÁSICOS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i w:val="0"/>
                <w:sz w:val="14"/>
              </w:rPr>
              <w:t>Ticker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2055.T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2060.T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2053.T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2058 (Fukuoka)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1381.T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i w:val="0"/>
                <w:sz w:val="14"/>
              </w:rPr>
              <w:t>Precio (fecha)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346 (2-oct-26)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1.489 (25-sep-26)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≈2.010 (sep-26) ⚠️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1.010 (24-sep-26)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i w:val="0"/>
                <w:sz w:val="14"/>
              </w:rPr>
              <w:t>Market Cap (M JPY)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6.267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≈57.300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≈55.700 ⚠️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≈56.500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−89%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i w:val="0"/>
                <w:sz w:val="14"/>
              </w:rPr>
              <w:t>Enterprise Value (M JPY)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490-1.239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</w:tr>
      <w:tr>
        <w:tc>
          <w:tcPr>
            <w:tcW w:type="dxa" w:w="1304"/>
            <w:gridSpan w:val="8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VALORACIÓN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i w:val="0"/>
                <w:sz w:val="14"/>
              </w:rPr>
              <w:t>P/E (TTM / FY3/26)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13,5x / 16,5x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≈9,0x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≈10,0x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≈9,5x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🔴 más caro por beneficio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i w:val="0"/>
                <w:sz w:val="14"/>
              </w:rPr>
              <w:t>P/E Forward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20,9x (prev.) / 11,4x 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8,7x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≈8,1x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≈8,4x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🔴/🟡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i w:val="0"/>
                <w:sz w:val="14"/>
              </w:rPr>
              <w:t>P/S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0,14x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0,20x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≈0,26x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≈0,23x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🟢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i w:val="0"/>
                <w:sz w:val="14"/>
              </w:rPr>
              <w:t>P/B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0,32x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0,91x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≈0,77x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0,89x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≈0,86x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🟢 −63%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i w:val="0"/>
                <w:sz w:val="14"/>
              </w:rPr>
              <w:t>EV/Revenue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0,01-0,03x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🟢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i w:val="0"/>
                <w:sz w:val="14"/>
              </w:rPr>
              <w:t>EV/EBITDA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0,6x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≈4-6x ⚠️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🟢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i w:val="0"/>
                <w:sz w:val="14"/>
              </w:rPr>
              <w:t>EV/FCF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1,6x (3,8x norm.)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🟢</w:t>
            </w:r>
          </w:p>
        </w:tc>
      </w:tr>
      <w:tr>
        <w:tc>
          <w:tcPr>
            <w:tcW w:type="dxa" w:w="1304"/>
            <w:gridSpan w:val="8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DEUDA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i w:val="0"/>
                <w:sz w:val="14"/>
              </w:rPr>
              <w:t>Debt/Equity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0,23x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🟢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i w:val="0"/>
                <w:sz w:val="14"/>
              </w:rPr>
              <w:t>Net Debt/EBITDA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−2,6x (caja neta)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🟢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i w:val="0"/>
                <w:sz w:val="14"/>
              </w:rPr>
              <w:t>Interest Coverage (EBITDA/int.)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27,7x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🟢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i w:val="0"/>
                <w:sz w:val="14"/>
              </w:rPr>
              <w:t>Solvencia (FP/AT)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61,8%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46,4%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66,8%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56,6%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🟢</w:t>
            </w:r>
          </w:p>
        </w:tc>
      </w:tr>
      <w:tr>
        <w:tc>
          <w:tcPr>
            <w:tcW w:type="dxa" w:w="1304"/>
            <w:gridSpan w:val="8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LIQUIDEZ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i w:val="0"/>
                <w:sz w:val="14"/>
              </w:rPr>
              <w:t>Current Ratio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2,33x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🟢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i w:val="0"/>
                <w:sz w:val="14"/>
              </w:rPr>
              <w:t>Quick Ratio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2,06x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🟢</w:t>
            </w:r>
          </w:p>
        </w:tc>
      </w:tr>
      <w:tr>
        <w:tc>
          <w:tcPr>
            <w:tcW w:type="dxa" w:w="1304"/>
            <w:gridSpan w:val="8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RENTABILIDAD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i w:val="0"/>
                <w:sz w:val="14"/>
              </w:rPr>
              <w:t>ROE %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2,0%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11,0%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7,9%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9,5%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🔴 −7,5 pp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i w:val="0"/>
                <w:sz w:val="14"/>
              </w:rPr>
              <w:t>ROA %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1,25%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≈5% ⚠️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5,1%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≈5,1%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🔴 −3,8 pp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i w:val="0"/>
                <w:sz w:val="14"/>
              </w:rPr>
              <w:t>ROIC %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7,2%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🟡</w:t>
            </w:r>
          </w:p>
        </w:tc>
      </w:tr>
      <w:tr>
        <w:tc>
          <w:tcPr>
            <w:tcW w:type="dxa" w:w="1304"/>
            <w:gridSpan w:val="8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MÁRGENES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i w:val="0"/>
                <w:sz w:val="14"/>
              </w:rPr>
              <w:t>Gross Margin %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9,1%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🟡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i w:val="0"/>
                <w:sz w:val="14"/>
              </w:rPr>
              <w:t>EBITDA Margin %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4,3%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🟡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i w:val="0"/>
                <w:sz w:val="14"/>
              </w:rPr>
              <w:t>Operating Margin %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3,2%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2,8%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3,1%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3,3%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3,1%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🟡 +0,1 pp (pico)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i w:val="0"/>
                <w:sz w:val="14"/>
              </w:rPr>
              <w:t>Net Margin %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0,8%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2,2%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2,6%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2,4%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🔴 −1,6 pp</w:t>
            </w:r>
          </w:p>
        </w:tc>
      </w:tr>
      <w:tr>
        <w:tc>
          <w:tcPr>
            <w:tcW w:type="dxa" w:w="1304"/>
            <w:gridSpan w:val="8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CRECIMIENTO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i w:val="0"/>
                <w:sz w:val="14"/>
              </w:rPr>
              <w:t>Revenue Growth YoY %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−6,2%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+1,8%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+0,9%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−(decrecimiento) ⚠️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+1,4%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🔴 −7,6 pp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i w:val="0"/>
                <w:sz w:val="14"/>
              </w:rPr>
              <w:t>Operating profit (≈EBITDA) Growth YoY %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+60,7% (BO)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+27,6% (BO)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+53,8% (BO)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+88,8% (Bº ord.)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+40,7% (FO/Chubu)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🟢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i w:val="0"/>
                <w:sz w:val="14"/>
              </w:rPr>
              <w:t>EPS Growth YoY %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+22,2%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+18,4% (BN)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+58,5% (BN)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+38,5%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🔴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i w:val="0"/>
                <w:sz w:val="14"/>
              </w:rPr>
              <w:t>Revenue CAGR 3Y %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−5,9%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🔴</w:t>
            </w:r>
          </w:p>
        </w:tc>
      </w:tr>
      <w:tr>
        <w:tc>
          <w:tcPr>
            <w:tcW w:type="dxa" w:w="1304"/>
            <w:gridSpan w:val="8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CASH FLOW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i w:val="0"/>
                <w:sz w:val="14"/>
              </w:rPr>
              <w:t>Operating CF (M JPY)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1.154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7.193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i w:val="0"/>
                <w:sz w:val="14"/>
              </w:rPr>
              <w:t>Free Cash Flow (M JPY)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773 (norm. 330)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i w:val="0"/>
                <w:sz w:val="14"/>
              </w:rPr>
              <w:t>FCF Margin %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1,7% (norm. 0,7%)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🟡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i w:val="0"/>
                <w:sz w:val="14"/>
              </w:rPr>
              <w:t>FCF Yield %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12,3% (norm. 5,3%)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🟢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i w:val="0"/>
                <w:sz w:val="14"/>
              </w:rPr>
              <w:t>CapEx/Revenue %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0,8%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🔴 infrainversión</w:t>
            </w:r>
          </w:p>
        </w:tc>
      </w:tr>
      <w:tr>
        <w:tc>
          <w:tcPr>
            <w:tcW w:type="dxa" w:w="1304"/>
            <w:gridSpan w:val="8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SHAREHOLDER RETURNS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i w:val="0"/>
                <w:sz w:val="14"/>
              </w:rPr>
              <w:t>Dividend Yield %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1,73%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3,49%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0,9-4,0% ⚠️ conflicto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1,19%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≈2,3%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🔴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i w:val="0"/>
                <w:sz w:val="14"/>
              </w:rPr>
              <w:t>Payout Ratio %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29% (consolidado)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≈31% 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🟡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i w:val="0"/>
                <w:sz w:val="14"/>
              </w:rPr>
              <w:t>Buyback Yield %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0%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🔴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i w:val="0"/>
                <w:sz w:val="14"/>
              </w:rPr>
              <w:t>Total Yield %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1,73%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≥3,5%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1,19%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🔴</w:t>
            </w:r>
          </w:p>
        </w:tc>
      </w:tr>
    </w:tbl>
    <w:p/>
    <w:p>
      <w:r>
        <w:rPr>
          <w:b w:val="0"/>
          <w:i/>
          <w:sz w:val="17"/>
        </w:rPr>
        <w:t>*🔍 Nichiwa: DATOS VERIFICADOS (Yuho FY3/2026 y Tanshin 1T FY3/2027). Peers: datos secundarios.*</w:t>
      </w:r>
    </w:p>
    <w:p>
      <w:r>
        <w:rPr>
          <w:b w:val="0"/>
          <w:i/>
          <w:color w:val="555555"/>
          <w:sz w:val="17"/>
        </w:rPr>
        <w:t>[Fuente: Feed One: precio 1.489 (25-sep-2026), PBR 0,91, yield 3,49% (DPA previsto 52), ROE 10,97%, solvencia 46,4% (Monex Scouter); resultados FY3/2026 y previsión FY3/2027 (TDnet). Chubu Shiryo: PER 7,97, PBR 0,73 y yield previsto 4,01% (10-ago-2026, kabuyoho); cierre ≈2.010 JPY (sep-2026, traders.co.jp); FY3/2026 y FY3/2027E (TDnet/edinetdb); edinetdb indica DPA de 18 JPY ⚠️ en conflicto. Higashimaru: 1.010 JPY, PBR 0,89, DPA 12 (kabuyoho, 24-sep-2026). Axyz: Bº ordinario FY6/2026 4.098 M JPY (+88,8%) (Monex). Payout de Feed One ≈ 52 × 38,5 M acc. / 6.500 previsto ≈ 31% ⚠️]</w:t>
      </w:r>
    </w:p>
    <w:p>
      <w:pPr>
        <w:pStyle w:val="Heading2"/>
      </w:pPr>
      <w:r>
        <w:t>Interpretación del posicionamiento</w:t>
      </w:r>
    </w:p>
    <w:p>
      <w:r>
        <w:rPr>
          <w:b w:val="0"/>
          <w:i w:val="0"/>
        </w:rPr>
        <w:t xml:space="preserve">Nichiwa es </w:t>
      </w:r>
      <w:r>
        <w:rPr>
          <w:b/>
          <w:i w:val="0"/>
        </w:rPr>
        <w:t>la más barata del grupo sobre activos</w:t>
      </w:r>
      <w:r>
        <w:rPr>
          <w:b w:val="0"/>
          <w:i w:val="0"/>
        </w:rPr>
        <w:t xml:space="preserve"> (P/B de 0,32x frente a ≈0,86x de media; EV casi nulo), pero </w:t>
      </w:r>
      <w:r>
        <w:rPr>
          <w:b/>
          <w:i w:val="0"/>
        </w:rPr>
        <w:t>no sobre beneficios</w:t>
      </w:r>
      <w:r>
        <w:rPr>
          <w:b w:val="0"/>
          <w:i w:val="0"/>
        </w:rPr>
        <w:t xml:space="preserve">: su P/E TTM (13,5x) es mayor que el de Feed One y Chubu (9-10x), porque su ROE es 4-5 veces menor. La relación P/B/ROE muestra que el mercado aplica a los grandes un múltiplo de ≈0,08-0,10x P/B por punto de ROE y a Nichiwa ≈0,16x: </w:t>
      </w:r>
      <w:r>
        <w:rPr>
          <w:b/>
          <w:i w:val="0"/>
        </w:rPr>
        <w:t>el descuento sobre el VC está explicado en gran parte por la baja rentabilidad</w:t>
      </w:r>
      <w:r>
        <w:rPr>
          <w:b w:val="0"/>
          <w:i w:val="0"/>
        </w:rPr>
        <w:t>, y el valor «escondido» está en la caja, no en el negocio. 🟢 Fortalezas relativas: balance, liquidez y caja neta. 🔴 Debilidades: ROE, crecimiento, retribución al accionista y tamaño.</w:t>
      </w:r>
    </w:p>
    <w:p>
      <w:pPr>
        <w:pStyle w:val="Heading1"/>
      </w:pPr>
      <w:r>
        <w:t>10.4 Valoración intrínseca (💡 cálculos propios)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Método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Supuestos clave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Valor equity (M JPY)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Valor por acción (JPY)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vs 346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5"/>
              </w:rPr>
              <w:t>1. NNWC (Graham, suelo de liquidación)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Caja 100% + clientes 75% + existencias 50% − pasivo total (mar-26)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7.526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416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+20%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5"/>
              </w:rPr>
              <w:t>2. NCAV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AC − pasivo total (jun-26)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12.451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688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+99%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5"/>
              </w:rPr>
              <w:t>3. P/B justificado (ROE/Ke)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ROE de mitad de ciclo 3,0% / Ke 7,5% = 0,40x × VC 1.066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7.725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426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+23%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5"/>
              </w:rPr>
              <w:t>4. Earnings Power Value (EPV)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NOPAT normalizado 416 / WACC 8% = 5.200 + caja excedente (5.028 − 2.000 de colchón de circulante) + valores netos de impuestos 1.459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9.687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535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+55%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5"/>
              </w:rPr>
              <w:t>5. EV/EBITDA normalizado 3,0x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1.150 × 3,0 = 3.450 + caja neta 5.028 + valores netos 1.459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9.937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549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+59%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5"/>
              </w:rPr>
              <w:t>6. DCF de FCF normalizado (crecimiento 0%)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330 / 8% = 4.125 + caja excedente 3.028 + valores netos 1.459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8.612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475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+37%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5"/>
              </w:rPr>
              <w:t>Rango / mediana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</w:p>
        </w:tc>
        <w:tc>
          <w:tcPr>
            <w:tcW w:type="dxa" w:w="1994"/>
          </w:tcPr>
          <w:p>
            <w:pPr>
              <w:jc w:val="center"/>
            </w:pPr>
            <w:r/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416-688 / mediana ≈505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+46% (mediana)</w:t>
            </w:r>
          </w:p>
        </w:tc>
      </w:tr>
    </w:tbl>
    <w:p/>
    <w:p>
      <w:r>
        <w:rPr>
          <w:b w:val="0"/>
          <w:i w:val="0"/>
          <w:color w:val="1F4E79"/>
          <w:sz w:val="19"/>
        </w:rPr>
        <w:t>💡 ESTIMACIÓN / CÁLCULO PROPIO: Valores netos de impuestos = 1.908 − 30,6% × plusvalía latente de 1.466 = 1.459 M JPY. WACC del 8,0% = tasa usada por la empresa en su deterioro de FY3/2026 (p.44). Colchón de circulante de 2.000 M JPY ≈ caja consumida en el peor año del ciclo. Ke 7,5% = prima de riesgo de una microcap japonesa ilíquida.</w:t>
      </w:r>
    </w:p>
    <w:p>
      <w:pPr>
        <w:pStyle w:val="Heading1"/>
      </w:pPr>
      <w:r>
        <w:t>10.5 Precio objetivo 6-18 meses y escenarios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Escenario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Probabilidad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Supuestos FY3/2027-28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Múltiplo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Precio objetivo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Retorno (+ dividendo 6 JPY)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5"/>
              </w:rPr>
              <w:t>🔴 Bajista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25%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BO cae al nivel de la previsión (500); BN ≈300 (BPA 16,6); nuevos deterioros en ganadería; sin cambios de capital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P/B 0,28x × VC ≈1.080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≈300 JPY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−12%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5"/>
              </w:rPr>
              <w:t>🟡 Base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55%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BO ≈900 (1T 382 + 2S con compresión); BN ≈550 (BPA ≈30); revisión al alza de la previsión en nov-2026; dividendo plano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P/B 0,40x × VC ≈1.090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≈440 JPY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+29%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5"/>
              </w:rPr>
              <w:t>🟢 Alcista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20%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BO ≥1.200; anuncio de plan de P/B, recompras/dividendo extraordinario, o una OPA/integración (p. ej. un accionista estratégico)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P/B 0,55-0,65x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≈620 JPY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+81%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5"/>
              </w:rPr>
              <w:t>Valor esperado ponderado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100%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≈441 JPY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≈+29%</w:t>
            </w:r>
          </w:p>
        </w:tc>
      </w:tr>
    </w:tbl>
    <w:p/>
    <w:p>
      <w:r>
        <w:rPr>
          <w:b w:val="0"/>
          <w:i w:val="0"/>
          <w:color w:val="1F4E79"/>
          <w:sz w:val="19"/>
        </w:rPr>
        <w:t>💡 ESTIMACIÓN / CÁLCULO PROPIO: VE = 0,25×300 + 0,55×440 + 0,20×620 = 75 + 242 + 124 = 441 JPY. VC por acción estimado a mar-2027 (base) = 1.066 + (550 − 109)/18,11 ≈ 1.090 JPY. BPA base = 550/18,11 = 30,4 JPY. Escenario base de BO: 1T 382 + 2T ≈250 + 2S ≈270 = ≈900.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5E9"/>
          </w:tcPr>
          <w:p>
            <w:r/>
            <w:r>
              <w:rPr>
                <w:b/>
                <w:i w:val="0"/>
              </w:rPr>
              <w:t>Precio objetivo base a 12 meses: 440 JPY (+27%; +29% con dividendo). Rango 300-620 JPY. Valor intrínseco central ≈505 JPY.</w:t>
            </w:r>
          </w:p>
          <w:p>
            <w:r>
              <w:rPr>
                <w:b w:val="0"/>
                <w:i w:val="0"/>
              </w:rPr>
              <w:t>🟢 La relación asimétrica es favorable: el riesgo bajista está limitado por el NNWC (≈416) y la caja neta (≈319 JPY/acción a jun-2026), mientras que el alcista depende de catalizadores de capital.</w:t>
            </w:r>
          </w:p>
          <w:p>
            <w:r>
              <w:rPr>
                <w:b w:val="0"/>
                <w:i w:val="0"/>
              </w:rPr>
              <w:t>🔴 El precio objetivo base exige que el P/B suba de 0,32x a 0,40x, algo que no ha pasado de forma sostenida en seis años sin catalizador.</w:t>
            </w:r>
          </w:p>
        </w:tc>
      </w:tr>
    </w:tbl>
    <w:p/>
    <w:p>
      <w:r>
        <w:rPr>
          <w:b w:val="0"/>
          <w:i w:val="0"/>
          <w:color w:val="1F4E79"/>
          <w:sz w:val="19"/>
        </w:rPr>
        <w:t>💡 ESTIMACIÓN / CÁLCULO PROPIO: Caja neta por acción a jun-2026 = 5.777 / 18,11 M = 319 JPY → el mercado valora el negocio operativo, las fábricas, los terrenos y los valores en solo ≈27 JPY/acción (≈490 M JPY).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