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31A" w:rsidRPr="0040131A" w:rsidRDefault="0040131A" w:rsidP="0040131A">
      <w:pPr>
        <w:shd w:val="clear" w:color="auto" w:fill="FFFFFF"/>
        <w:spacing w:after="495" w:line="360" w:lineRule="atLeast"/>
        <w:outlineLvl w:val="2"/>
        <w:rPr>
          <w:rFonts w:ascii="Arial" w:eastAsia="Times New Roman" w:hAnsi="Arial" w:cs="Arial"/>
          <w:caps/>
          <w:color w:val="212529"/>
          <w:spacing w:val="-12"/>
          <w:sz w:val="36"/>
          <w:szCs w:val="36"/>
          <w:lang w:eastAsia="it-IT"/>
        </w:rPr>
      </w:pPr>
      <w:bookmarkStart w:id="0" w:name="_GoBack"/>
      <w:bookmarkEnd w:id="0"/>
      <w:r w:rsidRPr="0040131A">
        <w:rPr>
          <w:rFonts w:ascii="Arial" w:eastAsia="Times New Roman" w:hAnsi="Arial" w:cs="Arial"/>
          <w:caps/>
          <w:color w:val="212529"/>
          <w:spacing w:val="-12"/>
          <w:sz w:val="36"/>
          <w:szCs w:val="36"/>
          <w:lang w:eastAsia="it-IT"/>
        </w:rPr>
        <w:t>1. OBIETTIVI</w:t>
      </w:r>
    </w:p>
    <w:p w:rsidR="0040131A" w:rsidRPr="0040131A" w:rsidRDefault="0040131A" w:rsidP="0040131A">
      <w:pPr>
        <w:shd w:val="clear" w:color="auto" w:fill="FFFFFF"/>
        <w:spacing w:after="300" w:line="390" w:lineRule="atLeast"/>
        <w:rPr>
          <w:rFonts w:ascii="Arial" w:eastAsia="Times New Roman" w:hAnsi="Arial" w:cs="Arial"/>
          <w:color w:val="777777"/>
          <w:sz w:val="20"/>
          <w:szCs w:val="20"/>
          <w:lang w:eastAsia="it-IT"/>
        </w:rPr>
      </w:pPr>
      <w:r w:rsidRPr="0040131A">
        <w:rPr>
          <w:rFonts w:ascii="Arial" w:eastAsia="Times New Roman" w:hAnsi="Arial" w:cs="Arial"/>
          <w:color w:val="777777"/>
          <w:sz w:val="20"/>
          <w:szCs w:val="20"/>
          <w:lang w:eastAsia="it-IT"/>
        </w:rPr>
        <w:t>In conformità alle previsioni del Regolamento (UE) 2019/2088 del Parlamento Europeo e del Consiglio del 27 novembre 2019 (di seguito “Regolamento 2088”), l’Agenzia adotta la presente Politica.</w:t>
      </w:r>
    </w:p>
    <w:p w:rsidR="0040131A" w:rsidRPr="0040131A" w:rsidRDefault="0040131A" w:rsidP="0040131A">
      <w:pPr>
        <w:shd w:val="clear" w:color="auto" w:fill="FFFFFF"/>
        <w:spacing w:after="300" w:line="390" w:lineRule="atLeast"/>
        <w:rPr>
          <w:rFonts w:ascii="Arial" w:eastAsia="Times New Roman" w:hAnsi="Arial" w:cs="Arial"/>
          <w:color w:val="777777"/>
          <w:sz w:val="20"/>
          <w:szCs w:val="20"/>
          <w:lang w:eastAsia="it-IT"/>
        </w:rPr>
      </w:pPr>
      <w:r w:rsidRPr="0040131A">
        <w:rPr>
          <w:rFonts w:ascii="Arial" w:eastAsia="Times New Roman" w:hAnsi="Arial" w:cs="Arial"/>
          <w:color w:val="777777"/>
          <w:sz w:val="20"/>
          <w:szCs w:val="20"/>
          <w:lang w:eastAsia="it-IT"/>
        </w:rPr>
        <w:t>L’entrata in vigore del Regolamento è avvenuta nel contesto di un quadro normativo in evoluzione, in attesa dell’emanazione delle norme tecniche attuative, nonché dell’armonizzazione del quadro normativo europeo e, auspicabilmente, di quello nazionale di settore.</w:t>
      </w:r>
    </w:p>
    <w:p w:rsidR="0040131A" w:rsidRPr="0040131A" w:rsidRDefault="0040131A" w:rsidP="0040131A">
      <w:pPr>
        <w:shd w:val="clear" w:color="auto" w:fill="FFFFFF"/>
        <w:spacing w:after="300" w:line="390" w:lineRule="atLeast"/>
        <w:rPr>
          <w:rFonts w:ascii="Arial" w:eastAsia="Times New Roman" w:hAnsi="Arial" w:cs="Arial"/>
          <w:color w:val="777777"/>
          <w:sz w:val="20"/>
          <w:szCs w:val="20"/>
          <w:lang w:eastAsia="it-IT"/>
        </w:rPr>
      </w:pPr>
      <w:r w:rsidRPr="0040131A">
        <w:rPr>
          <w:rFonts w:ascii="Arial" w:eastAsia="Times New Roman" w:hAnsi="Arial" w:cs="Arial"/>
          <w:color w:val="777777"/>
          <w:sz w:val="20"/>
          <w:szCs w:val="20"/>
          <w:lang w:eastAsia="it-IT"/>
        </w:rPr>
        <w:t>La presente Politica rappresenta quindi un’applicazione del Regolamento 2088 secondo criteri “high-</w:t>
      </w:r>
      <w:proofErr w:type="spellStart"/>
      <w:r w:rsidRPr="0040131A">
        <w:rPr>
          <w:rFonts w:ascii="Arial" w:eastAsia="Times New Roman" w:hAnsi="Arial" w:cs="Arial"/>
          <w:color w:val="777777"/>
          <w:sz w:val="20"/>
          <w:szCs w:val="20"/>
          <w:lang w:eastAsia="it-IT"/>
        </w:rPr>
        <w:t>level</w:t>
      </w:r>
      <w:proofErr w:type="spellEnd"/>
      <w:r w:rsidRPr="0040131A">
        <w:rPr>
          <w:rFonts w:ascii="Arial" w:eastAsia="Times New Roman" w:hAnsi="Arial" w:cs="Arial"/>
          <w:color w:val="777777"/>
          <w:sz w:val="20"/>
          <w:szCs w:val="20"/>
          <w:lang w:eastAsia="it-IT"/>
        </w:rPr>
        <w:t>” e “</w:t>
      </w:r>
      <w:proofErr w:type="spellStart"/>
      <w:r w:rsidRPr="0040131A">
        <w:rPr>
          <w:rFonts w:ascii="Arial" w:eastAsia="Times New Roman" w:hAnsi="Arial" w:cs="Arial"/>
          <w:color w:val="777777"/>
          <w:sz w:val="20"/>
          <w:szCs w:val="20"/>
          <w:lang w:eastAsia="it-IT"/>
        </w:rPr>
        <w:t>principle-based</w:t>
      </w:r>
      <w:proofErr w:type="spellEnd"/>
      <w:r w:rsidRPr="0040131A">
        <w:rPr>
          <w:rFonts w:ascii="Arial" w:eastAsia="Times New Roman" w:hAnsi="Arial" w:cs="Arial"/>
          <w:color w:val="777777"/>
          <w:sz w:val="20"/>
          <w:szCs w:val="20"/>
          <w:lang w:eastAsia="it-IT"/>
        </w:rPr>
        <w:t>” in attesa di un quadro normativo più definito.</w:t>
      </w:r>
    </w:p>
    <w:p w:rsidR="0040131A" w:rsidRPr="0040131A" w:rsidRDefault="0040131A" w:rsidP="0040131A">
      <w:pPr>
        <w:shd w:val="clear" w:color="auto" w:fill="FFFFFF"/>
        <w:spacing w:after="495" w:line="360" w:lineRule="atLeast"/>
        <w:outlineLvl w:val="2"/>
        <w:rPr>
          <w:rFonts w:ascii="Arial" w:eastAsia="Times New Roman" w:hAnsi="Arial" w:cs="Arial"/>
          <w:caps/>
          <w:color w:val="212529"/>
          <w:spacing w:val="-12"/>
          <w:sz w:val="36"/>
          <w:szCs w:val="36"/>
          <w:lang w:eastAsia="it-IT"/>
        </w:rPr>
      </w:pPr>
      <w:r w:rsidRPr="0040131A">
        <w:rPr>
          <w:rFonts w:ascii="Arial" w:eastAsia="Times New Roman" w:hAnsi="Arial" w:cs="Arial"/>
          <w:caps/>
          <w:color w:val="212529"/>
          <w:spacing w:val="-12"/>
          <w:sz w:val="36"/>
          <w:szCs w:val="36"/>
          <w:lang w:eastAsia="it-IT"/>
        </w:rPr>
        <w:t>2. DEFINIZIONI E TERMINOLOGIA</w:t>
      </w:r>
    </w:p>
    <w:tbl>
      <w:tblPr>
        <w:tblW w:w="11352" w:type="dxa"/>
        <w:tblInd w:w="-851"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717"/>
        <w:gridCol w:w="9635"/>
      </w:tblGrid>
      <w:tr w:rsidR="0040131A" w:rsidRPr="0040131A" w:rsidTr="0040131A">
        <w:tc>
          <w:tcPr>
            <w:tcW w:w="1717" w:type="dxa"/>
            <w:hideMark/>
          </w:tcPr>
          <w:p w:rsidR="0040131A" w:rsidRPr="0040131A" w:rsidRDefault="0040131A" w:rsidP="0040131A">
            <w:pPr>
              <w:spacing w:after="300" w:line="390" w:lineRule="atLeast"/>
              <w:rPr>
                <w:rFonts w:ascii="Times New Roman" w:eastAsia="Times New Roman" w:hAnsi="Times New Roman" w:cs="Times New Roman"/>
                <w:color w:val="777777"/>
                <w:sz w:val="24"/>
                <w:szCs w:val="24"/>
                <w:lang w:eastAsia="it-IT"/>
              </w:rPr>
            </w:pPr>
            <w:r w:rsidRPr="0040131A">
              <w:rPr>
                <w:rFonts w:ascii="Times New Roman" w:eastAsia="Times New Roman" w:hAnsi="Times New Roman" w:cs="Times New Roman"/>
                <w:b/>
                <w:bCs/>
                <w:color w:val="777777"/>
                <w:sz w:val="24"/>
                <w:szCs w:val="24"/>
                <w:lang w:eastAsia="it-IT"/>
              </w:rPr>
              <w:t>Agente o Consulente finanziario</w:t>
            </w:r>
          </w:p>
        </w:tc>
        <w:tc>
          <w:tcPr>
            <w:tcW w:w="0" w:type="auto"/>
            <w:hideMark/>
          </w:tcPr>
          <w:p w:rsidR="0040131A" w:rsidRPr="0040131A" w:rsidRDefault="0040131A" w:rsidP="0040131A">
            <w:pPr>
              <w:spacing w:after="300" w:line="390" w:lineRule="atLeast"/>
              <w:rPr>
                <w:rFonts w:ascii="Times New Roman" w:eastAsia="Times New Roman" w:hAnsi="Times New Roman" w:cs="Times New Roman"/>
                <w:color w:val="212529"/>
                <w:sz w:val="24"/>
                <w:szCs w:val="24"/>
                <w:lang w:eastAsia="it-IT"/>
              </w:rPr>
            </w:pPr>
            <w:r w:rsidRPr="0040131A">
              <w:rPr>
                <w:rFonts w:ascii="Times New Roman" w:eastAsia="Times New Roman" w:hAnsi="Times New Roman" w:cs="Times New Roman"/>
                <w:color w:val="212529"/>
                <w:sz w:val="24"/>
                <w:szCs w:val="24"/>
                <w:lang w:eastAsia="it-IT"/>
              </w:rPr>
              <w:t>Ai fini del presente documento, un intermediario assicurativo iscritto alla sezione A del Registro Unico Intermediari (RUI) che fornisce consulenza in materia di assicurazioni riguardo agli IBIP.</w:t>
            </w:r>
          </w:p>
        </w:tc>
      </w:tr>
      <w:tr w:rsidR="0040131A" w:rsidRPr="0040131A" w:rsidTr="0040131A">
        <w:tc>
          <w:tcPr>
            <w:tcW w:w="1717" w:type="dxa"/>
            <w:hideMark/>
          </w:tcPr>
          <w:p w:rsidR="0040131A" w:rsidRPr="0040131A" w:rsidRDefault="0040131A" w:rsidP="0040131A">
            <w:pPr>
              <w:spacing w:after="300" w:line="390" w:lineRule="atLeast"/>
              <w:rPr>
                <w:rFonts w:ascii="Times New Roman" w:eastAsia="Times New Roman" w:hAnsi="Times New Roman" w:cs="Times New Roman"/>
                <w:color w:val="777777"/>
                <w:sz w:val="24"/>
                <w:szCs w:val="24"/>
                <w:lang w:eastAsia="it-IT"/>
              </w:rPr>
            </w:pPr>
            <w:r w:rsidRPr="0040131A">
              <w:rPr>
                <w:rFonts w:ascii="Times New Roman" w:eastAsia="Times New Roman" w:hAnsi="Times New Roman" w:cs="Times New Roman"/>
                <w:b/>
                <w:bCs/>
                <w:color w:val="777777"/>
                <w:sz w:val="24"/>
                <w:szCs w:val="24"/>
                <w:lang w:eastAsia="it-IT"/>
              </w:rPr>
              <w:t>Emittenti</w:t>
            </w:r>
          </w:p>
        </w:tc>
        <w:tc>
          <w:tcPr>
            <w:tcW w:w="0" w:type="auto"/>
            <w:hideMark/>
          </w:tcPr>
          <w:p w:rsidR="0040131A" w:rsidRPr="0040131A" w:rsidRDefault="0040131A" w:rsidP="0040131A">
            <w:pPr>
              <w:spacing w:after="300" w:line="390" w:lineRule="atLeast"/>
              <w:rPr>
                <w:rFonts w:ascii="Times New Roman" w:eastAsia="Times New Roman" w:hAnsi="Times New Roman" w:cs="Times New Roman"/>
                <w:color w:val="212529"/>
                <w:sz w:val="24"/>
                <w:szCs w:val="24"/>
                <w:lang w:eastAsia="it-IT"/>
              </w:rPr>
            </w:pPr>
            <w:r w:rsidRPr="0040131A">
              <w:rPr>
                <w:rFonts w:ascii="Times New Roman" w:eastAsia="Times New Roman" w:hAnsi="Times New Roman" w:cs="Times New Roman"/>
                <w:color w:val="212529"/>
                <w:sz w:val="24"/>
                <w:szCs w:val="24"/>
                <w:lang w:eastAsia="it-IT"/>
              </w:rPr>
              <w:t xml:space="preserve">Soggetti che, per il finanziamento delle proprie attività, emettono strumenti finanziari atti alla circolazione e quindi a essere scambiati su un mercato. Le </w:t>
            </w:r>
            <w:proofErr w:type="spellStart"/>
            <w:r w:rsidRPr="0040131A">
              <w:rPr>
                <w:rFonts w:ascii="Times New Roman" w:eastAsia="Times New Roman" w:hAnsi="Times New Roman" w:cs="Times New Roman"/>
                <w:color w:val="212529"/>
                <w:sz w:val="24"/>
                <w:szCs w:val="24"/>
                <w:lang w:eastAsia="it-IT"/>
              </w:rPr>
              <w:t>impreseorganizzate</w:t>
            </w:r>
            <w:proofErr w:type="spellEnd"/>
            <w:r w:rsidRPr="0040131A">
              <w:rPr>
                <w:rFonts w:ascii="Times New Roman" w:eastAsia="Times New Roman" w:hAnsi="Times New Roman" w:cs="Times New Roman"/>
                <w:color w:val="212529"/>
                <w:sz w:val="24"/>
                <w:szCs w:val="24"/>
                <w:lang w:eastAsia="it-IT"/>
              </w:rPr>
              <w:t xml:space="preserve"> in forma di società di capitali che finanziano il proprio debito a medio e lungo termine (emittenti corporate) e gli Stati che finanziano il proprio debito pubblico (emittenti governativi) sono i più importanti emittenti di strumenti finanziari.</w:t>
            </w:r>
          </w:p>
        </w:tc>
      </w:tr>
      <w:tr w:rsidR="0040131A" w:rsidRPr="0040131A" w:rsidTr="0040131A">
        <w:tc>
          <w:tcPr>
            <w:tcW w:w="1717" w:type="dxa"/>
            <w:hideMark/>
          </w:tcPr>
          <w:p w:rsidR="0040131A" w:rsidRPr="0040131A" w:rsidRDefault="0040131A" w:rsidP="0040131A">
            <w:pPr>
              <w:spacing w:after="300" w:line="390" w:lineRule="atLeast"/>
              <w:rPr>
                <w:rFonts w:ascii="Times New Roman" w:eastAsia="Times New Roman" w:hAnsi="Times New Roman" w:cs="Times New Roman"/>
                <w:color w:val="777777"/>
                <w:sz w:val="24"/>
                <w:szCs w:val="24"/>
                <w:lang w:eastAsia="it-IT"/>
              </w:rPr>
            </w:pPr>
            <w:r w:rsidRPr="0040131A">
              <w:rPr>
                <w:rFonts w:ascii="Times New Roman" w:eastAsia="Times New Roman" w:hAnsi="Times New Roman" w:cs="Times New Roman"/>
                <w:b/>
                <w:bCs/>
                <w:color w:val="777777"/>
                <w:sz w:val="24"/>
                <w:szCs w:val="24"/>
                <w:lang w:eastAsia="it-IT"/>
              </w:rPr>
              <w:t>Fattori ESG (</w:t>
            </w:r>
            <w:proofErr w:type="spellStart"/>
            <w:r w:rsidRPr="0040131A">
              <w:rPr>
                <w:rFonts w:ascii="Times New Roman" w:eastAsia="Times New Roman" w:hAnsi="Times New Roman" w:cs="Times New Roman"/>
                <w:b/>
                <w:bCs/>
                <w:color w:val="777777"/>
                <w:sz w:val="24"/>
                <w:szCs w:val="24"/>
                <w:lang w:eastAsia="it-IT"/>
              </w:rPr>
              <w:t>Environmental</w:t>
            </w:r>
            <w:proofErr w:type="spellEnd"/>
            <w:r w:rsidRPr="0040131A">
              <w:rPr>
                <w:rFonts w:ascii="Times New Roman" w:eastAsia="Times New Roman" w:hAnsi="Times New Roman" w:cs="Times New Roman"/>
                <w:b/>
                <w:bCs/>
                <w:color w:val="777777"/>
                <w:sz w:val="24"/>
                <w:szCs w:val="24"/>
                <w:lang w:eastAsia="it-IT"/>
              </w:rPr>
              <w:t xml:space="preserve">, Social, </w:t>
            </w:r>
            <w:proofErr w:type="spellStart"/>
            <w:r w:rsidRPr="0040131A">
              <w:rPr>
                <w:rFonts w:ascii="Times New Roman" w:eastAsia="Times New Roman" w:hAnsi="Times New Roman" w:cs="Times New Roman"/>
                <w:b/>
                <w:bCs/>
                <w:color w:val="777777"/>
                <w:sz w:val="24"/>
                <w:szCs w:val="24"/>
                <w:lang w:eastAsia="it-IT"/>
              </w:rPr>
              <w:t>Governance</w:t>
            </w:r>
            <w:proofErr w:type="spellEnd"/>
            <w:r w:rsidRPr="0040131A">
              <w:rPr>
                <w:rFonts w:ascii="Times New Roman" w:eastAsia="Times New Roman" w:hAnsi="Times New Roman" w:cs="Times New Roman"/>
                <w:b/>
                <w:bCs/>
                <w:color w:val="777777"/>
                <w:sz w:val="24"/>
                <w:szCs w:val="24"/>
                <w:lang w:eastAsia="it-IT"/>
              </w:rPr>
              <w:t>)</w:t>
            </w:r>
          </w:p>
        </w:tc>
        <w:tc>
          <w:tcPr>
            <w:tcW w:w="0" w:type="auto"/>
            <w:hideMark/>
          </w:tcPr>
          <w:p w:rsidR="0040131A" w:rsidRPr="0040131A" w:rsidRDefault="0040131A" w:rsidP="0040131A">
            <w:pPr>
              <w:spacing w:after="300" w:line="390" w:lineRule="atLeast"/>
              <w:rPr>
                <w:rFonts w:ascii="Times New Roman" w:eastAsia="Times New Roman" w:hAnsi="Times New Roman" w:cs="Times New Roman"/>
                <w:color w:val="212529"/>
                <w:sz w:val="24"/>
                <w:szCs w:val="24"/>
                <w:lang w:eastAsia="it-IT"/>
              </w:rPr>
            </w:pPr>
            <w:r w:rsidRPr="0040131A">
              <w:rPr>
                <w:rFonts w:ascii="Times New Roman" w:eastAsia="Times New Roman" w:hAnsi="Times New Roman" w:cs="Times New Roman"/>
                <w:color w:val="212529"/>
                <w:sz w:val="24"/>
                <w:szCs w:val="24"/>
                <w:lang w:eastAsia="it-IT"/>
              </w:rPr>
              <w:t>Problematiche ambientali, sociali e concernenti il personale, il rispetto dei diritti umani e le questioni relative alla lotta alla corruzione attiva e passiva.</w:t>
            </w:r>
          </w:p>
        </w:tc>
      </w:tr>
      <w:tr w:rsidR="0040131A" w:rsidRPr="0040131A" w:rsidTr="0040131A">
        <w:tc>
          <w:tcPr>
            <w:tcW w:w="1717" w:type="dxa"/>
            <w:hideMark/>
          </w:tcPr>
          <w:p w:rsidR="0040131A" w:rsidRPr="0040131A" w:rsidRDefault="0040131A" w:rsidP="0040131A">
            <w:pPr>
              <w:spacing w:after="300" w:line="390" w:lineRule="atLeast"/>
              <w:rPr>
                <w:rFonts w:ascii="Times New Roman" w:eastAsia="Times New Roman" w:hAnsi="Times New Roman" w:cs="Times New Roman"/>
                <w:color w:val="777777"/>
                <w:sz w:val="24"/>
                <w:szCs w:val="24"/>
                <w:lang w:eastAsia="it-IT"/>
              </w:rPr>
            </w:pPr>
            <w:r w:rsidRPr="0040131A">
              <w:rPr>
                <w:rFonts w:ascii="Times New Roman" w:eastAsia="Times New Roman" w:hAnsi="Times New Roman" w:cs="Times New Roman"/>
                <w:b/>
                <w:bCs/>
                <w:color w:val="777777"/>
                <w:sz w:val="24"/>
                <w:szCs w:val="24"/>
                <w:lang w:eastAsia="it-IT"/>
              </w:rPr>
              <w:t>IBIP o prodotto di investimento assicurativo</w:t>
            </w:r>
          </w:p>
        </w:tc>
        <w:tc>
          <w:tcPr>
            <w:tcW w:w="0" w:type="auto"/>
            <w:hideMark/>
          </w:tcPr>
          <w:p w:rsidR="0040131A" w:rsidRPr="0040131A" w:rsidRDefault="0040131A" w:rsidP="0040131A">
            <w:pPr>
              <w:spacing w:after="300" w:line="390" w:lineRule="atLeast"/>
              <w:rPr>
                <w:rFonts w:ascii="Times New Roman" w:eastAsia="Times New Roman" w:hAnsi="Times New Roman" w:cs="Times New Roman"/>
                <w:color w:val="212529"/>
                <w:sz w:val="24"/>
                <w:szCs w:val="24"/>
                <w:lang w:eastAsia="it-IT"/>
              </w:rPr>
            </w:pPr>
            <w:r w:rsidRPr="0040131A">
              <w:rPr>
                <w:rFonts w:ascii="Times New Roman" w:eastAsia="Times New Roman" w:hAnsi="Times New Roman" w:cs="Times New Roman"/>
                <w:color w:val="212529"/>
                <w:sz w:val="24"/>
                <w:szCs w:val="24"/>
                <w:lang w:eastAsia="it-IT"/>
              </w:rPr>
              <w:t>Un prodotto assicurativo che presenta una scadenza o un valore di riscatto e in cui tale scadenza o valore di riscatto è esposto, in tutto o in parte, in modo diretto o indiretto, alle fluttuazioni del mercato e non include:</w:t>
            </w:r>
          </w:p>
          <w:p w:rsidR="0040131A" w:rsidRPr="0040131A" w:rsidRDefault="0040131A" w:rsidP="0040131A">
            <w:pPr>
              <w:numPr>
                <w:ilvl w:val="0"/>
                <w:numId w:val="1"/>
              </w:numPr>
              <w:spacing w:before="100" w:beforeAutospacing="1" w:after="100" w:afterAutospacing="1" w:line="240" w:lineRule="auto"/>
              <w:rPr>
                <w:rFonts w:ascii="Times New Roman" w:eastAsia="Times New Roman" w:hAnsi="Times New Roman" w:cs="Times New Roman"/>
                <w:color w:val="212529"/>
                <w:sz w:val="24"/>
                <w:szCs w:val="24"/>
                <w:lang w:eastAsia="it-IT"/>
              </w:rPr>
            </w:pPr>
            <w:r w:rsidRPr="0040131A">
              <w:rPr>
                <w:rFonts w:ascii="Times New Roman" w:eastAsia="Times New Roman" w:hAnsi="Times New Roman" w:cs="Times New Roman"/>
                <w:color w:val="212529"/>
                <w:sz w:val="24"/>
                <w:szCs w:val="24"/>
                <w:lang w:eastAsia="it-IT"/>
              </w:rPr>
              <w:t>i prodotti assicurativi non vita elencati all’allegato I della direttiva 2009/138/CE (Rami dell’assicurazione non vita);</w:t>
            </w:r>
          </w:p>
          <w:p w:rsidR="0040131A" w:rsidRPr="0040131A" w:rsidRDefault="0040131A" w:rsidP="0040131A">
            <w:pPr>
              <w:numPr>
                <w:ilvl w:val="0"/>
                <w:numId w:val="1"/>
              </w:numPr>
              <w:spacing w:before="100" w:beforeAutospacing="1" w:after="100" w:afterAutospacing="1" w:line="240" w:lineRule="auto"/>
              <w:rPr>
                <w:rFonts w:ascii="Times New Roman" w:eastAsia="Times New Roman" w:hAnsi="Times New Roman" w:cs="Times New Roman"/>
                <w:color w:val="212529"/>
                <w:sz w:val="24"/>
                <w:szCs w:val="24"/>
                <w:lang w:eastAsia="it-IT"/>
              </w:rPr>
            </w:pPr>
            <w:r w:rsidRPr="0040131A">
              <w:rPr>
                <w:rFonts w:ascii="Times New Roman" w:eastAsia="Times New Roman" w:hAnsi="Times New Roman" w:cs="Times New Roman"/>
                <w:color w:val="212529"/>
                <w:sz w:val="24"/>
                <w:szCs w:val="24"/>
                <w:lang w:eastAsia="it-IT"/>
              </w:rPr>
              <w:t>i contratti assicurativi vita, qualora le prestazioni previste dal contratto siano dovute soltanto in caso di decesso o per incapacità dovuta a lesione, malattia o disabilità;</w:t>
            </w:r>
          </w:p>
          <w:p w:rsidR="0040131A" w:rsidRPr="0040131A" w:rsidRDefault="0040131A" w:rsidP="0040131A">
            <w:pPr>
              <w:numPr>
                <w:ilvl w:val="0"/>
                <w:numId w:val="1"/>
              </w:numPr>
              <w:spacing w:before="100" w:beforeAutospacing="1" w:after="100" w:afterAutospacing="1" w:line="240" w:lineRule="auto"/>
              <w:rPr>
                <w:rFonts w:ascii="Times New Roman" w:eastAsia="Times New Roman" w:hAnsi="Times New Roman" w:cs="Times New Roman"/>
                <w:color w:val="212529"/>
                <w:sz w:val="24"/>
                <w:szCs w:val="24"/>
                <w:lang w:eastAsia="it-IT"/>
              </w:rPr>
            </w:pPr>
            <w:r w:rsidRPr="0040131A">
              <w:rPr>
                <w:rFonts w:ascii="Times New Roman" w:eastAsia="Times New Roman" w:hAnsi="Times New Roman" w:cs="Times New Roman"/>
                <w:color w:val="212529"/>
                <w:sz w:val="24"/>
                <w:szCs w:val="24"/>
                <w:lang w:eastAsia="it-IT"/>
              </w:rPr>
              <w:t xml:space="preserve">i prodotti pensionistici che, ai sensi del diritto nazionale, sono riconosciuti come aventi lo </w:t>
            </w:r>
            <w:r w:rsidRPr="0040131A">
              <w:rPr>
                <w:rFonts w:ascii="Times New Roman" w:eastAsia="Times New Roman" w:hAnsi="Times New Roman" w:cs="Times New Roman"/>
                <w:color w:val="212529"/>
                <w:sz w:val="24"/>
                <w:szCs w:val="24"/>
                <w:lang w:eastAsia="it-IT"/>
              </w:rPr>
              <w:lastRenderedPageBreak/>
              <w:t xml:space="preserve">scopo precipuo di offrire all’investitore un reddito durante la pensione e che consentono all’investitore di </w:t>
            </w:r>
            <w:proofErr w:type="spellStart"/>
            <w:r w:rsidRPr="0040131A">
              <w:rPr>
                <w:rFonts w:ascii="Times New Roman" w:eastAsia="Times New Roman" w:hAnsi="Times New Roman" w:cs="Times New Roman"/>
                <w:color w:val="212529"/>
                <w:sz w:val="24"/>
                <w:szCs w:val="24"/>
                <w:lang w:eastAsia="it-IT"/>
              </w:rPr>
              <w:t>goderedi</w:t>
            </w:r>
            <w:proofErr w:type="spellEnd"/>
            <w:r w:rsidRPr="0040131A">
              <w:rPr>
                <w:rFonts w:ascii="Times New Roman" w:eastAsia="Times New Roman" w:hAnsi="Times New Roman" w:cs="Times New Roman"/>
                <w:color w:val="212529"/>
                <w:sz w:val="24"/>
                <w:szCs w:val="24"/>
                <w:lang w:eastAsia="it-IT"/>
              </w:rPr>
              <w:t xml:space="preserve"> determinati vantaggi;</w:t>
            </w:r>
          </w:p>
          <w:p w:rsidR="0040131A" w:rsidRPr="0040131A" w:rsidRDefault="0040131A" w:rsidP="0040131A">
            <w:pPr>
              <w:numPr>
                <w:ilvl w:val="0"/>
                <w:numId w:val="1"/>
              </w:numPr>
              <w:spacing w:before="100" w:beforeAutospacing="1" w:after="100" w:afterAutospacing="1" w:line="240" w:lineRule="auto"/>
              <w:rPr>
                <w:rFonts w:ascii="Times New Roman" w:eastAsia="Times New Roman" w:hAnsi="Times New Roman" w:cs="Times New Roman"/>
                <w:color w:val="212529"/>
                <w:sz w:val="24"/>
                <w:szCs w:val="24"/>
                <w:lang w:eastAsia="it-IT"/>
              </w:rPr>
            </w:pPr>
            <w:r w:rsidRPr="0040131A">
              <w:rPr>
                <w:rFonts w:ascii="Times New Roman" w:eastAsia="Times New Roman" w:hAnsi="Times New Roman" w:cs="Times New Roman"/>
                <w:color w:val="212529"/>
                <w:sz w:val="24"/>
                <w:szCs w:val="24"/>
                <w:lang w:eastAsia="it-IT"/>
              </w:rPr>
              <w:t xml:space="preserve">i regimi pensionistici aziendali o </w:t>
            </w:r>
            <w:proofErr w:type="spellStart"/>
            <w:r w:rsidRPr="0040131A">
              <w:rPr>
                <w:rFonts w:ascii="Times New Roman" w:eastAsia="Times New Roman" w:hAnsi="Times New Roman" w:cs="Times New Roman"/>
                <w:color w:val="212529"/>
                <w:sz w:val="24"/>
                <w:szCs w:val="24"/>
                <w:lang w:eastAsia="it-IT"/>
              </w:rPr>
              <w:t>professionaliufficialmente</w:t>
            </w:r>
            <w:proofErr w:type="spellEnd"/>
            <w:r w:rsidRPr="0040131A">
              <w:rPr>
                <w:rFonts w:ascii="Times New Roman" w:eastAsia="Times New Roman" w:hAnsi="Times New Roman" w:cs="Times New Roman"/>
                <w:color w:val="212529"/>
                <w:sz w:val="24"/>
                <w:szCs w:val="24"/>
                <w:lang w:eastAsia="it-IT"/>
              </w:rPr>
              <w:t xml:space="preserve"> riconosciuti che rientrano nell’ambito di applicazione della direttiva 2003/41/CE o della direttiva 2009/138/CE;</w:t>
            </w:r>
          </w:p>
          <w:p w:rsidR="0040131A" w:rsidRPr="0040131A" w:rsidRDefault="0040131A" w:rsidP="0040131A">
            <w:pPr>
              <w:numPr>
                <w:ilvl w:val="0"/>
                <w:numId w:val="1"/>
              </w:numPr>
              <w:spacing w:before="100" w:beforeAutospacing="1" w:after="100" w:afterAutospacing="1" w:line="240" w:lineRule="auto"/>
              <w:rPr>
                <w:rFonts w:ascii="Times New Roman" w:eastAsia="Times New Roman" w:hAnsi="Times New Roman" w:cs="Times New Roman"/>
                <w:color w:val="212529"/>
                <w:sz w:val="24"/>
                <w:szCs w:val="24"/>
                <w:lang w:eastAsia="it-IT"/>
              </w:rPr>
            </w:pPr>
            <w:r w:rsidRPr="0040131A">
              <w:rPr>
                <w:rFonts w:ascii="Times New Roman" w:eastAsia="Times New Roman" w:hAnsi="Times New Roman" w:cs="Times New Roman"/>
                <w:color w:val="212529"/>
                <w:sz w:val="24"/>
                <w:szCs w:val="24"/>
                <w:lang w:eastAsia="it-IT"/>
              </w:rPr>
              <w:t xml:space="preserve">i singoli prodotti pensionistici per i quali il diritto nazionale richiede un contributo finanziario del datore di lavoro e nei quali il lavoratore o il datore di lavoro non può scegliere il fornitore o il </w:t>
            </w:r>
            <w:proofErr w:type="spellStart"/>
            <w:r w:rsidRPr="0040131A">
              <w:rPr>
                <w:rFonts w:ascii="Times New Roman" w:eastAsia="Times New Roman" w:hAnsi="Times New Roman" w:cs="Times New Roman"/>
                <w:color w:val="212529"/>
                <w:sz w:val="24"/>
                <w:szCs w:val="24"/>
                <w:lang w:eastAsia="it-IT"/>
              </w:rPr>
              <w:t>prodottopensionistico</w:t>
            </w:r>
            <w:proofErr w:type="spellEnd"/>
            <w:r w:rsidRPr="0040131A">
              <w:rPr>
                <w:rFonts w:ascii="Times New Roman" w:eastAsia="Times New Roman" w:hAnsi="Times New Roman" w:cs="Times New Roman"/>
                <w:color w:val="212529"/>
                <w:sz w:val="24"/>
                <w:szCs w:val="24"/>
                <w:lang w:eastAsia="it-IT"/>
              </w:rPr>
              <w:t>.</w:t>
            </w:r>
          </w:p>
        </w:tc>
      </w:tr>
      <w:tr w:rsidR="0040131A" w:rsidRPr="0040131A" w:rsidTr="0040131A">
        <w:tc>
          <w:tcPr>
            <w:tcW w:w="1717" w:type="dxa"/>
            <w:hideMark/>
          </w:tcPr>
          <w:p w:rsidR="0040131A" w:rsidRPr="0040131A" w:rsidRDefault="0040131A" w:rsidP="0040131A">
            <w:pPr>
              <w:spacing w:after="300" w:line="390" w:lineRule="atLeast"/>
              <w:rPr>
                <w:rFonts w:ascii="Times New Roman" w:eastAsia="Times New Roman" w:hAnsi="Times New Roman" w:cs="Times New Roman"/>
                <w:color w:val="777777"/>
                <w:sz w:val="24"/>
                <w:szCs w:val="24"/>
                <w:lang w:eastAsia="it-IT"/>
              </w:rPr>
            </w:pPr>
            <w:r w:rsidRPr="0040131A">
              <w:rPr>
                <w:rFonts w:ascii="Times New Roman" w:eastAsia="Times New Roman" w:hAnsi="Times New Roman" w:cs="Times New Roman"/>
                <w:b/>
                <w:bCs/>
                <w:color w:val="777777"/>
                <w:sz w:val="24"/>
                <w:szCs w:val="24"/>
                <w:lang w:eastAsia="it-IT"/>
              </w:rPr>
              <w:lastRenderedPageBreak/>
              <w:t>Investimento sostenibile</w:t>
            </w:r>
          </w:p>
        </w:tc>
        <w:tc>
          <w:tcPr>
            <w:tcW w:w="0" w:type="auto"/>
            <w:hideMark/>
          </w:tcPr>
          <w:p w:rsidR="0040131A" w:rsidRPr="0040131A" w:rsidRDefault="0040131A" w:rsidP="0040131A">
            <w:pPr>
              <w:spacing w:after="300" w:line="390" w:lineRule="atLeast"/>
              <w:rPr>
                <w:rFonts w:ascii="Times New Roman" w:eastAsia="Times New Roman" w:hAnsi="Times New Roman" w:cs="Times New Roman"/>
                <w:color w:val="212529"/>
                <w:sz w:val="24"/>
                <w:szCs w:val="24"/>
                <w:lang w:eastAsia="it-IT"/>
              </w:rPr>
            </w:pPr>
            <w:r w:rsidRPr="0040131A">
              <w:rPr>
                <w:rFonts w:ascii="Times New Roman" w:eastAsia="Times New Roman" w:hAnsi="Times New Roman" w:cs="Times New Roman"/>
                <w:color w:val="212529"/>
                <w:sz w:val="24"/>
                <w:szCs w:val="24"/>
                <w:lang w:eastAsia="it-IT"/>
              </w:rPr>
              <w:t xml:space="preserve">Investimento in un’attività economica che contribuisce a un obiettivo ambientale, misurato, ad esempio, mediante indicatori chiave di efficienza delle risorse concernenti l’impiego di energia, l’impiego di energie rinnovabili, l’utilizzo di materie prime e di risorse idriche e l’uso del suolo, la produzione di rifiuti, le emissioni di gas a effetto serra nonché l’impatto sulla biodiversità e l’economia circolare o un investimento in un’attività economica che contribuisce a un obiettivo sociale, in particolare un investimento che contribuisce alla lotta contro la disuguaglianza, o che promuove la coesione </w:t>
            </w:r>
            <w:proofErr w:type="spellStart"/>
            <w:r w:rsidRPr="0040131A">
              <w:rPr>
                <w:rFonts w:ascii="Times New Roman" w:eastAsia="Times New Roman" w:hAnsi="Times New Roman" w:cs="Times New Roman"/>
                <w:color w:val="212529"/>
                <w:sz w:val="24"/>
                <w:szCs w:val="24"/>
                <w:lang w:eastAsia="it-IT"/>
              </w:rPr>
              <w:t>sociale,l’integrazione</w:t>
            </w:r>
            <w:proofErr w:type="spellEnd"/>
            <w:r w:rsidRPr="0040131A">
              <w:rPr>
                <w:rFonts w:ascii="Times New Roman" w:eastAsia="Times New Roman" w:hAnsi="Times New Roman" w:cs="Times New Roman"/>
                <w:color w:val="212529"/>
                <w:sz w:val="24"/>
                <w:szCs w:val="24"/>
                <w:lang w:eastAsia="it-IT"/>
              </w:rPr>
              <w:t xml:space="preserve"> sociale e le relazioni industriali, o un investimento in capitale umano o in comunità economicamente o socialmente svantaggiate a condizione che tali investimenti non arrechino un danno significativo a nessuno di tali obiettivi e che le imprese che beneficiano di tali investimenti rispettino prassi di buona </w:t>
            </w:r>
            <w:proofErr w:type="spellStart"/>
            <w:r w:rsidRPr="0040131A">
              <w:rPr>
                <w:rFonts w:ascii="Times New Roman" w:eastAsia="Times New Roman" w:hAnsi="Times New Roman" w:cs="Times New Roman"/>
                <w:color w:val="212529"/>
                <w:sz w:val="24"/>
                <w:szCs w:val="24"/>
                <w:lang w:eastAsia="it-IT"/>
              </w:rPr>
              <w:t>governance</w:t>
            </w:r>
            <w:proofErr w:type="spellEnd"/>
            <w:r w:rsidRPr="0040131A">
              <w:rPr>
                <w:rFonts w:ascii="Times New Roman" w:eastAsia="Times New Roman" w:hAnsi="Times New Roman" w:cs="Times New Roman"/>
                <w:color w:val="212529"/>
                <w:sz w:val="24"/>
                <w:szCs w:val="24"/>
                <w:lang w:eastAsia="it-IT"/>
              </w:rPr>
              <w:t>, in particolare per quanto riguarda strutture di gestione solide, relazioni con il personale, remunerazione del personale e rispetto degli obblighi fiscali (articolo 2 n. 17 del Regolamento (UE) 2019/2088).</w:t>
            </w:r>
          </w:p>
        </w:tc>
      </w:tr>
      <w:tr w:rsidR="0040131A" w:rsidRPr="0040131A" w:rsidTr="0040131A">
        <w:tc>
          <w:tcPr>
            <w:tcW w:w="1717" w:type="dxa"/>
            <w:hideMark/>
          </w:tcPr>
          <w:p w:rsidR="0040131A" w:rsidRPr="0040131A" w:rsidRDefault="0040131A" w:rsidP="0040131A">
            <w:pPr>
              <w:spacing w:after="300" w:line="390" w:lineRule="atLeast"/>
              <w:rPr>
                <w:rFonts w:ascii="Times New Roman" w:eastAsia="Times New Roman" w:hAnsi="Times New Roman" w:cs="Times New Roman"/>
                <w:color w:val="777777"/>
                <w:sz w:val="24"/>
                <w:szCs w:val="24"/>
                <w:lang w:eastAsia="it-IT"/>
              </w:rPr>
            </w:pPr>
            <w:r w:rsidRPr="0040131A">
              <w:rPr>
                <w:rFonts w:ascii="Times New Roman" w:eastAsia="Times New Roman" w:hAnsi="Times New Roman" w:cs="Times New Roman"/>
                <w:b/>
                <w:bCs/>
                <w:color w:val="777777"/>
                <w:sz w:val="24"/>
                <w:szCs w:val="24"/>
                <w:lang w:eastAsia="it-IT"/>
              </w:rPr>
              <w:t>Rischio di sostenibilità</w:t>
            </w:r>
          </w:p>
        </w:tc>
        <w:tc>
          <w:tcPr>
            <w:tcW w:w="0" w:type="auto"/>
            <w:hideMark/>
          </w:tcPr>
          <w:p w:rsidR="0040131A" w:rsidRPr="0040131A" w:rsidRDefault="0040131A" w:rsidP="0040131A">
            <w:pPr>
              <w:spacing w:after="300" w:line="390" w:lineRule="atLeast"/>
              <w:rPr>
                <w:rFonts w:ascii="Times New Roman" w:eastAsia="Times New Roman" w:hAnsi="Times New Roman" w:cs="Times New Roman"/>
                <w:color w:val="212529"/>
                <w:sz w:val="24"/>
                <w:szCs w:val="24"/>
                <w:lang w:eastAsia="it-IT"/>
              </w:rPr>
            </w:pPr>
            <w:r w:rsidRPr="0040131A">
              <w:rPr>
                <w:rFonts w:ascii="Times New Roman" w:eastAsia="Times New Roman" w:hAnsi="Times New Roman" w:cs="Times New Roman"/>
                <w:color w:val="212529"/>
                <w:sz w:val="24"/>
                <w:szCs w:val="24"/>
                <w:lang w:eastAsia="it-IT"/>
              </w:rPr>
              <w:t>Un evento o una condizione di tipo ESG che, se si verifica, potrebbe provocare un significativo impatto negativo effettivo o potenziale sul valore dell’investimento (c.d. dimensione di rischio “subito”).</w:t>
            </w:r>
          </w:p>
        </w:tc>
      </w:tr>
      <w:tr w:rsidR="0040131A" w:rsidRPr="0040131A" w:rsidTr="0040131A">
        <w:tc>
          <w:tcPr>
            <w:tcW w:w="1717" w:type="dxa"/>
            <w:hideMark/>
          </w:tcPr>
          <w:p w:rsidR="0040131A" w:rsidRPr="0040131A" w:rsidRDefault="0040131A" w:rsidP="0040131A">
            <w:pPr>
              <w:spacing w:after="300" w:line="390" w:lineRule="atLeast"/>
              <w:rPr>
                <w:rFonts w:ascii="Times New Roman" w:eastAsia="Times New Roman" w:hAnsi="Times New Roman" w:cs="Times New Roman"/>
                <w:color w:val="777777"/>
                <w:sz w:val="24"/>
                <w:szCs w:val="24"/>
                <w:lang w:eastAsia="it-IT"/>
              </w:rPr>
            </w:pPr>
            <w:r w:rsidRPr="0040131A">
              <w:rPr>
                <w:rFonts w:ascii="Times New Roman" w:eastAsia="Times New Roman" w:hAnsi="Times New Roman" w:cs="Times New Roman"/>
                <w:b/>
                <w:bCs/>
                <w:color w:val="777777"/>
                <w:sz w:val="24"/>
                <w:szCs w:val="24"/>
                <w:lang w:eastAsia="it-IT"/>
              </w:rPr>
              <w:t>Effetto negativo per la sostenibilità</w:t>
            </w:r>
          </w:p>
        </w:tc>
        <w:tc>
          <w:tcPr>
            <w:tcW w:w="0" w:type="auto"/>
            <w:hideMark/>
          </w:tcPr>
          <w:p w:rsidR="0040131A" w:rsidRPr="0040131A" w:rsidRDefault="0040131A" w:rsidP="0040131A">
            <w:pPr>
              <w:spacing w:after="300" w:line="390" w:lineRule="atLeast"/>
              <w:rPr>
                <w:rFonts w:ascii="Times New Roman" w:eastAsia="Times New Roman" w:hAnsi="Times New Roman" w:cs="Times New Roman"/>
                <w:color w:val="212529"/>
                <w:sz w:val="24"/>
                <w:szCs w:val="24"/>
                <w:lang w:eastAsia="it-IT"/>
              </w:rPr>
            </w:pPr>
            <w:r w:rsidRPr="0040131A">
              <w:rPr>
                <w:rFonts w:ascii="Times New Roman" w:eastAsia="Times New Roman" w:hAnsi="Times New Roman" w:cs="Times New Roman"/>
                <w:color w:val="212529"/>
                <w:sz w:val="24"/>
                <w:szCs w:val="24"/>
                <w:lang w:eastAsia="it-IT"/>
              </w:rPr>
              <w:t>Impatto negativo delle decisioni di investimento sui fattori di sostenibilità, cioè su problematiche ambientali, sociali e concernenti il personale, il rispetto dei diritti umani e le questioni relative alla corruzione attiva e passiva (c.d. dimensione di rischio “generato”).</w:t>
            </w:r>
          </w:p>
        </w:tc>
      </w:tr>
    </w:tbl>
    <w:p w:rsidR="0040131A" w:rsidRPr="0040131A" w:rsidRDefault="0040131A" w:rsidP="0040131A">
      <w:pPr>
        <w:shd w:val="clear" w:color="auto" w:fill="FFFFFF"/>
        <w:spacing w:before="100" w:beforeAutospacing="1" w:after="100" w:afterAutospacing="1" w:line="360" w:lineRule="atLeast"/>
        <w:outlineLvl w:val="2"/>
        <w:rPr>
          <w:rFonts w:ascii="Arial" w:eastAsia="Times New Roman" w:hAnsi="Arial" w:cs="Arial"/>
          <w:caps/>
          <w:color w:val="212529"/>
          <w:spacing w:val="-12"/>
          <w:sz w:val="36"/>
          <w:szCs w:val="36"/>
          <w:lang w:eastAsia="it-IT"/>
        </w:rPr>
      </w:pPr>
      <w:r w:rsidRPr="0040131A">
        <w:rPr>
          <w:rFonts w:ascii="Arial" w:eastAsia="Times New Roman" w:hAnsi="Arial" w:cs="Arial"/>
          <w:caps/>
          <w:color w:val="212529"/>
          <w:spacing w:val="-12"/>
          <w:sz w:val="36"/>
          <w:szCs w:val="36"/>
          <w:lang w:eastAsia="it-IT"/>
        </w:rPr>
        <w:t>3. PERIMETRO DI APPLICAZIONE</w:t>
      </w:r>
    </w:p>
    <w:p w:rsidR="0040131A" w:rsidRPr="0040131A" w:rsidRDefault="0040131A" w:rsidP="0040131A">
      <w:pPr>
        <w:shd w:val="clear" w:color="auto" w:fill="FFFFFF"/>
        <w:spacing w:after="300" w:line="390" w:lineRule="atLeast"/>
        <w:rPr>
          <w:rFonts w:ascii="Arial" w:eastAsia="Times New Roman" w:hAnsi="Arial" w:cs="Arial"/>
          <w:color w:val="777777"/>
          <w:sz w:val="20"/>
          <w:szCs w:val="20"/>
          <w:lang w:eastAsia="it-IT"/>
        </w:rPr>
      </w:pPr>
      <w:r w:rsidRPr="0040131A">
        <w:rPr>
          <w:rFonts w:ascii="Arial" w:eastAsia="Times New Roman" w:hAnsi="Arial" w:cs="Arial"/>
          <w:color w:val="777777"/>
          <w:sz w:val="20"/>
          <w:szCs w:val="20"/>
          <w:lang w:eastAsia="it-IT"/>
        </w:rPr>
        <w:t>La presente politica viene adottata dall’Agenzia in applicazione di quanto previsto dal Regolamento 2088, trattandosi di intermediario che fornisce consulenza in materia di assicurazioni riguardo ai prodotti di investimento assicurativo (IBIP).</w:t>
      </w:r>
    </w:p>
    <w:p w:rsidR="0040131A" w:rsidRPr="0040131A" w:rsidRDefault="0040131A" w:rsidP="0040131A">
      <w:pPr>
        <w:shd w:val="clear" w:color="auto" w:fill="FFFFFF"/>
        <w:spacing w:before="100" w:beforeAutospacing="1" w:after="100" w:afterAutospacing="1" w:line="360" w:lineRule="atLeast"/>
        <w:outlineLvl w:val="2"/>
        <w:rPr>
          <w:rFonts w:ascii="Arial" w:eastAsia="Times New Roman" w:hAnsi="Arial" w:cs="Arial"/>
          <w:caps/>
          <w:color w:val="212529"/>
          <w:spacing w:val="-12"/>
          <w:sz w:val="36"/>
          <w:szCs w:val="36"/>
          <w:lang w:eastAsia="it-IT"/>
        </w:rPr>
      </w:pPr>
      <w:r w:rsidRPr="0040131A">
        <w:rPr>
          <w:rFonts w:ascii="Arial" w:eastAsia="Times New Roman" w:hAnsi="Arial" w:cs="Arial"/>
          <w:caps/>
          <w:color w:val="212529"/>
          <w:spacing w:val="-12"/>
          <w:sz w:val="36"/>
          <w:szCs w:val="36"/>
          <w:lang w:eastAsia="it-IT"/>
        </w:rPr>
        <w:t>4. LA RILEVANZA DEI FATTORI ESG NEGLI INVESTIMENTI E NEI PRODOTTI FINANZIARI</w:t>
      </w:r>
    </w:p>
    <w:p w:rsidR="0040131A" w:rsidRPr="0040131A" w:rsidRDefault="0040131A" w:rsidP="0040131A">
      <w:pPr>
        <w:shd w:val="clear" w:color="auto" w:fill="FFFFFF"/>
        <w:spacing w:after="300" w:line="390" w:lineRule="atLeast"/>
        <w:rPr>
          <w:rFonts w:ascii="Arial" w:eastAsia="Times New Roman" w:hAnsi="Arial" w:cs="Arial"/>
          <w:color w:val="777777"/>
          <w:sz w:val="20"/>
          <w:szCs w:val="20"/>
          <w:lang w:eastAsia="it-IT"/>
        </w:rPr>
      </w:pPr>
      <w:r w:rsidRPr="0040131A">
        <w:rPr>
          <w:rFonts w:ascii="Arial" w:eastAsia="Times New Roman" w:hAnsi="Arial" w:cs="Arial"/>
          <w:color w:val="777777"/>
          <w:sz w:val="20"/>
          <w:szCs w:val="20"/>
          <w:lang w:eastAsia="it-IT"/>
        </w:rPr>
        <w:lastRenderedPageBreak/>
        <w:t xml:space="preserve">L’Agente, in quanto intermediario assicurativo iscritto alla Sezione A del Rui, che fornisce consulenza in materia di assicurazioni riguardo agli IBIP), riconosce la rilevanza dei fattori ambientali, sociali e di governo societario (cosiddetti fattori “ESG” – </w:t>
      </w:r>
      <w:proofErr w:type="spellStart"/>
      <w:r w:rsidRPr="0040131A">
        <w:rPr>
          <w:rFonts w:ascii="Arial" w:eastAsia="Times New Roman" w:hAnsi="Arial" w:cs="Arial"/>
          <w:color w:val="777777"/>
          <w:sz w:val="20"/>
          <w:szCs w:val="20"/>
          <w:lang w:eastAsia="it-IT"/>
        </w:rPr>
        <w:t>Environmental</w:t>
      </w:r>
      <w:proofErr w:type="spellEnd"/>
      <w:r w:rsidRPr="0040131A">
        <w:rPr>
          <w:rFonts w:ascii="Arial" w:eastAsia="Times New Roman" w:hAnsi="Arial" w:cs="Arial"/>
          <w:color w:val="777777"/>
          <w:sz w:val="20"/>
          <w:szCs w:val="20"/>
          <w:lang w:eastAsia="it-IT"/>
        </w:rPr>
        <w:t xml:space="preserve">, Social, </w:t>
      </w:r>
      <w:proofErr w:type="spellStart"/>
      <w:r w:rsidRPr="0040131A">
        <w:rPr>
          <w:rFonts w:ascii="Arial" w:eastAsia="Times New Roman" w:hAnsi="Arial" w:cs="Arial"/>
          <w:color w:val="777777"/>
          <w:sz w:val="20"/>
          <w:szCs w:val="20"/>
          <w:lang w:eastAsia="it-IT"/>
        </w:rPr>
        <w:t>Governance</w:t>
      </w:r>
      <w:proofErr w:type="spellEnd"/>
      <w:r w:rsidRPr="0040131A">
        <w:rPr>
          <w:rFonts w:ascii="Arial" w:eastAsia="Times New Roman" w:hAnsi="Arial" w:cs="Arial"/>
          <w:color w:val="777777"/>
          <w:sz w:val="20"/>
          <w:szCs w:val="20"/>
          <w:lang w:eastAsia="it-IT"/>
        </w:rPr>
        <w:t xml:space="preserve">) nel processo decisionale degli investimenti, nei criteri di selezione degli emittenti e nella gestione degli investimenti stessi. Il presidio dei Fattori ESG nelle attività di investimento svolto da </w:t>
      </w:r>
      <w:proofErr w:type="spellStart"/>
      <w:r w:rsidRPr="0040131A">
        <w:rPr>
          <w:rFonts w:ascii="Arial" w:eastAsia="Times New Roman" w:hAnsi="Arial" w:cs="Arial"/>
          <w:color w:val="777777"/>
          <w:sz w:val="20"/>
          <w:szCs w:val="20"/>
          <w:lang w:eastAsia="it-IT"/>
        </w:rPr>
        <w:t>UnipolSai</w:t>
      </w:r>
      <w:proofErr w:type="spellEnd"/>
      <w:r w:rsidRPr="0040131A">
        <w:rPr>
          <w:rFonts w:ascii="Arial" w:eastAsia="Times New Roman" w:hAnsi="Arial" w:cs="Arial"/>
          <w:color w:val="777777"/>
          <w:sz w:val="20"/>
          <w:szCs w:val="20"/>
          <w:lang w:eastAsia="it-IT"/>
        </w:rPr>
        <w:t xml:space="preserve"> Assicurazioni S.p.A. (di seguito anche “</w:t>
      </w:r>
      <w:proofErr w:type="spellStart"/>
      <w:r w:rsidRPr="0040131A">
        <w:rPr>
          <w:rFonts w:ascii="Arial" w:eastAsia="Times New Roman" w:hAnsi="Arial" w:cs="Arial"/>
          <w:color w:val="777777"/>
          <w:sz w:val="20"/>
          <w:szCs w:val="20"/>
          <w:lang w:eastAsia="it-IT"/>
        </w:rPr>
        <w:t>UnipolSai</w:t>
      </w:r>
      <w:proofErr w:type="spellEnd"/>
      <w:r w:rsidRPr="0040131A">
        <w:rPr>
          <w:rFonts w:ascii="Arial" w:eastAsia="Times New Roman" w:hAnsi="Arial" w:cs="Arial"/>
          <w:color w:val="777777"/>
          <w:sz w:val="20"/>
          <w:szCs w:val="20"/>
          <w:lang w:eastAsia="it-IT"/>
        </w:rPr>
        <w:t>” o “Compagnia”) in base alla politica dalla stessa adottata (come illustrato nel paragrafo seguente), consente di gestire efficientemente gli elementi di rischio del portafoglio, anche in contesti caratterizzati da elevata volatilità, e di raggiungere rendimenti finanziari a lungo termine adeguati al rischio.</w:t>
      </w:r>
    </w:p>
    <w:p w:rsidR="0040131A" w:rsidRPr="0040131A" w:rsidRDefault="0040131A" w:rsidP="0040131A">
      <w:pPr>
        <w:shd w:val="clear" w:color="auto" w:fill="FFFFFF"/>
        <w:spacing w:after="300" w:line="390" w:lineRule="atLeast"/>
        <w:rPr>
          <w:rFonts w:ascii="Arial" w:eastAsia="Times New Roman" w:hAnsi="Arial" w:cs="Arial"/>
          <w:color w:val="777777"/>
          <w:sz w:val="20"/>
          <w:szCs w:val="20"/>
          <w:lang w:eastAsia="it-IT"/>
        </w:rPr>
      </w:pPr>
      <w:r w:rsidRPr="0040131A">
        <w:rPr>
          <w:rFonts w:ascii="Arial" w:eastAsia="Times New Roman" w:hAnsi="Arial" w:cs="Arial"/>
          <w:color w:val="777777"/>
          <w:sz w:val="20"/>
          <w:szCs w:val="20"/>
          <w:lang w:eastAsia="it-IT"/>
        </w:rPr>
        <w:t>I Fattori ESG rappresentano, infatti, aspetti di rilievo da considerare, sia nell’ottica di un migliore presidio del rischio che in quella della più efficace individuazione di ambiti di attività in grado di creare valore nel lungo periodo, rispondendo alle istanze sociali e ambientali maggiormente rilevanti.</w:t>
      </w:r>
    </w:p>
    <w:p w:rsidR="0040131A" w:rsidRPr="0040131A" w:rsidRDefault="0040131A" w:rsidP="0040131A">
      <w:pPr>
        <w:shd w:val="clear" w:color="auto" w:fill="FFFFFF"/>
        <w:spacing w:before="100" w:beforeAutospacing="1" w:after="100" w:afterAutospacing="1" w:line="360" w:lineRule="atLeast"/>
        <w:outlineLvl w:val="2"/>
        <w:rPr>
          <w:rFonts w:ascii="Arial" w:eastAsia="Times New Roman" w:hAnsi="Arial" w:cs="Arial"/>
          <w:caps/>
          <w:color w:val="212529"/>
          <w:spacing w:val="-12"/>
          <w:sz w:val="36"/>
          <w:szCs w:val="36"/>
          <w:lang w:eastAsia="it-IT"/>
        </w:rPr>
      </w:pPr>
      <w:r w:rsidRPr="0040131A">
        <w:rPr>
          <w:rFonts w:ascii="Arial" w:eastAsia="Times New Roman" w:hAnsi="Arial" w:cs="Arial"/>
          <w:caps/>
          <w:color w:val="212529"/>
          <w:spacing w:val="-12"/>
          <w:sz w:val="36"/>
          <w:szCs w:val="36"/>
          <w:lang w:eastAsia="it-IT"/>
        </w:rPr>
        <w:t>5. L’INTEGRAZIONE DEI RISCHI DI SOSTENIBILITÀ NELLE SCELTE DI INVESTIMENTO E LA VALUTAZIONE DEGLI IMPATTI DI TALI RISCHI SUL RENDIMENTO DEI PRODOTTI FINANZIARI</w:t>
      </w:r>
    </w:p>
    <w:p w:rsidR="0040131A" w:rsidRPr="0040131A" w:rsidRDefault="0040131A" w:rsidP="0040131A">
      <w:pPr>
        <w:shd w:val="clear" w:color="auto" w:fill="FFFFFF"/>
        <w:spacing w:after="300" w:line="390" w:lineRule="atLeast"/>
        <w:rPr>
          <w:rFonts w:ascii="Arial" w:eastAsia="Times New Roman" w:hAnsi="Arial" w:cs="Arial"/>
          <w:color w:val="777777"/>
          <w:sz w:val="20"/>
          <w:szCs w:val="20"/>
          <w:lang w:eastAsia="it-IT"/>
        </w:rPr>
      </w:pPr>
      <w:r w:rsidRPr="0040131A">
        <w:rPr>
          <w:rFonts w:ascii="Arial" w:eastAsia="Times New Roman" w:hAnsi="Arial" w:cs="Arial"/>
          <w:color w:val="777777"/>
          <w:sz w:val="20"/>
          <w:szCs w:val="20"/>
          <w:lang w:eastAsia="it-IT"/>
        </w:rPr>
        <w:t xml:space="preserve">L’Agente propone ai suoi clienti un’offerta di prodotti di investimento assicurativo interamente realizzati da </w:t>
      </w:r>
      <w:proofErr w:type="spellStart"/>
      <w:r w:rsidRPr="0040131A">
        <w:rPr>
          <w:rFonts w:ascii="Arial" w:eastAsia="Times New Roman" w:hAnsi="Arial" w:cs="Arial"/>
          <w:color w:val="777777"/>
          <w:sz w:val="20"/>
          <w:szCs w:val="20"/>
          <w:lang w:eastAsia="it-IT"/>
        </w:rPr>
        <w:t>UnipolSai</w:t>
      </w:r>
      <w:proofErr w:type="spellEnd"/>
      <w:r w:rsidRPr="0040131A">
        <w:rPr>
          <w:rFonts w:ascii="Arial" w:eastAsia="Times New Roman" w:hAnsi="Arial" w:cs="Arial"/>
          <w:color w:val="777777"/>
          <w:sz w:val="20"/>
          <w:szCs w:val="20"/>
          <w:lang w:eastAsia="it-IT"/>
        </w:rPr>
        <w:t>.</w:t>
      </w:r>
    </w:p>
    <w:p w:rsidR="0040131A" w:rsidRPr="0040131A" w:rsidRDefault="0040131A" w:rsidP="0040131A">
      <w:pPr>
        <w:shd w:val="clear" w:color="auto" w:fill="FFFFFF"/>
        <w:spacing w:after="300" w:line="390" w:lineRule="atLeast"/>
        <w:rPr>
          <w:rFonts w:ascii="Arial" w:eastAsia="Times New Roman" w:hAnsi="Arial" w:cs="Arial"/>
          <w:color w:val="777777"/>
          <w:sz w:val="20"/>
          <w:szCs w:val="20"/>
          <w:lang w:eastAsia="it-IT"/>
        </w:rPr>
      </w:pPr>
      <w:proofErr w:type="spellStart"/>
      <w:r w:rsidRPr="0040131A">
        <w:rPr>
          <w:rFonts w:ascii="Arial" w:eastAsia="Times New Roman" w:hAnsi="Arial" w:cs="Arial"/>
          <w:color w:val="777777"/>
          <w:sz w:val="20"/>
          <w:szCs w:val="20"/>
          <w:lang w:eastAsia="it-IT"/>
        </w:rPr>
        <w:t>UnipolSai</w:t>
      </w:r>
      <w:proofErr w:type="spellEnd"/>
      <w:r w:rsidRPr="0040131A">
        <w:rPr>
          <w:rFonts w:ascii="Arial" w:eastAsia="Times New Roman" w:hAnsi="Arial" w:cs="Arial"/>
          <w:color w:val="777777"/>
          <w:sz w:val="20"/>
          <w:szCs w:val="20"/>
          <w:lang w:eastAsia="it-IT"/>
        </w:rPr>
        <w:t xml:space="preserve"> ha definito le proprie “Linee Guida per l’attività di investimento responsabile” (le “Linee Guida”), attraverso le quali la Compagnia si impegna a presidiare i Fattori ESG nelle attività di </w:t>
      </w:r>
      <w:proofErr w:type="spellStart"/>
      <w:r w:rsidRPr="0040131A">
        <w:rPr>
          <w:rFonts w:ascii="Arial" w:eastAsia="Times New Roman" w:hAnsi="Arial" w:cs="Arial"/>
          <w:color w:val="777777"/>
          <w:sz w:val="20"/>
          <w:szCs w:val="20"/>
          <w:lang w:eastAsia="it-IT"/>
        </w:rPr>
        <w:t>investimento,definendo</w:t>
      </w:r>
      <w:proofErr w:type="spellEnd"/>
      <w:r w:rsidRPr="0040131A">
        <w:rPr>
          <w:rFonts w:ascii="Arial" w:eastAsia="Times New Roman" w:hAnsi="Arial" w:cs="Arial"/>
          <w:color w:val="777777"/>
          <w:sz w:val="20"/>
          <w:szCs w:val="20"/>
          <w:lang w:eastAsia="it-IT"/>
        </w:rPr>
        <w:t xml:space="preserve"> le modalità di integrazione degli stessi nel relativo processo decisionale, con particolare riferimento agli investimenti diretti delle Gestioni Separate collegate a prodotti rivalutabili e ai PIP attuati medianti tali contratti. Rispetto ai prodotti Unit-</w:t>
      </w:r>
      <w:proofErr w:type="spellStart"/>
      <w:r w:rsidRPr="0040131A">
        <w:rPr>
          <w:rFonts w:ascii="Arial" w:eastAsia="Times New Roman" w:hAnsi="Arial" w:cs="Arial"/>
          <w:color w:val="777777"/>
          <w:sz w:val="20"/>
          <w:szCs w:val="20"/>
          <w:lang w:eastAsia="it-IT"/>
        </w:rPr>
        <w:t>Linked</w:t>
      </w:r>
      <w:proofErr w:type="spellEnd"/>
      <w:r w:rsidRPr="0040131A">
        <w:rPr>
          <w:rFonts w:ascii="Arial" w:eastAsia="Times New Roman" w:hAnsi="Arial" w:cs="Arial"/>
          <w:color w:val="777777"/>
          <w:sz w:val="20"/>
          <w:szCs w:val="20"/>
          <w:lang w:eastAsia="it-IT"/>
        </w:rPr>
        <w:t xml:space="preserve"> e Index-</w:t>
      </w:r>
      <w:proofErr w:type="spellStart"/>
      <w:r w:rsidRPr="0040131A">
        <w:rPr>
          <w:rFonts w:ascii="Arial" w:eastAsia="Times New Roman" w:hAnsi="Arial" w:cs="Arial"/>
          <w:color w:val="777777"/>
          <w:sz w:val="20"/>
          <w:szCs w:val="20"/>
          <w:lang w:eastAsia="it-IT"/>
        </w:rPr>
        <w:t>Linked</w:t>
      </w:r>
      <w:proofErr w:type="spellEnd"/>
      <w:r w:rsidRPr="0040131A">
        <w:rPr>
          <w:rFonts w:ascii="Arial" w:eastAsia="Times New Roman" w:hAnsi="Arial" w:cs="Arial"/>
          <w:color w:val="777777"/>
          <w:sz w:val="20"/>
          <w:szCs w:val="20"/>
          <w:lang w:eastAsia="it-IT"/>
        </w:rPr>
        <w:t xml:space="preserve">, ai PIP attuati mediante tali contratti nonché ai Fondi Pensione Aperti, fatta eccezione per specifiche opzioni di investimento che integrano i Fattori ESG nei criteri di selezione degli emittenti e di gestione degli investimenti, la Compagnia svolge un monitoraggio ex post sugli investimenti diretti sottostanti, per verificare in che misura rispettano i criteri </w:t>
      </w:r>
      <w:proofErr w:type="spellStart"/>
      <w:r w:rsidRPr="0040131A">
        <w:rPr>
          <w:rFonts w:ascii="Arial" w:eastAsia="Times New Roman" w:hAnsi="Arial" w:cs="Arial"/>
          <w:color w:val="777777"/>
          <w:sz w:val="20"/>
          <w:szCs w:val="20"/>
          <w:lang w:eastAsia="it-IT"/>
        </w:rPr>
        <w:t>ESGdefiniti</w:t>
      </w:r>
      <w:proofErr w:type="spellEnd"/>
      <w:r w:rsidRPr="0040131A">
        <w:rPr>
          <w:rFonts w:ascii="Arial" w:eastAsia="Times New Roman" w:hAnsi="Arial" w:cs="Arial"/>
          <w:color w:val="777777"/>
          <w:sz w:val="20"/>
          <w:szCs w:val="20"/>
          <w:lang w:eastAsia="it-IT"/>
        </w:rPr>
        <w:t xml:space="preserve"> dalle suddette Linee Guida.</w:t>
      </w:r>
    </w:p>
    <w:p w:rsidR="0040131A" w:rsidRPr="0040131A" w:rsidRDefault="0040131A" w:rsidP="0040131A">
      <w:pPr>
        <w:shd w:val="clear" w:color="auto" w:fill="FFFFFF"/>
        <w:spacing w:after="300" w:line="390" w:lineRule="atLeast"/>
        <w:rPr>
          <w:rFonts w:ascii="Arial" w:eastAsia="Times New Roman" w:hAnsi="Arial" w:cs="Arial"/>
          <w:color w:val="777777"/>
          <w:sz w:val="20"/>
          <w:szCs w:val="20"/>
          <w:lang w:eastAsia="it-IT"/>
        </w:rPr>
      </w:pPr>
      <w:r w:rsidRPr="0040131A">
        <w:rPr>
          <w:rFonts w:ascii="Arial" w:eastAsia="Times New Roman" w:hAnsi="Arial" w:cs="Arial"/>
          <w:color w:val="777777"/>
          <w:sz w:val="20"/>
          <w:szCs w:val="20"/>
          <w:lang w:eastAsia="it-IT"/>
        </w:rPr>
        <w:t xml:space="preserve">In questo modo </w:t>
      </w:r>
      <w:proofErr w:type="spellStart"/>
      <w:r w:rsidRPr="0040131A">
        <w:rPr>
          <w:rFonts w:ascii="Arial" w:eastAsia="Times New Roman" w:hAnsi="Arial" w:cs="Arial"/>
          <w:color w:val="777777"/>
          <w:sz w:val="20"/>
          <w:szCs w:val="20"/>
          <w:lang w:eastAsia="it-IT"/>
        </w:rPr>
        <w:t>UnipolSai</w:t>
      </w:r>
      <w:proofErr w:type="spellEnd"/>
      <w:r w:rsidRPr="0040131A">
        <w:rPr>
          <w:rFonts w:ascii="Arial" w:eastAsia="Times New Roman" w:hAnsi="Arial" w:cs="Arial"/>
          <w:color w:val="777777"/>
          <w:sz w:val="20"/>
          <w:szCs w:val="20"/>
          <w:lang w:eastAsia="it-IT"/>
        </w:rPr>
        <w:t xml:space="preserve"> controlla e gestisce i “rischi di sostenibilità” che potrebbero provocare un significativo impatto negativo effettivo o potenziale sul valore dell’investimento.</w:t>
      </w:r>
    </w:p>
    <w:p w:rsidR="0040131A" w:rsidRPr="0040131A" w:rsidRDefault="0040131A" w:rsidP="0040131A">
      <w:pPr>
        <w:shd w:val="clear" w:color="auto" w:fill="FFFFFF"/>
        <w:spacing w:after="300" w:line="390" w:lineRule="atLeast"/>
        <w:rPr>
          <w:rFonts w:ascii="Arial" w:eastAsia="Times New Roman" w:hAnsi="Arial" w:cs="Arial"/>
          <w:color w:val="777777"/>
          <w:sz w:val="20"/>
          <w:szCs w:val="20"/>
          <w:lang w:eastAsia="it-IT"/>
        </w:rPr>
      </w:pPr>
      <w:r w:rsidRPr="0040131A">
        <w:rPr>
          <w:rFonts w:ascii="Arial" w:eastAsia="Times New Roman" w:hAnsi="Arial" w:cs="Arial"/>
          <w:color w:val="777777"/>
          <w:sz w:val="20"/>
          <w:szCs w:val="20"/>
          <w:lang w:eastAsia="it-IT"/>
        </w:rPr>
        <w:t>L’integrazione dei Fattori ESG nei processi decisionali relativi agli investimenti finanziari avviene tramite l’adozione delle seguenti strategie di investimento sostenibile e responsabile:</w:t>
      </w:r>
    </w:p>
    <w:p w:rsidR="0040131A" w:rsidRPr="0040131A" w:rsidRDefault="0040131A" w:rsidP="0040131A">
      <w:pPr>
        <w:numPr>
          <w:ilvl w:val="0"/>
          <w:numId w:val="2"/>
        </w:numPr>
        <w:shd w:val="clear" w:color="auto" w:fill="FFFFFF"/>
        <w:spacing w:before="100" w:beforeAutospacing="1" w:after="100" w:afterAutospacing="1" w:line="240" w:lineRule="auto"/>
        <w:rPr>
          <w:rFonts w:ascii="Arial" w:eastAsia="Times New Roman" w:hAnsi="Arial" w:cs="Arial"/>
          <w:color w:val="777777"/>
          <w:sz w:val="20"/>
          <w:szCs w:val="20"/>
          <w:lang w:eastAsia="it-IT"/>
        </w:rPr>
      </w:pPr>
      <w:r w:rsidRPr="0040131A">
        <w:rPr>
          <w:rFonts w:ascii="Arial" w:eastAsia="Times New Roman" w:hAnsi="Arial" w:cs="Arial"/>
          <w:color w:val="777777"/>
          <w:sz w:val="20"/>
          <w:szCs w:val="20"/>
          <w:lang w:eastAsia="it-IT"/>
        </w:rPr>
        <w:lastRenderedPageBreak/>
        <w:t>Screening basato su Convenzioni internazionali (</w:t>
      </w:r>
      <w:proofErr w:type="spellStart"/>
      <w:r w:rsidRPr="0040131A">
        <w:rPr>
          <w:rFonts w:ascii="Arial" w:eastAsia="Times New Roman" w:hAnsi="Arial" w:cs="Arial"/>
          <w:color w:val="777777"/>
          <w:sz w:val="20"/>
          <w:szCs w:val="20"/>
          <w:lang w:eastAsia="it-IT"/>
        </w:rPr>
        <w:t>Norm-based</w:t>
      </w:r>
      <w:proofErr w:type="spellEnd"/>
      <w:r w:rsidRPr="0040131A">
        <w:rPr>
          <w:rFonts w:ascii="Arial" w:eastAsia="Times New Roman" w:hAnsi="Arial" w:cs="Arial"/>
          <w:color w:val="777777"/>
          <w:sz w:val="20"/>
          <w:szCs w:val="20"/>
          <w:lang w:eastAsia="it-IT"/>
        </w:rPr>
        <w:t xml:space="preserve"> Screening), utile alla definizione dei criteri di esclusione </w:t>
      </w:r>
      <w:proofErr w:type="spellStart"/>
      <w:r w:rsidRPr="0040131A">
        <w:rPr>
          <w:rFonts w:ascii="Arial" w:eastAsia="Times New Roman" w:hAnsi="Arial" w:cs="Arial"/>
          <w:color w:val="777777"/>
          <w:sz w:val="20"/>
          <w:szCs w:val="20"/>
          <w:lang w:eastAsia="it-IT"/>
        </w:rPr>
        <w:t>conduct-based</w:t>
      </w:r>
      <w:proofErr w:type="spellEnd"/>
      <w:r w:rsidRPr="0040131A">
        <w:rPr>
          <w:rFonts w:ascii="Arial" w:eastAsia="Times New Roman" w:hAnsi="Arial" w:cs="Arial"/>
          <w:color w:val="777777"/>
          <w:sz w:val="20"/>
          <w:szCs w:val="20"/>
          <w:lang w:eastAsia="it-IT"/>
        </w:rPr>
        <w:t>;</w:t>
      </w:r>
    </w:p>
    <w:p w:rsidR="0040131A" w:rsidRPr="0040131A" w:rsidRDefault="0040131A" w:rsidP="0040131A">
      <w:pPr>
        <w:numPr>
          <w:ilvl w:val="0"/>
          <w:numId w:val="2"/>
        </w:numPr>
        <w:shd w:val="clear" w:color="auto" w:fill="FFFFFF"/>
        <w:spacing w:before="100" w:beforeAutospacing="1" w:after="100" w:afterAutospacing="1" w:line="240" w:lineRule="auto"/>
        <w:rPr>
          <w:rFonts w:ascii="Arial" w:eastAsia="Times New Roman" w:hAnsi="Arial" w:cs="Arial"/>
          <w:color w:val="777777"/>
          <w:sz w:val="20"/>
          <w:szCs w:val="20"/>
          <w:lang w:eastAsia="it-IT"/>
        </w:rPr>
      </w:pPr>
      <w:r w:rsidRPr="0040131A">
        <w:rPr>
          <w:rFonts w:ascii="Arial" w:eastAsia="Times New Roman" w:hAnsi="Arial" w:cs="Arial"/>
          <w:color w:val="777777"/>
          <w:sz w:val="20"/>
          <w:szCs w:val="20"/>
          <w:lang w:eastAsia="it-IT"/>
        </w:rPr>
        <w:t xml:space="preserve">Esclusioni </w:t>
      </w:r>
      <w:proofErr w:type="spellStart"/>
      <w:r w:rsidRPr="0040131A">
        <w:rPr>
          <w:rFonts w:ascii="Arial" w:eastAsia="Times New Roman" w:hAnsi="Arial" w:cs="Arial"/>
          <w:color w:val="777777"/>
          <w:sz w:val="20"/>
          <w:szCs w:val="20"/>
          <w:lang w:eastAsia="it-IT"/>
        </w:rPr>
        <w:t>product-based</w:t>
      </w:r>
      <w:proofErr w:type="spellEnd"/>
      <w:r w:rsidRPr="0040131A">
        <w:rPr>
          <w:rFonts w:ascii="Arial" w:eastAsia="Times New Roman" w:hAnsi="Arial" w:cs="Arial"/>
          <w:color w:val="777777"/>
          <w:sz w:val="20"/>
          <w:szCs w:val="20"/>
          <w:lang w:eastAsia="it-IT"/>
        </w:rPr>
        <w:t xml:space="preserve"> e </w:t>
      </w:r>
      <w:proofErr w:type="spellStart"/>
      <w:r w:rsidRPr="0040131A">
        <w:rPr>
          <w:rFonts w:ascii="Arial" w:eastAsia="Times New Roman" w:hAnsi="Arial" w:cs="Arial"/>
          <w:color w:val="777777"/>
          <w:sz w:val="20"/>
          <w:szCs w:val="20"/>
          <w:lang w:eastAsia="it-IT"/>
        </w:rPr>
        <w:t>conduct-based</w:t>
      </w:r>
      <w:proofErr w:type="spellEnd"/>
      <w:r w:rsidRPr="0040131A">
        <w:rPr>
          <w:rFonts w:ascii="Arial" w:eastAsia="Times New Roman" w:hAnsi="Arial" w:cs="Arial"/>
          <w:color w:val="777777"/>
          <w:sz w:val="20"/>
          <w:szCs w:val="20"/>
          <w:lang w:eastAsia="it-IT"/>
        </w:rPr>
        <w:t>.</w:t>
      </w:r>
    </w:p>
    <w:p w:rsidR="0040131A" w:rsidRPr="0040131A" w:rsidRDefault="0040131A" w:rsidP="0040131A">
      <w:pPr>
        <w:shd w:val="clear" w:color="auto" w:fill="FFFFFF"/>
        <w:spacing w:after="300" w:line="390" w:lineRule="atLeast"/>
        <w:rPr>
          <w:rFonts w:ascii="Arial" w:eastAsia="Times New Roman" w:hAnsi="Arial" w:cs="Arial"/>
          <w:color w:val="777777"/>
          <w:sz w:val="20"/>
          <w:szCs w:val="20"/>
          <w:lang w:eastAsia="it-IT"/>
        </w:rPr>
      </w:pPr>
      <w:r w:rsidRPr="0040131A">
        <w:rPr>
          <w:rFonts w:ascii="Arial" w:eastAsia="Times New Roman" w:hAnsi="Arial" w:cs="Arial"/>
          <w:color w:val="777777"/>
          <w:sz w:val="20"/>
          <w:szCs w:val="20"/>
          <w:lang w:eastAsia="it-IT"/>
        </w:rPr>
        <w:t>La Compagnia valuta l’ammissibilità degli emittenti con il supporto di un provider specializzato che realizza un’analisi delle performance ESG degli stessi sulla base di norme e standard internazionali quali la Dichiarazione Universale dei Diritti Umani, le Convenzioni dell’Organizzazione Internazionale del Lavoro, il Global Compact delle Nazioni Unite e le Linee Guida OCSE destinate alle imprese multinazionali.</w:t>
      </w:r>
    </w:p>
    <w:p w:rsidR="0040131A" w:rsidRPr="0040131A" w:rsidRDefault="0040131A" w:rsidP="0040131A">
      <w:pPr>
        <w:shd w:val="clear" w:color="auto" w:fill="FFFFFF"/>
        <w:spacing w:after="300" w:line="390" w:lineRule="atLeast"/>
        <w:rPr>
          <w:rFonts w:ascii="Arial" w:eastAsia="Times New Roman" w:hAnsi="Arial" w:cs="Arial"/>
          <w:color w:val="777777"/>
          <w:sz w:val="20"/>
          <w:szCs w:val="20"/>
          <w:lang w:eastAsia="it-IT"/>
        </w:rPr>
      </w:pPr>
      <w:r w:rsidRPr="0040131A">
        <w:rPr>
          <w:rFonts w:ascii="Arial" w:eastAsia="Times New Roman" w:hAnsi="Arial" w:cs="Arial"/>
          <w:color w:val="777777"/>
          <w:sz w:val="20"/>
          <w:szCs w:val="20"/>
          <w:lang w:eastAsia="it-IT"/>
        </w:rPr>
        <w:t>Questa analisi consente di monitorare e valutare i potenziali ambiti dei Rischi di sostenibilità e, in particolare:</w:t>
      </w:r>
    </w:p>
    <w:p w:rsidR="0040131A" w:rsidRPr="0040131A" w:rsidRDefault="0040131A" w:rsidP="0040131A">
      <w:pPr>
        <w:numPr>
          <w:ilvl w:val="0"/>
          <w:numId w:val="3"/>
        </w:numPr>
        <w:shd w:val="clear" w:color="auto" w:fill="FFFFFF"/>
        <w:spacing w:before="100" w:beforeAutospacing="1" w:after="100" w:afterAutospacing="1" w:line="240" w:lineRule="auto"/>
        <w:rPr>
          <w:rFonts w:ascii="Arial" w:eastAsia="Times New Roman" w:hAnsi="Arial" w:cs="Arial"/>
          <w:color w:val="777777"/>
          <w:sz w:val="20"/>
          <w:szCs w:val="20"/>
          <w:lang w:eastAsia="it-IT"/>
        </w:rPr>
      </w:pPr>
      <w:r w:rsidRPr="0040131A">
        <w:rPr>
          <w:rFonts w:ascii="Arial" w:eastAsia="Times New Roman" w:hAnsi="Arial" w:cs="Arial"/>
          <w:color w:val="777777"/>
          <w:sz w:val="20"/>
          <w:szCs w:val="20"/>
          <w:lang w:eastAsia="it-IT"/>
        </w:rPr>
        <w:t xml:space="preserve">gli eventi connessi ad aspetti ESG che generano rischi legali e/o </w:t>
      </w:r>
      <w:proofErr w:type="spellStart"/>
      <w:r w:rsidRPr="0040131A">
        <w:rPr>
          <w:rFonts w:ascii="Arial" w:eastAsia="Times New Roman" w:hAnsi="Arial" w:cs="Arial"/>
          <w:color w:val="777777"/>
          <w:sz w:val="20"/>
          <w:szCs w:val="20"/>
          <w:lang w:eastAsia="it-IT"/>
        </w:rPr>
        <w:t>reputazionali</w:t>
      </w:r>
      <w:proofErr w:type="spellEnd"/>
      <w:r w:rsidRPr="0040131A">
        <w:rPr>
          <w:rFonts w:ascii="Arial" w:eastAsia="Times New Roman" w:hAnsi="Arial" w:cs="Arial"/>
          <w:color w:val="777777"/>
          <w:sz w:val="20"/>
          <w:szCs w:val="20"/>
          <w:lang w:eastAsia="it-IT"/>
        </w:rPr>
        <w:t>, ad esempio in relazione alla presenza di accuse e processi che coinvolgono gli emittenti considerati, con potenziale impatto sul valore del titolo;</w:t>
      </w:r>
    </w:p>
    <w:p w:rsidR="0040131A" w:rsidRPr="0040131A" w:rsidRDefault="0040131A" w:rsidP="0040131A">
      <w:pPr>
        <w:numPr>
          <w:ilvl w:val="0"/>
          <w:numId w:val="3"/>
        </w:numPr>
        <w:shd w:val="clear" w:color="auto" w:fill="FFFFFF"/>
        <w:spacing w:before="100" w:beforeAutospacing="1" w:after="100" w:afterAutospacing="1" w:line="240" w:lineRule="auto"/>
        <w:rPr>
          <w:rFonts w:ascii="Arial" w:eastAsia="Times New Roman" w:hAnsi="Arial" w:cs="Arial"/>
          <w:color w:val="777777"/>
          <w:sz w:val="20"/>
          <w:szCs w:val="20"/>
          <w:lang w:eastAsia="it-IT"/>
        </w:rPr>
      </w:pPr>
      <w:r w:rsidRPr="0040131A">
        <w:rPr>
          <w:rFonts w:ascii="Arial" w:eastAsia="Times New Roman" w:hAnsi="Arial" w:cs="Arial"/>
          <w:color w:val="777777"/>
          <w:sz w:val="20"/>
          <w:szCs w:val="20"/>
          <w:lang w:eastAsia="it-IT"/>
        </w:rPr>
        <w:t xml:space="preserve">la condotta ESG degli emittenti, verificando quanto questi ultimi siano impegnati a definire presidi (quali ad esempio business </w:t>
      </w:r>
      <w:proofErr w:type="spellStart"/>
      <w:r w:rsidRPr="0040131A">
        <w:rPr>
          <w:rFonts w:ascii="Arial" w:eastAsia="Times New Roman" w:hAnsi="Arial" w:cs="Arial"/>
          <w:color w:val="777777"/>
          <w:sz w:val="20"/>
          <w:szCs w:val="20"/>
          <w:lang w:eastAsia="it-IT"/>
        </w:rPr>
        <w:t>ethics</w:t>
      </w:r>
      <w:proofErr w:type="spellEnd"/>
      <w:r w:rsidRPr="0040131A">
        <w:rPr>
          <w:rFonts w:ascii="Arial" w:eastAsia="Times New Roman" w:hAnsi="Arial" w:cs="Arial"/>
          <w:color w:val="777777"/>
          <w:sz w:val="20"/>
          <w:szCs w:val="20"/>
          <w:lang w:eastAsia="it-IT"/>
        </w:rPr>
        <w:t xml:space="preserve"> e relativa supervisione, proattiva supervisione del modello di rischio e relativo collegamento alla strategia, strumenti di gestione e controllo, supervisione del </w:t>
      </w:r>
      <w:proofErr w:type="spellStart"/>
      <w:r w:rsidRPr="0040131A">
        <w:rPr>
          <w:rFonts w:ascii="Arial" w:eastAsia="Times New Roman" w:hAnsi="Arial" w:cs="Arial"/>
          <w:color w:val="777777"/>
          <w:sz w:val="20"/>
          <w:szCs w:val="20"/>
          <w:lang w:eastAsia="it-IT"/>
        </w:rPr>
        <w:t>board</w:t>
      </w:r>
      <w:proofErr w:type="spellEnd"/>
      <w:r w:rsidRPr="0040131A">
        <w:rPr>
          <w:rFonts w:ascii="Arial" w:eastAsia="Times New Roman" w:hAnsi="Arial" w:cs="Arial"/>
          <w:color w:val="777777"/>
          <w:sz w:val="20"/>
          <w:szCs w:val="20"/>
          <w:lang w:eastAsia="it-IT"/>
        </w:rPr>
        <w:t xml:space="preserve">, cultura aziendale, </w:t>
      </w:r>
      <w:proofErr w:type="spellStart"/>
      <w:r w:rsidRPr="0040131A">
        <w:rPr>
          <w:rFonts w:ascii="Arial" w:eastAsia="Times New Roman" w:hAnsi="Arial" w:cs="Arial"/>
          <w:color w:val="777777"/>
          <w:sz w:val="20"/>
          <w:szCs w:val="20"/>
          <w:lang w:eastAsia="it-IT"/>
        </w:rPr>
        <w:t>accountability</w:t>
      </w:r>
      <w:proofErr w:type="spellEnd"/>
      <w:r w:rsidRPr="0040131A">
        <w:rPr>
          <w:rFonts w:ascii="Arial" w:eastAsia="Times New Roman" w:hAnsi="Arial" w:cs="Arial"/>
          <w:color w:val="777777"/>
          <w:sz w:val="20"/>
          <w:szCs w:val="20"/>
          <w:lang w:eastAsia="it-IT"/>
        </w:rPr>
        <w:t>) che possano evitare o mitigare gli eventi connessi ad aspetti ESG;</w:t>
      </w:r>
    </w:p>
    <w:p w:rsidR="0040131A" w:rsidRPr="0040131A" w:rsidRDefault="0040131A" w:rsidP="0040131A">
      <w:pPr>
        <w:numPr>
          <w:ilvl w:val="0"/>
          <w:numId w:val="3"/>
        </w:numPr>
        <w:shd w:val="clear" w:color="auto" w:fill="FFFFFF"/>
        <w:spacing w:before="100" w:beforeAutospacing="1" w:after="100" w:afterAutospacing="1" w:line="240" w:lineRule="auto"/>
        <w:rPr>
          <w:rFonts w:ascii="Arial" w:eastAsia="Times New Roman" w:hAnsi="Arial" w:cs="Arial"/>
          <w:color w:val="777777"/>
          <w:sz w:val="20"/>
          <w:szCs w:val="20"/>
          <w:lang w:eastAsia="it-IT"/>
        </w:rPr>
      </w:pPr>
      <w:r w:rsidRPr="0040131A">
        <w:rPr>
          <w:rFonts w:ascii="Arial" w:eastAsia="Times New Roman" w:hAnsi="Arial" w:cs="Arial"/>
          <w:color w:val="777777"/>
          <w:sz w:val="20"/>
          <w:szCs w:val="20"/>
          <w:lang w:eastAsia="it-IT"/>
        </w:rPr>
        <w:t>la capacità degli emittenti di gestire gli aspetti ESG che possono determinare vantaggi o svantaggi competitivi, ad esempio la capacità o meno di prevenire evoluzioni normative e di contesto connesse alla gestione degli aspetti ESG.</w:t>
      </w:r>
    </w:p>
    <w:p w:rsidR="0040131A" w:rsidRPr="0040131A" w:rsidRDefault="0040131A" w:rsidP="0040131A">
      <w:pPr>
        <w:shd w:val="clear" w:color="auto" w:fill="FFFFFF"/>
        <w:spacing w:after="300" w:line="390" w:lineRule="atLeast"/>
        <w:rPr>
          <w:rFonts w:ascii="Arial" w:eastAsia="Times New Roman" w:hAnsi="Arial" w:cs="Arial"/>
          <w:color w:val="777777"/>
          <w:sz w:val="20"/>
          <w:szCs w:val="20"/>
          <w:lang w:eastAsia="it-IT"/>
        </w:rPr>
      </w:pPr>
      <w:r w:rsidRPr="0040131A">
        <w:rPr>
          <w:rFonts w:ascii="Arial" w:eastAsia="Times New Roman" w:hAnsi="Arial" w:cs="Arial"/>
          <w:color w:val="777777"/>
          <w:sz w:val="20"/>
          <w:szCs w:val="20"/>
          <w:lang w:eastAsia="it-IT"/>
        </w:rPr>
        <w:t>Tale analisi può condurre all’esclusione di un emittente dall’universo investibile.</w:t>
      </w:r>
    </w:p>
    <w:p w:rsidR="0040131A" w:rsidRPr="0040131A" w:rsidRDefault="0040131A" w:rsidP="0040131A">
      <w:pPr>
        <w:shd w:val="clear" w:color="auto" w:fill="FFFFFF"/>
        <w:spacing w:after="210" w:line="405" w:lineRule="atLeast"/>
        <w:outlineLvl w:val="3"/>
        <w:rPr>
          <w:rFonts w:ascii="Arial" w:eastAsia="Times New Roman" w:hAnsi="Arial" w:cs="Arial"/>
          <w:b/>
          <w:bCs/>
          <w:color w:val="212529"/>
          <w:spacing w:val="-12"/>
          <w:sz w:val="28"/>
          <w:szCs w:val="28"/>
          <w:lang w:eastAsia="it-IT"/>
        </w:rPr>
      </w:pPr>
      <w:r w:rsidRPr="0040131A">
        <w:rPr>
          <w:rFonts w:ascii="Arial" w:eastAsia="Times New Roman" w:hAnsi="Arial" w:cs="Arial"/>
          <w:b/>
          <w:bCs/>
          <w:color w:val="212529"/>
          <w:spacing w:val="-12"/>
          <w:sz w:val="28"/>
          <w:szCs w:val="28"/>
          <w:u w:val="single"/>
          <w:lang w:eastAsia="it-IT"/>
        </w:rPr>
        <w:t>Esclusioni</w:t>
      </w:r>
    </w:p>
    <w:p w:rsidR="0040131A" w:rsidRPr="0040131A" w:rsidRDefault="0040131A" w:rsidP="0040131A">
      <w:pPr>
        <w:shd w:val="clear" w:color="auto" w:fill="FFFFFF"/>
        <w:spacing w:after="300" w:line="390" w:lineRule="atLeast"/>
        <w:rPr>
          <w:rFonts w:ascii="Arial" w:eastAsia="Times New Roman" w:hAnsi="Arial" w:cs="Arial"/>
          <w:color w:val="777777"/>
          <w:sz w:val="20"/>
          <w:szCs w:val="20"/>
          <w:lang w:eastAsia="it-IT"/>
        </w:rPr>
      </w:pPr>
      <w:r w:rsidRPr="0040131A">
        <w:rPr>
          <w:rFonts w:ascii="Arial" w:eastAsia="Times New Roman" w:hAnsi="Arial" w:cs="Arial"/>
          <w:color w:val="777777"/>
          <w:sz w:val="20"/>
          <w:szCs w:val="20"/>
          <w:lang w:eastAsia="it-IT"/>
        </w:rPr>
        <w:t>Nel caso di Emittenti Corporate sono previste due tipologie di esclusioni, di seguito descritte.</w:t>
      </w:r>
    </w:p>
    <w:p w:rsidR="0040131A" w:rsidRPr="0040131A" w:rsidRDefault="0040131A" w:rsidP="0040131A">
      <w:pPr>
        <w:shd w:val="clear" w:color="auto" w:fill="FFFFFF"/>
        <w:spacing w:after="210" w:line="270" w:lineRule="atLeast"/>
        <w:outlineLvl w:val="4"/>
        <w:rPr>
          <w:rFonts w:ascii="Arial" w:eastAsia="Times New Roman" w:hAnsi="Arial" w:cs="Arial"/>
          <w:b/>
          <w:bCs/>
          <w:caps/>
          <w:color w:val="212529"/>
          <w:spacing w:val="-12"/>
          <w:sz w:val="20"/>
          <w:szCs w:val="20"/>
          <w:lang w:eastAsia="it-IT"/>
        </w:rPr>
      </w:pPr>
      <w:r w:rsidRPr="0040131A">
        <w:rPr>
          <w:rFonts w:ascii="Arial" w:eastAsia="Times New Roman" w:hAnsi="Arial" w:cs="Arial"/>
          <w:b/>
          <w:bCs/>
          <w:i/>
          <w:iCs/>
          <w:caps/>
          <w:color w:val="212529"/>
          <w:spacing w:val="-12"/>
          <w:sz w:val="20"/>
          <w:szCs w:val="20"/>
          <w:lang w:eastAsia="it-IT"/>
        </w:rPr>
        <w:t>ESCLUSIONI CONDUCT-BASED</w:t>
      </w:r>
    </w:p>
    <w:p w:rsidR="0040131A" w:rsidRPr="0040131A" w:rsidRDefault="0040131A" w:rsidP="0040131A">
      <w:pPr>
        <w:shd w:val="clear" w:color="auto" w:fill="FFFFFF"/>
        <w:spacing w:after="300" w:line="390" w:lineRule="atLeast"/>
        <w:rPr>
          <w:rFonts w:ascii="Arial" w:eastAsia="Times New Roman" w:hAnsi="Arial" w:cs="Arial"/>
          <w:color w:val="777777"/>
          <w:sz w:val="20"/>
          <w:szCs w:val="20"/>
          <w:lang w:eastAsia="it-IT"/>
        </w:rPr>
      </w:pPr>
      <w:r w:rsidRPr="0040131A">
        <w:rPr>
          <w:rFonts w:ascii="Arial" w:eastAsia="Times New Roman" w:hAnsi="Arial" w:cs="Arial"/>
          <w:color w:val="777777"/>
          <w:sz w:val="20"/>
          <w:szCs w:val="20"/>
          <w:lang w:eastAsia="it-IT"/>
        </w:rPr>
        <w:t>Sono esclusi gli investimenti in Emittenti Corporate che, nello svolgimento della loro attività principale, siano coinvolti in:</w:t>
      </w:r>
    </w:p>
    <w:p w:rsidR="0040131A" w:rsidRPr="0040131A" w:rsidRDefault="0040131A" w:rsidP="0040131A">
      <w:pPr>
        <w:numPr>
          <w:ilvl w:val="0"/>
          <w:numId w:val="4"/>
        </w:numPr>
        <w:shd w:val="clear" w:color="auto" w:fill="FFFFFF"/>
        <w:spacing w:before="100" w:beforeAutospacing="1" w:after="100" w:afterAutospacing="1" w:line="240" w:lineRule="auto"/>
        <w:rPr>
          <w:rFonts w:ascii="Arial" w:eastAsia="Times New Roman" w:hAnsi="Arial" w:cs="Arial"/>
          <w:color w:val="777777"/>
          <w:sz w:val="20"/>
          <w:szCs w:val="20"/>
          <w:lang w:eastAsia="it-IT"/>
        </w:rPr>
      </w:pPr>
      <w:r w:rsidRPr="0040131A">
        <w:rPr>
          <w:rFonts w:ascii="Arial" w:eastAsia="Times New Roman" w:hAnsi="Arial" w:cs="Arial"/>
          <w:color w:val="777777"/>
          <w:sz w:val="20"/>
          <w:szCs w:val="20"/>
          <w:lang w:eastAsia="it-IT"/>
        </w:rPr>
        <w:t>violazione dei diritti umani e dei lavoratori;</w:t>
      </w:r>
    </w:p>
    <w:p w:rsidR="0040131A" w:rsidRPr="0040131A" w:rsidRDefault="0040131A" w:rsidP="0040131A">
      <w:pPr>
        <w:numPr>
          <w:ilvl w:val="0"/>
          <w:numId w:val="4"/>
        </w:numPr>
        <w:shd w:val="clear" w:color="auto" w:fill="FFFFFF"/>
        <w:spacing w:before="100" w:beforeAutospacing="1" w:after="100" w:afterAutospacing="1" w:line="240" w:lineRule="auto"/>
        <w:rPr>
          <w:rFonts w:ascii="Arial" w:eastAsia="Times New Roman" w:hAnsi="Arial" w:cs="Arial"/>
          <w:color w:val="777777"/>
          <w:sz w:val="20"/>
          <w:szCs w:val="20"/>
          <w:lang w:eastAsia="it-IT"/>
        </w:rPr>
      </w:pPr>
      <w:r w:rsidRPr="0040131A">
        <w:rPr>
          <w:rFonts w:ascii="Arial" w:eastAsia="Times New Roman" w:hAnsi="Arial" w:cs="Arial"/>
          <w:color w:val="777777"/>
          <w:sz w:val="20"/>
          <w:szCs w:val="20"/>
          <w:lang w:eastAsia="it-IT"/>
        </w:rPr>
        <w:t>sfruttamento delle risorse naturali che non tenga nel dovuto conto i relativi impatti ambientali;</w:t>
      </w:r>
    </w:p>
    <w:p w:rsidR="0040131A" w:rsidRPr="0040131A" w:rsidRDefault="0040131A" w:rsidP="0040131A">
      <w:pPr>
        <w:numPr>
          <w:ilvl w:val="0"/>
          <w:numId w:val="4"/>
        </w:numPr>
        <w:shd w:val="clear" w:color="auto" w:fill="FFFFFF"/>
        <w:spacing w:before="100" w:beforeAutospacing="1" w:after="100" w:afterAutospacing="1" w:line="240" w:lineRule="auto"/>
        <w:rPr>
          <w:rFonts w:ascii="Arial" w:eastAsia="Times New Roman" w:hAnsi="Arial" w:cs="Arial"/>
          <w:color w:val="777777"/>
          <w:sz w:val="20"/>
          <w:szCs w:val="20"/>
          <w:lang w:eastAsia="it-IT"/>
        </w:rPr>
      </w:pPr>
      <w:r w:rsidRPr="0040131A">
        <w:rPr>
          <w:rFonts w:ascii="Arial" w:eastAsia="Times New Roman" w:hAnsi="Arial" w:cs="Arial"/>
          <w:color w:val="777777"/>
          <w:sz w:val="20"/>
          <w:szCs w:val="20"/>
          <w:lang w:eastAsia="it-IT"/>
        </w:rPr>
        <w:t>utilizzo sistematico della corruzione nella gestione del business.</w:t>
      </w:r>
    </w:p>
    <w:p w:rsidR="0040131A" w:rsidRPr="0040131A" w:rsidRDefault="0040131A" w:rsidP="0040131A">
      <w:pPr>
        <w:shd w:val="clear" w:color="auto" w:fill="FFFFFF"/>
        <w:spacing w:after="210" w:line="270" w:lineRule="atLeast"/>
        <w:outlineLvl w:val="4"/>
        <w:rPr>
          <w:rFonts w:ascii="Arial" w:eastAsia="Times New Roman" w:hAnsi="Arial" w:cs="Arial"/>
          <w:b/>
          <w:bCs/>
          <w:caps/>
          <w:color w:val="212529"/>
          <w:spacing w:val="-12"/>
          <w:sz w:val="20"/>
          <w:szCs w:val="20"/>
          <w:lang w:eastAsia="it-IT"/>
        </w:rPr>
      </w:pPr>
      <w:r w:rsidRPr="0040131A">
        <w:rPr>
          <w:rFonts w:ascii="Arial" w:eastAsia="Times New Roman" w:hAnsi="Arial" w:cs="Arial"/>
          <w:b/>
          <w:bCs/>
          <w:i/>
          <w:iCs/>
          <w:caps/>
          <w:color w:val="212529"/>
          <w:spacing w:val="-12"/>
          <w:sz w:val="20"/>
          <w:szCs w:val="20"/>
          <w:lang w:eastAsia="it-IT"/>
        </w:rPr>
        <w:t>ESCLUSIONI PRODUCT-BASED</w:t>
      </w:r>
    </w:p>
    <w:p w:rsidR="0040131A" w:rsidRPr="0040131A" w:rsidRDefault="0040131A" w:rsidP="0040131A">
      <w:pPr>
        <w:shd w:val="clear" w:color="auto" w:fill="FFFFFF"/>
        <w:spacing w:after="300" w:line="390" w:lineRule="atLeast"/>
        <w:rPr>
          <w:rFonts w:ascii="Arial" w:eastAsia="Times New Roman" w:hAnsi="Arial" w:cs="Arial"/>
          <w:color w:val="777777"/>
          <w:sz w:val="20"/>
          <w:szCs w:val="20"/>
          <w:lang w:eastAsia="it-IT"/>
        </w:rPr>
      </w:pPr>
      <w:r w:rsidRPr="0040131A">
        <w:rPr>
          <w:rFonts w:ascii="Arial" w:eastAsia="Times New Roman" w:hAnsi="Arial" w:cs="Arial"/>
          <w:color w:val="777777"/>
          <w:sz w:val="20"/>
          <w:szCs w:val="20"/>
          <w:lang w:eastAsia="it-IT"/>
        </w:rPr>
        <w:t>Sono esclusi gli investimenti in Emittenti Corporate coinvolti in:</w:t>
      </w:r>
    </w:p>
    <w:p w:rsidR="0040131A" w:rsidRPr="0040131A" w:rsidRDefault="0040131A" w:rsidP="0040131A">
      <w:pPr>
        <w:numPr>
          <w:ilvl w:val="0"/>
          <w:numId w:val="5"/>
        </w:numPr>
        <w:shd w:val="clear" w:color="auto" w:fill="FFFFFF"/>
        <w:spacing w:before="100" w:beforeAutospacing="1" w:after="100" w:afterAutospacing="1" w:line="240" w:lineRule="auto"/>
        <w:rPr>
          <w:rFonts w:ascii="Arial" w:eastAsia="Times New Roman" w:hAnsi="Arial" w:cs="Arial"/>
          <w:color w:val="777777"/>
          <w:sz w:val="20"/>
          <w:szCs w:val="20"/>
          <w:lang w:eastAsia="it-IT"/>
        </w:rPr>
      </w:pPr>
      <w:r w:rsidRPr="0040131A">
        <w:rPr>
          <w:rFonts w:ascii="Arial" w:eastAsia="Times New Roman" w:hAnsi="Arial" w:cs="Arial"/>
          <w:color w:val="777777"/>
          <w:sz w:val="20"/>
          <w:szCs w:val="20"/>
          <w:lang w:eastAsia="it-IT"/>
        </w:rPr>
        <w:t>produzione di armi non convenzionali (armi nucleari, bombe a grappolo, mine anti-uomo, armi chimiche, armi biologiche);</w:t>
      </w:r>
    </w:p>
    <w:p w:rsidR="0040131A" w:rsidRPr="0040131A" w:rsidRDefault="0040131A" w:rsidP="0040131A">
      <w:pPr>
        <w:numPr>
          <w:ilvl w:val="0"/>
          <w:numId w:val="5"/>
        </w:numPr>
        <w:shd w:val="clear" w:color="auto" w:fill="FFFFFF"/>
        <w:spacing w:before="100" w:beforeAutospacing="1" w:after="100" w:afterAutospacing="1" w:line="240" w:lineRule="auto"/>
        <w:rPr>
          <w:rFonts w:ascii="Arial" w:eastAsia="Times New Roman" w:hAnsi="Arial" w:cs="Arial"/>
          <w:color w:val="777777"/>
          <w:sz w:val="20"/>
          <w:szCs w:val="20"/>
          <w:lang w:eastAsia="it-IT"/>
        </w:rPr>
      </w:pPr>
      <w:r w:rsidRPr="0040131A">
        <w:rPr>
          <w:rFonts w:ascii="Arial" w:eastAsia="Times New Roman" w:hAnsi="Arial" w:cs="Arial"/>
          <w:color w:val="777777"/>
          <w:sz w:val="20"/>
          <w:szCs w:val="20"/>
          <w:lang w:eastAsia="it-IT"/>
        </w:rPr>
        <w:t>gioco d’azzardo (per oltre il 20% del fatturato);</w:t>
      </w:r>
    </w:p>
    <w:p w:rsidR="0040131A" w:rsidRPr="0040131A" w:rsidRDefault="0040131A" w:rsidP="0040131A">
      <w:pPr>
        <w:numPr>
          <w:ilvl w:val="0"/>
          <w:numId w:val="5"/>
        </w:numPr>
        <w:shd w:val="clear" w:color="auto" w:fill="FFFFFF"/>
        <w:spacing w:before="100" w:beforeAutospacing="1" w:after="100" w:afterAutospacing="1" w:line="240" w:lineRule="auto"/>
        <w:rPr>
          <w:rFonts w:ascii="Arial" w:eastAsia="Times New Roman" w:hAnsi="Arial" w:cs="Arial"/>
          <w:color w:val="777777"/>
          <w:sz w:val="20"/>
          <w:szCs w:val="20"/>
          <w:lang w:eastAsia="it-IT"/>
        </w:rPr>
      </w:pPr>
      <w:r w:rsidRPr="0040131A">
        <w:rPr>
          <w:rFonts w:ascii="Arial" w:eastAsia="Times New Roman" w:hAnsi="Arial" w:cs="Arial"/>
          <w:color w:val="777777"/>
          <w:sz w:val="20"/>
          <w:szCs w:val="20"/>
          <w:lang w:eastAsia="it-IT"/>
        </w:rPr>
        <w:t xml:space="preserve">estrazione di carbone e generazione di energia elettrica da carbone termico (per oltre il 30% del fatturato, e che non dimostrino un posizionamento sufficientemente ambizioso in termini di transizione del </w:t>
      </w:r>
      <w:proofErr w:type="spellStart"/>
      <w:r w:rsidRPr="0040131A">
        <w:rPr>
          <w:rFonts w:ascii="Arial" w:eastAsia="Times New Roman" w:hAnsi="Arial" w:cs="Arial"/>
          <w:color w:val="777777"/>
          <w:sz w:val="20"/>
          <w:szCs w:val="20"/>
          <w:lang w:eastAsia="it-IT"/>
        </w:rPr>
        <w:t>businessverso</w:t>
      </w:r>
      <w:proofErr w:type="spellEnd"/>
      <w:r w:rsidRPr="0040131A">
        <w:rPr>
          <w:rFonts w:ascii="Arial" w:eastAsia="Times New Roman" w:hAnsi="Arial" w:cs="Arial"/>
          <w:color w:val="777777"/>
          <w:sz w:val="20"/>
          <w:szCs w:val="20"/>
          <w:lang w:eastAsia="it-IT"/>
        </w:rPr>
        <w:t xml:space="preserve"> un’economia a basse emissioni di carbonio).</w:t>
      </w:r>
    </w:p>
    <w:p w:rsidR="0040131A" w:rsidRPr="0040131A" w:rsidRDefault="0040131A" w:rsidP="0040131A">
      <w:pPr>
        <w:shd w:val="clear" w:color="auto" w:fill="FFFFFF"/>
        <w:spacing w:after="300" w:line="390" w:lineRule="atLeast"/>
        <w:rPr>
          <w:rFonts w:ascii="Arial" w:eastAsia="Times New Roman" w:hAnsi="Arial" w:cs="Arial"/>
          <w:color w:val="777777"/>
          <w:sz w:val="20"/>
          <w:szCs w:val="20"/>
          <w:lang w:eastAsia="it-IT"/>
        </w:rPr>
      </w:pPr>
      <w:r w:rsidRPr="0040131A">
        <w:rPr>
          <w:rFonts w:ascii="Arial" w:eastAsia="Times New Roman" w:hAnsi="Arial" w:cs="Arial"/>
          <w:color w:val="777777"/>
          <w:sz w:val="20"/>
          <w:szCs w:val="20"/>
          <w:lang w:eastAsia="it-IT"/>
        </w:rPr>
        <w:lastRenderedPageBreak/>
        <w:t xml:space="preserve">Rispetto agli Emittenti governativi, </w:t>
      </w:r>
      <w:proofErr w:type="spellStart"/>
      <w:r w:rsidRPr="0040131A">
        <w:rPr>
          <w:rFonts w:ascii="Arial" w:eastAsia="Times New Roman" w:hAnsi="Arial" w:cs="Arial"/>
          <w:color w:val="777777"/>
          <w:sz w:val="20"/>
          <w:szCs w:val="20"/>
          <w:lang w:eastAsia="it-IT"/>
        </w:rPr>
        <w:t>UnipolSai</w:t>
      </w:r>
      <w:proofErr w:type="spellEnd"/>
      <w:r w:rsidRPr="0040131A">
        <w:rPr>
          <w:rFonts w:ascii="Arial" w:eastAsia="Times New Roman" w:hAnsi="Arial" w:cs="Arial"/>
          <w:color w:val="777777"/>
          <w:sz w:val="20"/>
          <w:szCs w:val="20"/>
          <w:lang w:eastAsia="it-IT"/>
        </w:rPr>
        <w:t xml:space="preserve"> ritiene non sostenibile investire in titoli di Stato emessi da Paesi in cui si verificano gravi violazioni dei diritti umani o politiche predatorie nei confronti delle risorse ambientali con impatto globale.</w:t>
      </w:r>
    </w:p>
    <w:p w:rsidR="0040131A" w:rsidRPr="0040131A" w:rsidRDefault="0040131A" w:rsidP="0040131A">
      <w:pPr>
        <w:shd w:val="clear" w:color="auto" w:fill="FFFFFF"/>
        <w:spacing w:after="300" w:line="390" w:lineRule="atLeast"/>
        <w:rPr>
          <w:rFonts w:ascii="Arial" w:eastAsia="Times New Roman" w:hAnsi="Arial" w:cs="Arial"/>
          <w:color w:val="777777"/>
          <w:sz w:val="20"/>
          <w:szCs w:val="20"/>
          <w:lang w:eastAsia="it-IT"/>
        </w:rPr>
      </w:pPr>
      <w:r w:rsidRPr="0040131A">
        <w:rPr>
          <w:rFonts w:ascii="Arial" w:eastAsia="Times New Roman" w:hAnsi="Arial" w:cs="Arial"/>
          <w:color w:val="777777"/>
          <w:sz w:val="20"/>
          <w:szCs w:val="20"/>
          <w:lang w:eastAsia="it-IT"/>
        </w:rPr>
        <w:t xml:space="preserve">A partire dalla rilevazione di tali ambiti ESG, il </w:t>
      </w:r>
      <w:proofErr w:type="spellStart"/>
      <w:r w:rsidRPr="0040131A">
        <w:rPr>
          <w:rFonts w:ascii="Arial" w:eastAsia="Times New Roman" w:hAnsi="Arial" w:cs="Arial"/>
          <w:color w:val="777777"/>
          <w:sz w:val="20"/>
          <w:szCs w:val="20"/>
          <w:lang w:eastAsia="it-IT"/>
        </w:rPr>
        <w:t>UnipolSai</w:t>
      </w:r>
      <w:proofErr w:type="spellEnd"/>
      <w:r w:rsidRPr="0040131A">
        <w:rPr>
          <w:rFonts w:ascii="Arial" w:eastAsia="Times New Roman" w:hAnsi="Arial" w:cs="Arial"/>
          <w:color w:val="777777"/>
          <w:sz w:val="20"/>
          <w:szCs w:val="20"/>
          <w:lang w:eastAsia="it-IT"/>
        </w:rPr>
        <w:t xml:space="preserve"> sta consolidando un modello che consente di valutare gli impatti negativi dei rischi di sostenibilità sul valore degli investimenti e, di conseguenza, sul rendimento dei prodotti finanziari.</w:t>
      </w:r>
    </w:p>
    <w:p w:rsidR="0040131A" w:rsidRPr="0040131A" w:rsidRDefault="0040131A" w:rsidP="0040131A">
      <w:pPr>
        <w:shd w:val="clear" w:color="auto" w:fill="FFFFFF"/>
        <w:spacing w:before="100" w:beforeAutospacing="1" w:after="100" w:afterAutospacing="1" w:line="360" w:lineRule="atLeast"/>
        <w:outlineLvl w:val="2"/>
        <w:rPr>
          <w:rFonts w:ascii="Arial" w:eastAsia="Times New Roman" w:hAnsi="Arial" w:cs="Arial"/>
          <w:caps/>
          <w:color w:val="212529"/>
          <w:spacing w:val="-12"/>
          <w:sz w:val="36"/>
          <w:szCs w:val="36"/>
          <w:lang w:eastAsia="it-IT"/>
        </w:rPr>
      </w:pPr>
      <w:r w:rsidRPr="0040131A">
        <w:rPr>
          <w:rFonts w:ascii="Arial" w:eastAsia="Times New Roman" w:hAnsi="Arial" w:cs="Arial"/>
          <w:caps/>
          <w:color w:val="212529"/>
          <w:spacing w:val="-12"/>
          <w:sz w:val="36"/>
          <w:szCs w:val="36"/>
          <w:lang w:eastAsia="it-IT"/>
        </w:rPr>
        <w:t>6. LE POLITICHE SULL’INTEGRAZIONE DEI RISCHI DI SOSTENIBILITÀ NELLE CONSULENZE IN MATERIA DI PRODOTTI DI INVESTIMENTO ASSICURATIVO</w:t>
      </w:r>
    </w:p>
    <w:p w:rsidR="0040131A" w:rsidRPr="0040131A" w:rsidRDefault="0040131A" w:rsidP="0040131A">
      <w:pPr>
        <w:shd w:val="clear" w:color="auto" w:fill="FFFFFF"/>
        <w:spacing w:after="300" w:line="390" w:lineRule="atLeast"/>
        <w:rPr>
          <w:rFonts w:ascii="Arial" w:eastAsia="Times New Roman" w:hAnsi="Arial" w:cs="Arial"/>
          <w:color w:val="777777"/>
          <w:sz w:val="20"/>
          <w:szCs w:val="20"/>
          <w:lang w:eastAsia="it-IT"/>
        </w:rPr>
      </w:pPr>
      <w:r w:rsidRPr="0040131A">
        <w:rPr>
          <w:rFonts w:ascii="Arial" w:eastAsia="Times New Roman" w:hAnsi="Arial" w:cs="Arial"/>
          <w:color w:val="777777"/>
          <w:sz w:val="20"/>
          <w:szCs w:val="20"/>
          <w:lang w:eastAsia="it-IT"/>
        </w:rPr>
        <w:t>L’Agente, in coerenza con le indicazioni fornite dalla Compagnia, nella misura e secondo l’approccio “high-</w:t>
      </w:r>
      <w:proofErr w:type="spellStart"/>
      <w:r w:rsidRPr="0040131A">
        <w:rPr>
          <w:rFonts w:ascii="Arial" w:eastAsia="Times New Roman" w:hAnsi="Arial" w:cs="Arial"/>
          <w:color w:val="777777"/>
          <w:sz w:val="20"/>
          <w:szCs w:val="20"/>
          <w:lang w:eastAsia="it-IT"/>
        </w:rPr>
        <w:t>level</w:t>
      </w:r>
      <w:proofErr w:type="spellEnd"/>
      <w:r w:rsidRPr="0040131A">
        <w:rPr>
          <w:rFonts w:ascii="Arial" w:eastAsia="Times New Roman" w:hAnsi="Arial" w:cs="Arial"/>
          <w:color w:val="777777"/>
          <w:sz w:val="20"/>
          <w:szCs w:val="20"/>
          <w:lang w:eastAsia="it-IT"/>
        </w:rPr>
        <w:t>” e “</w:t>
      </w:r>
      <w:proofErr w:type="spellStart"/>
      <w:r w:rsidRPr="0040131A">
        <w:rPr>
          <w:rFonts w:ascii="Arial" w:eastAsia="Times New Roman" w:hAnsi="Arial" w:cs="Arial"/>
          <w:color w:val="777777"/>
          <w:sz w:val="20"/>
          <w:szCs w:val="20"/>
          <w:lang w:eastAsia="it-IT"/>
        </w:rPr>
        <w:t>principle-based</w:t>
      </w:r>
      <w:proofErr w:type="spellEnd"/>
      <w:r w:rsidRPr="0040131A">
        <w:rPr>
          <w:rFonts w:ascii="Arial" w:eastAsia="Times New Roman" w:hAnsi="Arial" w:cs="Arial"/>
          <w:color w:val="777777"/>
          <w:sz w:val="20"/>
          <w:szCs w:val="20"/>
          <w:lang w:eastAsia="it-IT"/>
        </w:rPr>
        <w:t>” adottato dalla Compagnia che è il soggetto che realizza i prodotti assicurativi stessi, come sopra descritto, integra i rischi di sostenibilità nella propria attività di consulenza in materia di prodotti di investimento assicurativo, secondo il processo previsto dai sistemi informatici messi a disposizione dalla Compagnia.</w:t>
      </w:r>
    </w:p>
    <w:p w:rsidR="0040131A" w:rsidRPr="0040131A" w:rsidRDefault="0040131A" w:rsidP="0040131A">
      <w:pPr>
        <w:shd w:val="clear" w:color="auto" w:fill="FFFFFF"/>
        <w:spacing w:after="300" w:line="390" w:lineRule="atLeast"/>
        <w:rPr>
          <w:rFonts w:ascii="Arial" w:eastAsia="Times New Roman" w:hAnsi="Arial" w:cs="Arial"/>
          <w:color w:val="777777"/>
          <w:sz w:val="20"/>
          <w:szCs w:val="20"/>
          <w:lang w:eastAsia="it-IT"/>
        </w:rPr>
      </w:pPr>
      <w:r w:rsidRPr="0040131A">
        <w:rPr>
          <w:rFonts w:ascii="Arial" w:eastAsia="Times New Roman" w:hAnsi="Arial" w:cs="Arial"/>
          <w:color w:val="777777"/>
          <w:sz w:val="20"/>
          <w:szCs w:val="20"/>
          <w:lang w:eastAsia="it-IT"/>
        </w:rPr>
        <w:t xml:space="preserve">La consulenza in materia di assicurazione riguardo agli IBIP avviene secondo un processo che risponde alle disposizioni dettate dal legislatore europeo e nazionale e dall’Autorità di Vigilanza sulle imprese </w:t>
      </w:r>
      <w:proofErr w:type="spellStart"/>
      <w:r w:rsidRPr="0040131A">
        <w:rPr>
          <w:rFonts w:ascii="Arial" w:eastAsia="Times New Roman" w:hAnsi="Arial" w:cs="Arial"/>
          <w:color w:val="777777"/>
          <w:sz w:val="20"/>
          <w:szCs w:val="20"/>
          <w:lang w:eastAsia="it-IT"/>
        </w:rPr>
        <w:t>diassicurazioni</w:t>
      </w:r>
      <w:proofErr w:type="spellEnd"/>
      <w:r w:rsidRPr="0040131A">
        <w:rPr>
          <w:rFonts w:ascii="Arial" w:eastAsia="Times New Roman" w:hAnsi="Arial" w:cs="Arial"/>
          <w:color w:val="777777"/>
          <w:sz w:val="20"/>
          <w:szCs w:val="20"/>
          <w:lang w:eastAsia="it-IT"/>
        </w:rPr>
        <w:t xml:space="preserve"> e sugli intermediari (IVASS) in cui si integrano le disposizioni contenute nel Regolamento 2088.</w:t>
      </w:r>
    </w:p>
    <w:p w:rsidR="0040131A" w:rsidRPr="0040131A" w:rsidRDefault="0040131A" w:rsidP="0040131A">
      <w:pPr>
        <w:shd w:val="clear" w:color="auto" w:fill="FFFFFF"/>
        <w:spacing w:after="300" w:line="390" w:lineRule="atLeast"/>
        <w:rPr>
          <w:rFonts w:ascii="Arial" w:eastAsia="Times New Roman" w:hAnsi="Arial" w:cs="Arial"/>
          <w:color w:val="777777"/>
          <w:sz w:val="20"/>
          <w:szCs w:val="20"/>
          <w:lang w:eastAsia="it-IT"/>
        </w:rPr>
      </w:pPr>
      <w:r w:rsidRPr="0040131A">
        <w:rPr>
          <w:rFonts w:ascii="Arial" w:eastAsia="Times New Roman" w:hAnsi="Arial" w:cs="Arial"/>
          <w:color w:val="777777"/>
          <w:sz w:val="20"/>
          <w:szCs w:val="20"/>
          <w:lang w:eastAsia="it-IT"/>
        </w:rPr>
        <w:t>In particolare, i rischi di sostenibilità che possono impattare sul prodotto finanziario sono espressi dalla Compagnia in modo sintetico, attraverso la valutazione dei probabili impatti dei rischi di sostenibilità sul rendimento dei prodotti finanziari, nella documentazione precontrattuale da essa predisposta e sono considerati dall’Agente, in modo integrato rispetto agli altri fattori di rischio che possono incidere sul rendimento dei prodotti, nell’attuale fase di prima applicazione della normativa, al fine di fornire una visione esaustiva di tutti i rischi potenziali ad essi riferibili.</w:t>
      </w:r>
    </w:p>
    <w:p w:rsidR="0040131A" w:rsidRPr="0040131A" w:rsidRDefault="0040131A" w:rsidP="0040131A">
      <w:pPr>
        <w:shd w:val="clear" w:color="auto" w:fill="FFFFFF"/>
        <w:spacing w:after="300" w:line="390" w:lineRule="atLeast"/>
        <w:rPr>
          <w:rFonts w:ascii="Arial" w:eastAsia="Times New Roman" w:hAnsi="Arial" w:cs="Arial"/>
          <w:color w:val="777777"/>
          <w:sz w:val="20"/>
          <w:szCs w:val="20"/>
          <w:lang w:eastAsia="it-IT"/>
        </w:rPr>
      </w:pPr>
      <w:r w:rsidRPr="0040131A">
        <w:rPr>
          <w:rFonts w:ascii="Arial" w:eastAsia="Times New Roman" w:hAnsi="Arial" w:cs="Arial"/>
          <w:color w:val="777777"/>
          <w:sz w:val="20"/>
          <w:szCs w:val="20"/>
          <w:lang w:eastAsia="it-IT"/>
        </w:rPr>
        <w:t>In particolare, l’Agente fa proprio e trasmette al cliente, sia attraverso l’illustrazione del materiale informativo precontrattuale predisposto dalla Compagnia, sia nell’attività di consulenza che segue l’approccio individuato dalla Compagnia, il risultato della valutazione dei possibili impatti dei rischi di sostenibilità sul rendimento dei prodotti finanziari, nella misura in cui esso sia espresso in relazione a ciascuna opzione di investimento ad essi sottostante.</w:t>
      </w:r>
    </w:p>
    <w:p w:rsidR="0040131A" w:rsidRPr="0040131A" w:rsidRDefault="0040131A" w:rsidP="0040131A">
      <w:pPr>
        <w:shd w:val="clear" w:color="auto" w:fill="FFFFFF"/>
        <w:spacing w:after="300" w:line="390" w:lineRule="atLeast"/>
        <w:rPr>
          <w:rFonts w:ascii="Arial" w:eastAsia="Times New Roman" w:hAnsi="Arial" w:cs="Arial"/>
          <w:color w:val="777777"/>
          <w:sz w:val="20"/>
          <w:szCs w:val="20"/>
          <w:lang w:eastAsia="it-IT"/>
        </w:rPr>
      </w:pPr>
      <w:r w:rsidRPr="0040131A">
        <w:rPr>
          <w:rFonts w:ascii="Arial" w:eastAsia="Times New Roman" w:hAnsi="Arial" w:cs="Arial"/>
          <w:color w:val="777777"/>
          <w:sz w:val="20"/>
          <w:szCs w:val="20"/>
          <w:lang w:eastAsia="it-IT"/>
        </w:rPr>
        <w:t>Se non si ritengono rilevanti i rischi di sostenibilità, alla luce delle indicazioni ricevute dalla Compagnia, la descrizione contenuta nell’informativa precontrattuale contiene una spiegazione chiara e coincisa.</w:t>
      </w:r>
    </w:p>
    <w:p w:rsidR="0040131A" w:rsidRPr="0040131A" w:rsidRDefault="0040131A" w:rsidP="0040131A">
      <w:pPr>
        <w:shd w:val="clear" w:color="auto" w:fill="FFFFFF"/>
        <w:spacing w:before="100" w:beforeAutospacing="1" w:after="100" w:afterAutospacing="1" w:line="360" w:lineRule="atLeast"/>
        <w:outlineLvl w:val="2"/>
        <w:rPr>
          <w:rFonts w:ascii="Arial" w:eastAsia="Times New Roman" w:hAnsi="Arial" w:cs="Arial"/>
          <w:caps/>
          <w:color w:val="212529"/>
          <w:spacing w:val="-12"/>
          <w:sz w:val="36"/>
          <w:szCs w:val="36"/>
          <w:lang w:eastAsia="it-IT"/>
        </w:rPr>
      </w:pPr>
      <w:r w:rsidRPr="0040131A">
        <w:rPr>
          <w:rFonts w:ascii="Arial" w:eastAsia="Times New Roman" w:hAnsi="Arial" w:cs="Arial"/>
          <w:caps/>
          <w:color w:val="212529"/>
          <w:spacing w:val="-12"/>
          <w:sz w:val="36"/>
          <w:szCs w:val="36"/>
          <w:lang w:eastAsia="it-IT"/>
        </w:rPr>
        <w:lastRenderedPageBreak/>
        <w:t>7. LA CONSIDERAZIONE DEI PRINCIPALI EFFETTI NEGATIVI DELLE DECISIONI DI INVESTIMENTO SUI FATTORI DI SOSTENIBILITÀ</w:t>
      </w:r>
    </w:p>
    <w:p w:rsidR="0040131A" w:rsidRPr="0040131A" w:rsidRDefault="0040131A" w:rsidP="0040131A">
      <w:pPr>
        <w:shd w:val="clear" w:color="auto" w:fill="FFFFFF"/>
        <w:spacing w:after="300" w:line="390" w:lineRule="atLeast"/>
        <w:rPr>
          <w:rFonts w:ascii="Arial" w:eastAsia="Times New Roman" w:hAnsi="Arial" w:cs="Arial"/>
          <w:color w:val="777777"/>
          <w:sz w:val="20"/>
          <w:szCs w:val="20"/>
          <w:lang w:eastAsia="it-IT"/>
        </w:rPr>
      </w:pPr>
      <w:r w:rsidRPr="0040131A">
        <w:rPr>
          <w:rFonts w:ascii="Arial" w:eastAsia="Times New Roman" w:hAnsi="Arial" w:cs="Arial"/>
          <w:color w:val="777777"/>
          <w:sz w:val="20"/>
          <w:szCs w:val="20"/>
          <w:lang w:eastAsia="it-IT"/>
        </w:rPr>
        <w:t xml:space="preserve">Come previsto dalle proprie “Linee Guida”, </w:t>
      </w:r>
      <w:proofErr w:type="spellStart"/>
      <w:r w:rsidRPr="0040131A">
        <w:rPr>
          <w:rFonts w:ascii="Arial" w:eastAsia="Times New Roman" w:hAnsi="Arial" w:cs="Arial"/>
          <w:color w:val="777777"/>
          <w:sz w:val="20"/>
          <w:szCs w:val="20"/>
          <w:lang w:eastAsia="it-IT"/>
        </w:rPr>
        <w:t>UnipolSai</w:t>
      </w:r>
      <w:proofErr w:type="spellEnd"/>
      <w:r w:rsidRPr="0040131A">
        <w:rPr>
          <w:rFonts w:ascii="Arial" w:eastAsia="Times New Roman" w:hAnsi="Arial" w:cs="Arial"/>
          <w:color w:val="777777"/>
          <w:sz w:val="20"/>
          <w:szCs w:val="20"/>
          <w:lang w:eastAsia="it-IT"/>
        </w:rPr>
        <w:t xml:space="preserve"> considera i principali effetti negativi delle proprie decisioni di investimento sui fattori di sostenibilità (gli “Effetti Negativi”). In particolare, con riferimento agli investimenti finanziari, la Compagnia si impegna a presidiare gli Effetti Negativi attraverso un processo di dovuta diligenza volto a identificare, prevenire e mitigare tali effetti, verificando e valutando l’approccio degli emittenti ai principi di condotta responsabile.</w:t>
      </w:r>
    </w:p>
    <w:p w:rsidR="0040131A" w:rsidRPr="0040131A" w:rsidRDefault="0040131A" w:rsidP="0040131A">
      <w:pPr>
        <w:shd w:val="clear" w:color="auto" w:fill="FFFFFF"/>
        <w:spacing w:after="300" w:line="390" w:lineRule="atLeast"/>
        <w:rPr>
          <w:rFonts w:ascii="Arial" w:eastAsia="Times New Roman" w:hAnsi="Arial" w:cs="Arial"/>
          <w:color w:val="777777"/>
          <w:sz w:val="20"/>
          <w:szCs w:val="20"/>
          <w:lang w:eastAsia="it-IT"/>
        </w:rPr>
      </w:pPr>
      <w:r w:rsidRPr="0040131A">
        <w:rPr>
          <w:rFonts w:ascii="Arial" w:eastAsia="Times New Roman" w:hAnsi="Arial" w:cs="Arial"/>
          <w:color w:val="777777"/>
          <w:sz w:val="20"/>
          <w:szCs w:val="20"/>
          <w:lang w:eastAsia="it-IT"/>
        </w:rPr>
        <w:t>In coerenza con le predette Linee Guida, e in relazione al perimetro di investimento ivi definito, la Compagnia identifica nel cambiamento climatico uno dei più rilevanti fattori di rischio di sostenibilità e, insieme, uno degli ambiti più significativi nei quali si possono determinare gli Effetti Negativi.</w:t>
      </w:r>
    </w:p>
    <w:p w:rsidR="0040131A" w:rsidRPr="0040131A" w:rsidRDefault="0040131A" w:rsidP="0040131A">
      <w:pPr>
        <w:shd w:val="clear" w:color="auto" w:fill="FFFFFF"/>
        <w:spacing w:after="300" w:line="390" w:lineRule="atLeast"/>
        <w:rPr>
          <w:rFonts w:ascii="Arial" w:eastAsia="Times New Roman" w:hAnsi="Arial" w:cs="Arial"/>
          <w:color w:val="777777"/>
          <w:sz w:val="20"/>
          <w:szCs w:val="20"/>
          <w:lang w:eastAsia="it-IT"/>
        </w:rPr>
      </w:pPr>
      <w:r w:rsidRPr="0040131A">
        <w:rPr>
          <w:rFonts w:ascii="Arial" w:eastAsia="Times New Roman" w:hAnsi="Arial" w:cs="Arial"/>
          <w:color w:val="777777"/>
          <w:sz w:val="20"/>
          <w:szCs w:val="20"/>
          <w:lang w:eastAsia="it-IT"/>
        </w:rPr>
        <w:t>La Compagnia ha inoltre identificato alcuni ulteriori Effetti Negativi come prioritari in relazione agli emittenti corporate, quali in particolare:</w:t>
      </w:r>
    </w:p>
    <w:p w:rsidR="0040131A" w:rsidRPr="0040131A" w:rsidRDefault="0040131A" w:rsidP="0040131A">
      <w:pPr>
        <w:numPr>
          <w:ilvl w:val="0"/>
          <w:numId w:val="6"/>
        </w:numPr>
        <w:shd w:val="clear" w:color="auto" w:fill="FFFFFF"/>
        <w:spacing w:before="100" w:beforeAutospacing="1" w:after="100" w:afterAutospacing="1" w:line="240" w:lineRule="auto"/>
        <w:rPr>
          <w:rFonts w:ascii="Arial" w:eastAsia="Times New Roman" w:hAnsi="Arial" w:cs="Arial"/>
          <w:color w:val="777777"/>
          <w:sz w:val="20"/>
          <w:szCs w:val="20"/>
          <w:lang w:eastAsia="it-IT"/>
        </w:rPr>
      </w:pPr>
      <w:r w:rsidRPr="0040131A">
        <w:rPr>
          <w:rFonts w:ascii="Arial" w:eastAsia="Times New Roman" w:hAnsi="Arial" w:cs="Arial"/>
          <w:color w:val="777777"/>
          <w:sz w:val="20"/>
          <w:szCs w:val="20"/>
          <w:lang w:eastAsia="it-IT"/>
        </w:rPr>
        <w:t>la violazione dei diritti umani e dei lavoratori;</w:t>
      </w:r>
    </w:p>
    <w:p w:rsidR="0040131A" w:rsidRPr="0040131A" w:rsidRDefault="0040131A" w:rsidP="0040131A">
      <w:pPr>
        <w:numPr>
          <w:ilvl w:val="0"/>
          <w:numId w:val="6"/>
        </w:numPr>
        <w:shd w:val="clear" w:color="auto" w:fill="FFFFFF"/>
        <w:spacing w:before="100" w:beforeAutospacing="1" w:after="100" w:afterAutospacing="1" w:line="240" w:lineRule="auto"/>
        <w:rPr>
          <w:rFonts w:ascii="Arial" w:eastAsia="Times New Roman" w:hAnsi="Arial" w:cs="Arial"/>
          <w:color w:val="777777"/>
          <w:sz w:val="20"/>
          <w:szCs w:val="20"/>
          <w:lang w:eastAsia="it-IT"/>
        </w:rPr>
      </w:pPr>
      <w:r w:rsidRPr="0040131A">
        <w:rPr>
          <w:rFonts w:ascii="Arial" w:eastAsia="Times New Roman" w:hAnsi="Arial" w:cs="Arial"/>
          <w:color w:val="777777"/>
          <w:sz w:val="20"/>
          <w:szCs w:val="20"/>
          <w:lang w:eastAsia="it-IT"/>
        </w:rPr>
        <w:t>lo sfruttamento delle risorse naturali che non tenga nel dovuto conto i relativi impatti ambientali;</w:t>
      </w:r>
    </w:p>
    <w:p w:rsidR="0040131A" w:rsidRPr="0040131A" w:rsidRDefault="0040131A" w:rsidP="0040131A">
      <w:pPr>
        <w:numPr>
          <w:ilvl w:val="0"/>
          <w:numId w:val="6"/>
        </w:numPr>
        <w:shd w:val="clear" w:color="auto" w:fill="FFFFFF"/>
        <w:spacing w:before="100" w:beforeAutospacing="1" w:after="100" w:afterAutospacing="1" w:line="240" w:lineRule="auto"/>
        <w:rPr>
          <w:rFonts w:ascii="Arial" w:eastAsia="Times New Roman" w:hAnsi="Arial" w:cs="Arial"/>
          <w:color w:val="777777"/>
          <w:sz w:val="20"/>
          <w:szCs w:val="20"/>
          <w:lang w:eastAsia="it-IT"/>
        </w:rPr>
      </w:pPr>
      <w:r w:rsidRPr="0040131A">
        <w:rPr>
          <w:rFonts w:ascii="Arial" w:eastAsia="Times New Roman" w:hAnsi="Arial" w:cs="Arial"/>
          <w:color w:val="777777"/>
          <w:sz w:val="20"/>
          <w:szCs w:val="20"/>
          <w:lang w:eastAsia="it-IT"/>
        </w:rPr>
        <w:t>l’utilizzo sistematico della corruzione nella gestione del business;</w:t>
      </w:r>
    </w:p>
    <w:p w:rsidR="0040131A" w:rsidRPr="0040131A" w:rsidRDefault="0040131A" w:rsidP="0040131A">
      <w:pPr>
        <w:numPr>
          <w:ilvl w:val="0"/>
          <w:numId w:val="6"/>
        </w:numPr>
        <w:shd w:val="clear" w:color="auto" w:fill="FFFFFF"/>
        <w:spacing w:before="100" w:beforeAutospacing="1" w:after="100" w:afterAutospacing="1" w:line="240" w:lineRule="auto"/>
        <w:rPr>
          <w:rFonts w:ascii="Arial" w:eastAsia="Times New Roman" w:hAnsi="Arial" w:cs="Arial"/>
          <w:color w:val="777777"/>
          <w:sz w:val="20"/>
          <w:szCs w:val="20"/>
          <w:lang w:eastAsia="it-IT"/>
        </w:rPr>
      </w:pPr>
      <w:r w:rsidRPr="0040131A">
        <w:rPr>
          <w:rFonts w:ascii="Arial" w:eastAsia="Times New Roman" w:hAnsi="Arial" w:cs="Arial"/>
          <w:color w:val="777777"/>
          <w:sz w:val="20"/>
          <w:szCs w:val="20"/>
          <w:lang w:eastAsia="it-IT"/>
        </w:rPr>
        <w:t>la produzione di armi non convenzionali (armi nucleari, bombe a grappolo, mine anti-uomo, armi chimiche, armi biologiche);</w:t>
      </w:r>
    </w:p>
    <w:p w:rsidR="0040131A" w:rsidRPr="0040131A" w:rsidRDefault="0040131A" w:rsidP="0040131A">
      <w:pPr>
        <w:numPr>
          <w:ilvl w:val="0"/>
          <w:numId w:val="6"/>
        </w:numPr>
        <w:shd w:val="clear" w:color="auto" w:fill="FFFFFF"/>
        <w:spacing w:before="100" w:beforeAutospacing="1" w:after="100" w:afterAutospacing="1" w:line="240" w:lineRule="auto"/>
        <w:rPr>
          <w:rFonts w:ascii="Arial" w:eastAsia="Times New Roman" w:hAnsi="Arial" w:cs="Arial"/>
          <w:color w:val="777777"/>
          <w:sz w:val="20"/>
          <w:szCs w:val="20"/>
          <w:lang w:eastAsia="it-IT"/>
        </w:rPr>
      </w:pPr>
      <w:r w:rsidRPr="0040131A">
        <w:rPr>
          <w:rFonts w:ascii="Arial" w:eastAsia="Times New Roman" w:hAnsi="Arial" w:cs="Arial"/>
          <w:color w:val="777777"/>
          <w:sz w:val="20"/>
          <w:szCs w:val="20"/>
          <w:lang w:eastAsia="it-IT"/>
        </w:rPr>
        <w:t>la pratica del gioco d’azzardo.</w:t>
      </w:r>
    </w:p>
    <w:p w:rsidR="0040131A" w:rsidRPr="0040131A" w:rsidRDefault="0040131A" w:rsidP="0040131A">
      <w:pPr>
        <w:shd w:val="clear" w:color="auto" w:fill="FFFFFF"/>
        <w:spacing w:after="300" w:line="390" w:lineRule="atLeast"/>
        <w:rPr>
          <w:rFonts w:ascii="Arial" w:eastAsia="Times New Roman" w:hAnsi="Arial" w:cs="Arial"/>
          <w:color w:val="777777"/>
          <w:sz w:val="20"/>
          <w:szCs w:val="20"/>
          <w:lang w:eastAsia="it-IT"/>
        </w:rPr>
      </w:pPr>
      <w:r w:rsidRPr="0040131A">
        <w:rPr>
          <w:rFonts w:ascii="Arial" w:eastAsia="Times New Roman" w:hAnsi="Arial" w:cs="Arial"/>
          <w:color w:val="777777"/>
          <w:sz w:val="20"/>
          <w:szCs w:val="20"/>
          <w:lang w:eastAsia="it-IT"/>
        </w:rPr>
        <w:t>In relazione agli emittenti governativi, la Compagnia considera come principali Effetti Negativi le gravi violazioni dei diritti umani e le politiche predatorie nei confronti delle risorse ambientali con impatto globale.</w:t>
      </w:r>
    </w:p>
    <w:p w:rsidR="0040131A" w:rsidRPr="0040131A" w:rsidRDefault="0040131A" w:rsidP="0040131A">
      <w:pPr>
        <w:shd w:val="clear" w:color="auto" w:fill="FFFFFF"/>
        <w:spacing w:after="300" w:line="390" w:lineRule="atLeast"/>
        <w:rPr>
          <w:rFonts w:ascii="Arial" w:eastAsia="Times New Roman" w:hAnsi="Arial" w:cs="Arial"/>
          <w:color w:val="777777"/>
          <w:sz w:val="20"/>
          <w:szCs w:val="20"/>
          <w:lang w:eastAsia="it-IT"/>
        </w:rPr>
      </w:pPr>
      <w:r w:rsidRPr="0040131A">
        <w:rPr>
          <w:rFonts w:ascii="Arial" w:eastAsia="Times New Roman" w:hAnsi="Arial" w:cs="Arial"/>
          <w:color w:val="777777"/>
          <w:sz w:val="20"/>
          <w:szCs w:val="20"/>
          <w:lang w:eastAsia="it-IT"/>
        </w:rPr>
        <w:t>In merito al cambiamento climatico, le Linee Guida definiscono un insieme di azioni per ridurre gli Effetti Negativi, e in particolare:</w:t>
      </w:r>
    </w:p>
    <w:p w:rsidR="0040131A" w:rsidRPr="0040131A" w:rsidRDefault="0040131A" w:rsidP="0040131A">
      <w:pPr>
        <w:numPr>
          <w:ilvl w:val="0"/>
          <w:numId w:val="7"/>
        </w:numPr>
        <w:shd w:val="clear" w:color="auto" w:fill="FFFFFF"/>
        <w:spacing w:before="100" w:beforeAutospacing="1" w:after="100" w:afterAutospacing="1" w:line="240" w:lineRule="auto"/>
        <w:rPr>
          <w:rFonts w:ascii="Arial" w:eastAsia="Times New Roman" w:hAnsi="Arial" w:cs="Arial"/>
          <w:color w:val="777777"/>
          <w:sz w:val="20"/>
          <w:szCs w:val="20"/>
          <w:lang w:eastAsia="it-IT"/>
        </w:rPr>
      </w:pPr>
      <w:r w:rsidRPr="0040131A">
        <w:rPr>
          <w:rFonts w:ascii="Arial" w:eastAsia="Times New Roman" w:hAnsi="Arial" w:cs="Arial"/>
          <w:color w:val="777777"/>
          <w:sz w:val="20"/>
          <w:szCs w:val="20"/>
          <w:lang w:eastAsia="it-IT"/>
        </w:rPr>
        <w:t xml:space="preserve">misurazione e monitoraggio della cd. “impronta di carbonio” del perimetro di investimento definito </w:t>
      </w:r>
      <w:proofErr w:type="spellStart"/>
      <w:r w:rsidRPr="0040131A">
        <w:rPr>
          <w:rFonts w:ascii="Arial" w:eastAsia="Times New Roman" w:hAnsi="Arial" w:cs="Arial"/>
          <w:color w:val="777777"/>
          <w:sz w:val="20"/>
          <w:szCs w:val="20"/>
          <w:lang w:eastAsia="it-IT"/>
        </w:rPr>
        <w:t>evalutazione</w:t>
      </w:r>
      <w:proofErr w:type="spellEnd"/>
      <w:r w:rsidRPr="0040131A">
        <w:rPr>
          <w:rFonts w:ascii="Arial" w:eastAsia="Times New Roman" w:hAnsi="Arial" w:cs="Arial"/>
          <w:color w:val="777777"/>
          <w:sz w:val="20"/>
          <w:szCs w:val="20"/>
          <w:lang w:eastAsia="it-IT"/>
        </w:rPr>
        <w:t xml:space="preserve"> dell’allineamento futuro agli obiettivi dell’Accordo di Parigi (</w:t>
      </w:r>
      <w:proofErr w:type="spellStart"/>
      <w:r w:rsidRPr="0040131A">
        <w:rPr>
          <w:rFonts w:ascii="Arial" w:eastAsia="Times New Roman" w:hAnsi="Arial" w:cs="Arial"/>
          <w:color w:val="777777"/>
          <w:sz w:val="20"/>
          <w:szCs w:val="20"/>
          <w:lang w:eastAsia="it-IT"/>
        </w:rPr>
        <w:t>Climate</w:t>
      </w:r>
      <w:proofErr w:type="spellEnd"/>
      <w:r w:rsidRPr="0040131A">
        <w:rPr>
          <w:rFonts w:ascii="Arial" w:eastAsia="Times New Roman" w:hAnsi="Arial" w:cs="Arial"/>
          <w:color w:val="777777"/>
          <w:sz w:val="20"/>
          <w:szCs w:val="20"/>
          <w:lang w:eastAsia="it-IT"/>
        </w:rPr>
        <w:t xml:space="preserve"> </w:t>
      </w:r>
      <w:proofErr w:type="spellStart"/>
      <w:r w:rsidRPr="0040131A">
        <w:rPr>
          <w:rFonts w:ascii="Arial" w:eastAsia="Times New Roman" w:hAnsi="Arial" w:cs="Arial"/>
          <w:color w:val="777777"/>
          <w:sz w:val="20"/>
          <w:szCs w:val="20"/>
          <w:lang w:eastAsia="it-IT"/>
        </w:rPr>
        <w:t>alignment</w:t>
      </w:r>
      <w:proofErr w:type="spellEnd"/>
      <w:r w:rsidRPr="0040131A">
        <w:rPr>
          <w:rFonts w:ascii="Arial" w:eastAsia="Times New Roman" w:hAnsi="Arial" w:cs="Arial"/>
          <w:color w:val="777777"/>
          <w:sz w:val="20"/>
          <w:szCs w:val="20"/>
          <w:lang w:eastAsia="it-IT"/>
        </w:rPr>
        <w:t xml:space="preserve">) in ottica </w:t>
      </w:r>
      <w:proofErr w:type="spellStart"/>
      <w:r w:rsidRPr="0040131A">
        <w:rPr>
          <w:rFonts w:ascii="Arial" w:eastAsia="Times New Roman" w:hAnsi="Arial" w:cs="Arial"/>
          <w:color w:val="777777"/>
          <w:sz w:val="20"/>
          <w:szCs w:val="20"/>
          <w:lang w:eastAsia="it-IT"/>
        </w:rPr>
        <w:t>forward-looking</w:t>
      </w:r>
      <w:proofErr w:type="spellEnd"/>
      <w:r w:rsidRPr="0040131A">
        <w:rPr>
          <w:rFonts w:ascii="Arial" w:eastAsia="Times New Roman" w:hAnsi="Arial" w:cs="Arial"/>
          <w:color w:val="777777"/>
          <w:sz w:val="20"/>
          <w:szCs w:val="20"/>
          <w:lang w:eastAsia="it-IT"/>
        </w:rPr>
        <w:t>, per meglio comprendere quali sono i settori e gli emittenti che determinano i principali Effetti Negativi in questo ambito e definire le ulteriori conseguenti azioni;</w:t>
      </w:r>
    </w:p>
    <w:p w:rsidR="0040131A" w:rsidRPr="0040131A" w:rsidRDefault="0040131A" w:rsidP="0040131A">
      <w:pPr>
        <w:numPr>
          <w:ilvl w:val="0"/>
          <w:numId w:val="7"/>
        </w:numPr>
        <w:shd w:val="clear" w:color="auto" w:fill="FFFFFF"/>
        <w:spacing w:before="100" w:beforeAutospacing="1" w:after="100" w:afterAutospacing="1" w:line="240" w:lineRule="auto"/>
        <w:rPr>
          <w:rFonts w:ascii="Arial" w:eastAsia="Times New Roman" w:hAnsi="Arial" w:cs="Arial"/>
          <w:color w:val="777777"/>
          <w:sz w:val="20"/>
          <w:szCs w:val="20"/>
          <w:lang w:eastAsia="it-IT"/>
        </w:rPr>
      </w:pPr>
      <w:r w:rsidRPr="0040131A">
        <w:rPr>
          <w:rFonts w:ascii="Arial" w:eastAsia="Times New Roman" w:hAnsi="Arial" w:cs="Arial"/>
          <w:color w:val="777777"/>
          <w:sz w:val="20"/>
          <w:szCs w:val="20"/>
          <w:lang w:eastAsia="it-IT"/>
        </w:rPr>
        <w:t xml:space="preserve">definizione di esclusioni “selettive” degli emittenti corporate: riconoscendo l'impatto particolarmente nocivo dell’utilizzo del carbone come fonte termica sul clima, la Compagnia esclude a priori dai nuovi investimenti quelli in emittenti corporate che traggono il 30% e oltre dei loro ricavi dalle attività di estrazione di carbone o di generazione di energia elettrica da carbone termico, e che non dimostrino un posizionamento sufficientemente ambizioso in termini di transizione del business verso un’economia a basse emissioni di carbonio. Per misurare tale posizionamento sono utilizzati specifici indicatori e rating di tipo </w:t>
      </w:r>
      <w:proofErr w:type="spellStart"/>
      <w:r w:rsidRPr="0040131A">
        <w:rPr>
          <w:rFonts w:ascii="Arial" w:eastAsia="Times New Roman" w:hAnsi="Arial" w:cs="Arial"/>
          <w:color w:val="777777"/>
          <w:sz w:val="20"/>
          <w:szCs w:val="20"/>
          <w:lang w:eastAsia="it-IT"/>
        </w:rPr>
        <w:t>forward-looking</w:t>
      </w:r>
      <w:proofErr w:type="spellEnd"/>
      <w:r w:rsidRPr="0040131A">
        <w:rPr>
          <w:rFonts w:ascii="Arial" w:eastAsia="Times New Roman" w:hAnsi="Arial" w:cs="Arial"/>
          <w:color w:val="777777"/>
          <w:sz w:val="20"/>
          <w:szCs w:val="20"/>
          <w:lang w:eastAsia="it-IT"/>
        </w:rPr>
        <w:t xml:space="preserve"> forniti da agenzie di ricerca specializzate;</w:t>
      </w:r>
    </w:p>
    <w:p w:rsidR="0040131A" w:rsidRPr="0040131A" w:rsidRDefault="0040131A" w:rsidP="0040131A">
      <w:pPr>
        <w:numPr>
          <w:ilvl w:val="0"/>
          <w:numId w:val="7"/>
        </w:numPr>
        <w:shd w:val="clear" w:color="auto" w:fill="FFFFFF"/>
        <w:spacing w:before="100" w:beforeAutospacing="1" w:after="100" w:afterAutospacing="1" w:line="240" w:lineRule="auto"/>
        <w:rPr>
          <w:rFonts w:ascii="Arial" w:eastAsia="Times New Roman" w:hAnsi="Arial" w:cs="Arial"/>
          <w:color w:val="777777"/>
          <w:sz w:val="20"/>
          <w:szCs w:val="20"/>
          <w:lang w:eastAsia="it-IT"/>
        </w:rPr>
      </w:pPr>
      <w:r w:rsidRPr="0040131A">
        <w:rPr>
          <w:rFonts w:ascii="Arial" w:eastAsia="Times New Roman" w:hAnsi="Arial" w:cs="Arial"/>
          <w:color w:val="777777"/>
          <w:sz w:val="20"/>
          <w:szCs w:val="20"/>
          <w:lang w:eastAsia="it-IT"/>
        </w:rPr>
        <w:t>esclusione degli emittenti governativi che attuano politiche predatorie nei confronti delle risorse ambientali con impatto globale.</w:t>
      </w:r>
    </w:p>
    <w:p w:rsidR="0040131A" w:rsidRPr="0040131A" w:rsidRDefault="0040131A" w:rsidP="0040131A">
      <w:pPr>
        <w:shd w:val="clear" w:color="auto" w:fill="FFFFFF"/>
        <w:spacing w:after="300" w:line="390" w:lineRule="atLeast"/>
        <w:rPr>
          <w:rFonts w:ascii="Arial" w:eastAsia="Times New Roman" w:hAnsi="Arial" w:cs="Arial"/>
          <w:color w:val="777777"/>
          <w:sz w:val="20"/>
          <w:szCs w:val="20"/>
          <w:lang w:eastAsia="it-IT"/>
        </w:rPr>
      </w:pPr>
      <w:r w:rsidRPr="0040131A">
        <w:rPr>
          <w:rFonts w:ascii="Arial" w:eastAsia="Times New Roman" w:hAnsi="Arial" w:cs="Arial"/>
          <w:color w:val="777777"/>
          <w:sz w:val="20"/>
          <w:szCs w:val="20"/>
          <w:lang w:eastAsia="it-IT"/>
        </w:rPr>
        <w:lastRenderedPageBreak/>
        <w:t>In merito agli altri Effetti Negativi identificati, si adotta una strategia di esclusione volta ad evitare di investire in emittenti corporate ed emittenti governativi che ne sono responsabili.</w:t>
      </w:r>
    </w:p>
    <w:p w:rsidR="0040131A" w:rsidRPr="0040131A" w:rsidRDefault="0040131A" w:rsidP="0040131A">
      <w:pPr>
        <w:shd w:val="clear" w:color="auto" w:fill="FFFFFF"/>
        <w:spacing w:before="100" w:beforeAutospacing="1" w:after="100" w:afterAutospacing="1" w:line="360" w:lineRule="atLeast"/>
        <w:outlineLvl w:val="2"/>
        <w:rPr>
          <w:rFonts w:ascii="Arial" w:eastAsia="Times New Roman" w:hAnsi="Arial" w:cs="Arial"/>
          <w:caps/>
          <w:color w:val="212529"/>
          <w:spacing w:val="-12"/>
          <w:sz w:val="36"/>
          <w:szCs w:val="36"/>
          <w:lang w:eastAsia="it-IT"/>
        </w:rPr>
      </w:pPr>
      <w:r w:rsidRPr="0040131A">
        <w:rPr>
          <w:rFonts w:ascii="Arial" w:eastAsia="Times New Roman" w:hAnsi="Arial" w:cs="Arial"/>
          <w:caps/>
          <w:color w:val="212529"/>
          <w:spacing w:val="-12"/>
          <w:sz w:val="36"/>
          <w:szCs w:val="36"/>
          <w:lang w:eastAsia="it-IT"/>
        </w:rPr>
        <w:t>8. INFORMAZIONI SULLA CONSIDERAZIONE DEI PRINCIPALI EFFETTI NEGATIVI SUI FATTORI DI SOSTENIBILITÀ NELLE ATTIVITÀ DI CONSULENZA IN MATERIA DI PRODOTTI DI INVESTIMENTO ASSICURATIVO</w:t>
      </w:r>
    </w:p>
    <w:p w:rsidR="0040131A" w:rsidRPr="0040131A" w:rsidRDefault="0040131A" w:rsidP="0040131A">
      <w:pPr>
        <w:shd w:val="clear" w:color="auto" w:fill="FFFFFF"/>
        <w:spacing w:after="300" w:line="390" w:lineRule="atLeast"/>
        <w:rPr>
          <w:rFonts w:ascii="Arial" w:eastAsia="Times New Roman" w:hAnsi="Arial" w:cs="Arial"/>
          <w:color w:val="777777"/>
          <w:sz w:val="20"/>
          <w:szCs w:val="20"/>
          <w:lang w:eastAsia="it-IT"/>
        </w:rPr>
      </w:pPr>
      <w:r w:rsidRPr="0040131A">
        <w:rPr>
          <w:rFonts w:ascii="Arial" w:eastAsia="Times New Roman" w:hAnsi="Arial" w:cs="Arial"/>
          <w:color w:val="777777"/>
          <w:sz w:val="20"/>
          <w:szCs w:val="20"/>
          <w:lang w:eastAsia="it-IT"/>
        </w:rPr>
        <w:t>La Compagnia ha pubblicato sul proprio sito web la dichiarazione relativa alle proprie politiche in materia di dovuta diligenza per quanto riguarda i principali effetti negativi delle decisioni di investimento sui fattori di sostenibilità.</w:t>
      </w:r>
    </w:p>
    <w:p w:rsidR="0040131A" w:rsidRPr="0040131A" w:rsidRDefault="0040131A" w:rsidP="0040131A">
      <w:pPr>
        <w:shd w:val="clear" w:color="auto" w:fill="FFFFFF"/>
        <w:spacing w:after="300" w:line="390" w:lineRule="atLeast"/>
        <w:rPr>
          <w:rFonts w:ascii="Arial" w:eastAsia="Times New Roman" w:hAnsi="Arial" w:cs="Arial"/>
          <w:color w:val="777777"/>
          <w:sz w:val="20"/>
          <w:szCs w:val="20"/>
          <w:lang w:eastAsia="it-IT"/>
        </w:rPr>
      </w:pPr>
      <w:r w:rsidRPr="0040131A">
        <w:rPr>
          <w:rFonts w:ascii="Arial" w:eastAsia="Times New Roman" w:hAnsi="Arial" w:cs="Arial"/>
          <w:color w:val="777777"/>
          <w:sz w:val="20"/>
          <w:szCs w:val="20"/>
          <w:lang w:eastAsia="it-IT"/>
        </w:rPr>
        <w:t xml:space="preserve">Gli Agenti collocano prodotti realizzati dalla Compagnia, in coerenza con le indicazioni fornite dalla stessa e con il supporto nei processi </w:t>
      </w:r>
      <w:proofErr w:type="spellStart"/>
      <w:r w:rsidRPr="0040131A">
        <w:rPr>
          <w:rFonts w:ascii="Arial" w:eastAsia="Times New Roman" w:hAnsi="Arial" w:cs="Arial"/>
          <w:color w:val="777777"/>
          <w:sz w:val="20"/>
          <w:szCs w:val="20"/>
          <w:lang w:eastAsia="it-IT"/>
        </w:rPr>
        <w:t>consulenziali</w:t>
      </w:r>
      <w:proofErr w:type="spellEnd"/>
      <w:r w:rsidRPr="0040131A">
        <w:rPr>
          <w:rFonts w:ascii="Arial" w:eastAsia="Times New Roman" w:hAnsi="Arial" w:cs="Arial"/>
          <w:color w:val="777777"/>
          <w:sz w:val="20"/>
          <w:szCs w:val="20"/>
          <w:lang w:eastAsia="it-IT"/>
        </w:rPr>
        <w:t xml:space="preserve"> dei sistemi informatici messi a disposizione dalla Compagnia medesima.</w:t>
      </w:r>
    </w:p>
    <w:p w:rsidR="0040131A" w:rsidRPr="0040131A" w:rsidRDefault="0040131A" w:rsidP="0040131A">
      <w:pPr>
        <w:shd w:val="clear" w:color="auto" w:fill="FFFFFF"/>
        <w:spacing w:after="300" w:line="390" w:lineRule="atLeast"/>
        <w:rPr>
          <w:rFonts w:ascii="Arial" w:eastAsia="Times New Roman" w:hAnsi="Arial" w:cs="Arial"/>
          <w:color w:val="777777"/>
          <w:sz w:val="20"/>
          <w:szCs w:val="20"/>
          <w:lang w:eastAsia="it-IT"/>
        </w:rPr>
      </w:pPr>
      <w:r w:rsidRPr="0040131A">
        <w:rPr>
          <w:rFonts w:ascii="Arial" w:eastAsia="Times New Roman" w:hAnsi="Arial" w:cs="Arial"/>
          <w:color w:val="777777"/>
          <w:sz w:val="20"/>
          <w:szCs w:val="20"/>
          <w:lang w:eastAsia="it-IT"/>
        </w:rPr>
        <w:t>In conseguenza di questo, la fornitura delle attività di consulenza in materia di prodotti di investimento assicurativo da parte degli Agenti tiene conto della considerazione dei principali effetti negativi sui fattori di sostenibilità svolta dalla Compagnia nelle sue decisioni di investimento, incluse le azioni intraprese e le azioni pianificate per evitarli o ridurli.</w:t>
      </w:r>
    </w:p>
    <w:p w:rsidR="0040131A" w:rsidRPr="0040131A" w:rsidRDefault="0040131A" w:rsidP="0040131A">
      <w:pPr>
        <w:shd w:val="clear" w:color="auto" w:fill="FFFFFF"/>
        <w:spacing w:before="100" w:beforeAutospacing="1" w:after="100" w:afterAutospacing="1" w:line="360" w:lineRule="atLeast"/>
        <w:outlineLvl w:val="2"/>
        <w:rPr>
          <w:rFonts w:ascii="Arial" w:eastAsia="Times New Roman" w:hAnsi="Arial" w:cs="Arial"/>
          <w:caps/>
          <w:color w:val="212529"/>
          <w:spacing w:val="-12"/>
          <w:sz w:val="36"/>
          <w:szCs w:val="36"/>
          <w:lang w:eastAsia="it-IT"/>
        </w:rPr>
      </w:pPr>
      <w:r w:rsidRPr="0040131A">
        <w:rPr>
          <w:rFonts w:ascii="Arial" w:eastAsia="Times New Roman" w:hAnsi="Arial" w:cs="Arial"/>
          <w:caps/>
          <w:color w:val="212529"/>
          <w:spacing w:val="-12"/>
          <w:sz w:val="36"/>
          <w:szCs w:val="36"/>
          <w:lang w:eastAsia="it-IT"/>
        </w:rPr>
        <w:t>9. RIESAME DELLE INFORMAZIONI PUBBLICATE</w:t>
      </w:r>
    </w:p>
    <w:p w:rsidR="0040131A" w:rsidRPr="0040131A" w:rsidRDefault="0040131A" w:rsidP="0040131A">
      <w:pPr>
        <w:shd w:val="clear" w:color="auto" w:fill="FFFFFF"/>
        <w:spacing w:after="300" w:line="390" w:lineRule="atLeast"/>
        <w:rPr>
          <w:rFonts w:ascii="Arial" w:eastAsia="Times New Roman" w:hAnsi="Arial" w:cs="Arial"/>
          <w:color w:val="777777"/>
          <w:sz w:val="20"/>
          <w:szCs w:val="20"/>
          <w:lang w:eastAsia="it-IT"/>
        </w:rPr>
      </w:pPr>
      <w:r w:rsidRPr="0040131A">
        <w:rPr>
          <w:rFonts w:ascii="Arial" w:eastAsia="Times New Roman" w:hAnsi="Arial" w:cs="Arial"/>
          <w:color w:val="777777"/>
          <w:sz w:val="20"/>
          <w:szCs w:val="20"/>
          <w:lang w:eastAsia="it-IT"/>
        </w:rPr>
        <w:t>La presente Politica sarà soggetta ad aggiornamento: in tal caso verrà data spiegazione chiara delle modifiche apportate.</w:t>
      </w:r>
    </w:p>
    <w:p w:rsidR="0040131A" w:rsidRPr="0040131A" w:rsidRDefault="0040131A" w:rsidP="0040131A">
      <w:pPr>
        <w:shd w:val="clear" w:color="auto" w:fill="FFFFFF"/>
        <w:spacing w:before="100" w:beforeAutospacing="1" w:after="100" w:afterAutospacing="1" w:line="360" w:lineRule="atLeast"/>
        <w:outlineLvl w:val="2"/>
        <w:rPr>
          <w:rFonts w:ascii="Arial" w:eastAsia="Times New Roman" w:hAnsi="Arial" w:cs="Arial"/>
          <w:caps/>
          <w:color w:val="212529"/>
          <w:spacing w:val="-12"/>
          <w:sz w:val="36"/>
          <w:szCs w:val="36"/>
          <w:lang w:eastAsia="it-IT"/>
        </w:rPr>
      </w:pPr>
      <w:r w:rsidRPr="0040131A">
        <w:rPr>
          <w:rFonts w:ascii="Arial" w:eastAsia="Times New Roman" w:hAnsi="Arial" w:cs="Arial"/>
          <w:caps/>
          <w:color w:val="212529"/>
          <w:spacing w:val="-12"/>
          <w:sz w:val="36"/>
          <w:szCs w:val="36"/>
          <w:lang w:eastAsia="it-IT"/>
        </w:rPr>
        <w:t>10. PUBBLICAZIONE</w:t>
      </w:r>
    </w:p>
    <w:p w:rsidR="0040131A" w:rsidRPr="0040131A" w:rsidRDefault="0040131A" w:rsidP="0040131A">
      <w:pPr>
        <w:shd w:val="clear" w:color="auto" w:fill="FFFFFF"/>
        <w:spacing w:after="300" w:line="390" w:lineRule="atLeast"/>
        <w:rPr>
          <w:rFonts w:ascii="Arial" w:eastAsia="Times New Roman" w:hAnsi="Arial" w:cs="Arial"/>
          <w:color w:val="777777"/>
          <w:sz w:val="20"/>
          <w:szCs w:val="20"/>
          <w:lang w:eastAsia="it-IT"/>
        </w:rPr>
      </w:pPr>
      <w:r w:rsidRPr="0040131A">
        <w:rPr>
          <w:rFonts w:ascii="Arial" w:eastAsia="Times New Roman" w:hAnsi="Arial" w:cs="Arial"/>
          <w:color w:val="777777"/>
          <w:sz w:val="20"/>
          <w:szCs w:val="20"/>
          <w:lang w:eastAsia="it-IT"/>
        </w:rPr>
        <w:t>Le informazioni di cui al paragrafo 6, nonché la presente Politica, sono pubblicate sul sito web dell’Agenzia ove quest’ultima ne sia dotata.</w:t>
      </w:r>
    </w:p>
    <w:p w:rsidR="0040131A" w:rsidRPr="0040131A" w:rsidRDefault="0040131A" w:rsidP="0040131A">
      <w:pPr>
        <w:shd w:val="clear" w:color="auto" w:fill="FFFFFF"/>
        <w:spacing w:after="300" w:line="390" w:lineRule="atLeast"/>
        <w:rPr>
          <w:rFonts w:ascii="Arial" w:eastAsia="Times New Roman" w:hAnsi="Arial" w:cs="Arial"/>
          <w:color w:val="777777"/>
          <w:sz w:val="20"/>
          <w:szCs w:val="20"/>
          <w:lang w:eastAsia="it-IT"/>
        </w:rPr>
      </w:pPr>
      <w:r w:rsidRPr="0040131A">
        <w:rPr>
          <w:rFonts w:ascii="Arial" w:eastAsia="Times New Roman" w:hAnsi="Arial" w:cs="Arial"/>
          <w:color w:val="777777"/>
          <w:sz w:val="20"/>
          <w:szCs w:val="20"/>
          <w:lang w:eastAsia="it-IT"/>
        </w:rPr>
        <w:t>Laddove l’Agenzia non disponga di un sito web, rende disponibile le informative e la presente Politica presso i locali ove si svolge attività di intermediazione, nel rispetto delle disposizioni in materia di informativa precontrattuale, tempo per tempo vigenti.</w:t>
      </w:r>
    </w:p>
    <w:p w:rsidR="003462B9" w:rsidRDefault="003462B9"/>
    <w:sectPr w:rsidR="003462B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B3B9A"/>
    <w:multiLevelType w:val="multilevel"/>
    <w:tmpl w:val="9962B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663C82"/>
    <w:multiLevelType w:val="multilevel"/>
    <w:tmpl w:val="F7A2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514E89"/>
    <w:multiLevelType w:val="multilevel"/>
    <w:tmpl w:val="2A38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B43292"/>
    <w:multiLevelType w:val="multilevel"/>
    <w:tmpl w:val="9DC4F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DD780F"/>
    <w:multiLevelType w:val="multilevel"/>
    <w:tmpl w:val="6840D8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nsid w:val="331C638D"/>
    <w:multiLevelType w:val="multilevel"/>
    <w:tmpl w:val="EEA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B410B48"/>
    <w:multiLevelType w:val="multilevel"/>
    <w:tmpl w:val="0DC6BBC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4"/>
  </w:num>
  <w:num w:numId="2">
    <w:abstractNumId w:val="5"/>
  </w:num>
  <w:num w:numId="3">
    <w:abstractNumId w:val="6"/>
  </w:num>
  <w:num w:numId="4">
    <w:abstractNumId w:val="3"/>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ocumentProtection w:edit="readOnly" w:enforcement="1" w:cryptProviderType="rsaFull" w:cryptAlgorithmClass="hash" w:cryptAlgorithmType="typeAny" w:cryptAlgorithmSid="4" w:cryptSpinCount="100000" w:hash="JVo/NIoEQ++cQ8jPl8voJzQOcYk=" w:salt="f85y1F7UfxEWMIV9iUSGTw=="/>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E3D"/>
    <w:rsid w:val="003462B9"/>
    <w:rsid w:val="0040131A"/>
    <w:rsid w:val="004932C7"/>
    <w:rsid w:val="00B54E3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3">
    <w:name w:val="heading 3"/>
    <w:basedOn w:val="Normale"/>
    <w:link w:val="Titolo3Carattere"/>
    <w:uiPriority w:val="9"/>
    <w:qFormat/>
    <w:rsid w:val="0040131A"/>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paragraph" w:styleId="Titolo4">
    <w:name w:val="heading 4"/>
    <w:basedOn w:val="Normale"/>
    <w:link w:val="Titolo4Carattere"/>
    <w:uiPriority w:val="9"/>
    <w:qFormat/>
    <w:rsid w:val="0040131A"/>
    <w:pPr>
      <w:spacing w:before="100" w:beforeAutospacing="1" w:after="100" w:afterAutospacing="1" w:line="240" w:lineRule="auto"/>
      <w:outlineLvl w:val="3"/>
    </w:pPr>
    <w:rPr>
      <w:rFonts w:ascii="Times New Roman" w:eastAsia="Times New Roman" w:hAnsi="Times New Roman" w:cs="Times New Roman"/>
      <w:b/>
      <w:bCs/>
      <w:sz w:val="24"/>
      <w:szCs w:val="24"/>
      <w:lang w:eastAsia="it-IT"/>
    </w:rPr>
  </w:style>
  <w:style w:type="paragraph" w:styleId="Titolo5">
    <w:name w:val="heading 5"/>
    <w:basedOn w:val="Normale"/>
    <w:link w:val="Titolo5Carattere"/>
    <w:uiPriority w:val="9"/>
    <w:qFormat/>
    <w:rsid w:val="0040131A"/>
    <w:pPr>
      <w:spacing w:before="100" w:beforeAutospacing="1" w:after="100" w:afterAutospacing="1" w:line="240" w:lineRule="auto"/>
      <w:outlineLvl w:val="4"/>
    </w:pPr>
    <w:rPr>
      <w:rFonts w:ascii="Times New Roman" w:eastAsia="Times New Roman" w:hAnsi="Times New Roman" w:cs="Times New Roman"/>
      <w:b/>
      <w:bCs/>
      <w:sz w:val="20"/>
      <w:szCs w:val="20"/>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40131A"/>
    <w:rPr>
      <w:rFonts w:ascii="Times New Roman" w:eastAsia="Times New Roman" w:hAnsi="Times New Roman" w:cs="Times New Roman"/>
      <w:b/>
      <w:bCs/>
      <w:sz w:val="27"/>
      <w:szCs w:val="27"/>
      <w:lang w:eastAsia="it-IT"/>
    </w:rPr>
  </w:style>
  <w:style w:type="character" w:customStyle="1" w:styleId="Titolo4Carattere">
    <w:name w:val="Titolo 4 Carattere"/>
    <w:basedOn w:val="Carpredefinitoparagrafo"/>
    <w:link w:val="Titolo4"/>
    <w:uiPriority w:val="9"/>
    <w:rsid w:val="0040131A"/>
    <w:rPr>
      <w:rFonts w:ascii="Times New Roman" w:eastAsia="Times New Roman" w:hAnsi="Times New Roman" w:cs="Times New Roman"/>
      <w:b/>
      <w:bCs/>
      <w:sz w:val="24"/>
      <w:szCs w:val="24"/>
      <w:lang w:eastAsia="it-IT"/>
    </w:rPr>
  </w:style>
  <w:style w:type="character" w:customStyle="1" w:styleId="Titolo5Carattere">
    <w:name w:val="Titolo 5 Carattere"/>
    <w:basedOn w:val="Carpredefinitoparagrafo"/>
    <w:link w:val="Titolo5"/>
    <w:uiPriority w:val="9"/>
    <w:rsid w:val="0040131A"/>
    <w:rPr>
      <w:rFonts w:ascii="Times New Roman" w:eastAsia="Times New Roman" w:hAnsi="Times New Roman" w:cs="Times New Roman"/>
      <w:b/>
      <w:bCs/>
      <w:sz w:val="20"/>
      <w:szCs w:val="20"/>
      <w:lang w:eastAsia="it-IT"/>
    </w:rPr>
  </w:style>
  <w:style w:type="paragraph" w:customStyle="1" w:styleId="text-4">
    <w:name w:val="text-4"/>
    <w:basedOn w:val="Normale"/>
    <w:rsid w:val="0040131A"/>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40131A"/>
    <w:rPr>
      <w:b/>
      <w:bCs/>
    </w:rPr>
  </w:style>
  <w:style w:type="paragraph" w:customStyle="1" w:styleId="text-dark">
    <w:name w:val="text-dark"/>
    <w:basedOn w:val="Normale"/>
    <w:rsid w:val="0040131A"/>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corsivo">
    <w:name w:val="Emphasis"/>
    <w:basedOn w:val="Carpredefinitoparagrafo"/>
    <w:uiPriority w:val="20"/>
    <w:qFormat/>
    <w:rsid w:val="0040131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3">
    <w:name w:val="heading 3"/>
    <w:basedOn w:val="Normale"/>
    <w:link w:val="Titolo3Carattere"/>
    <w:uiPriority w:val="9"/>
    <w:qFormat/>
    <w:rsid w:val="0040131A"/>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paragraph" w:styleId="Titolo4">
    <w:name w:val="heading 4"/>
    <w:basedOn w:val="Normale"/>
    <w:link w:val="Titolo4Carattere"/>
    <w:uiPriority w:val="9"/>
    <w:qFormat/>
    <w:rsid w:val="0040131A"/>
    <w:pPr>
      <w:spacing w:before="100" w:beforeAutospacing="1" w:after="100" w:afterAutospacing="1" w:line="240" w:lineRule="auto"/>
      <w:outlineLvl w:val="3"/>
    </w:pPr>
    <w:rPr>
      <w:rFonts w:ascii="Times New Roman" w:eastAsia="Times New Roman" w:hAnsi="Times New Roman" w:cs="Times New Roman"/>
      <w:b/>
      <w:bCs/>
      <w:sz w:val="24"/>
      <w:szCs w:val="24"/>
      <w:lang w:eastAsia="it-IT"/>
    </w:rPr>
  </w:style>
  <w:style w:type="paragraph" w:styleId="Titolo5">
    <w:name w:val="heading 5"/>
    <w:basedOn w:val="Normale"/>
    <w:link w:val="Titolo5Carattere"/>
    <w:uiPriority w:val="9"/>
    <w:qFormat/>
    <w:rsid w:val="0040131A"/>
    <w:pPr>
      <w:spacing w:before="100" w:beforeAutospacing="1" w:after="100" w:afterAutospacing="1" w:line="240" w:lineRule="auto"/>
      <w:outlineLvl w:val="4"/>
    </w:pPr>
    <w:rPr>
      <w:rFonts w:ascii="Times New Roman" w:eastAsia="Times New Roman" w:hAnsi="Times New Roman" w:cs="Times New Roman"/>
      <w:b/>
      <w:bCs/>
      <w:sz w:val="20"/>
      <w:szCs w:val="20"/>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40131A"/>
    <w:rPr>
      <w:rFonts w:ascii="Times New Roman" w:eastAsia="Times New Roman" w:hAnsi="Times New Roman" w:cs="Times New Roman"/>
      <w:b/>
      <w:bCs/>
      <w:sz w:val="27"/>
      <w:szCs w:val="27"/>
      <w:lang w:eastAsia="it-IT"/>
    </w:rPr>
  </w:style>
  <w:style w:type="character" w:customStyle="1" w:styleId="Titolo4Carattere">
    <w:name w:val="Titolo 4 Carattere"/>
    <w:basedOn w:val="Carpredefinitoparagrafo"/>
    <w:link w:val="Titolo4"/>
    <w:uiPriority w:val="9"/>
    <w:rsid w:val="0040131A"/>
    <w:rPr>
      <w:rFonts w:ascii="Times New Roman" w:eastAsia="Times New Roman" w:hAnsi="Times New Roman" w:cs="Times New Roman"/>
      <w:b/>
      <w:bCs/>
      <w:sz w:val="24"/>
      <w:szCs w:val="24"/>
      <w:lang w:eastAsia="it-IT"/>
    </w:rPr>
  </w:style>
  <w:style w:type="character" w:customStyle="1" w:styleId="Titolo5Carattere">
    <w:name w:val="Titolo 5 Carattere"/>
    <w:basedOn w:val="Carpredefinitoparagrafo"/>
    <w:link w:val="Titolo5"/>
    <w:uiPriority w:val="9"/>
    <w:rsid w:val="0040131A"/>
    <w:rPr>
      <w:rFonts w:ascii="Times New Roman" w:eastAsia="Times New Roman" w:hAnsi="Times New Roman" w:cs="Times New Roman"/>
      <w:b/>
      <w:bCs/>
      <w:sz w:val="20"/>
      <w:szCs w:val="20"/>
      <w:lang w:eastAsia="it-IT"/>
    </w:rPr>
  </w:style>
  <w:style w:type="paragraph" w:customStyle="1" w:styleId="text-4">
    <w:name w:val="text-4"/>
    <w:basedOn w:val="Normale"/>
    <w:rsid w:val="0040131A"/>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40131A"/>
    <w:rPr>
      <w:b/>
      <w:bCs/>
    </w:rPr>
  </w:style>
  <w:style w:type="paragraph" w:customStyle="1" w:styleId="text-dark">
    <w:name w:val="text-dark"/>
    <w:basedOn w:val="Normale"/>
    <w:rsid w:val="0040131A"/>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corsivo">
    <w:name w:val="Emphasis"/>
    <w:basedOn w:val="Carpredefinitoparagrafo"/>
    <w:uiPriority w:val="20"/>
    <w:qFormat/>
    <w:rsid w:val="004013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9194450">
      <w:bodyDiv w:val="1"/>
      <w:marLeft w:val="0"/>
      <w:marRight w:val="0"/>
      <w:marTop w:val="0"/>
      <w:marBottom w:val="0"/>
      <w:divBdr>
        <w:top w:val="none" w:sz="0" w:space="0" w:color="auto"/>
        <w:left w:val="none" w:sz="0" w:space="0" w:color="auto"/>
        <w:bottom w:val="none" w:sz="0" w:space="0" w:color="auto"/>
        <w:right w:val="none" w:sz="0" w:space="0" w:color="auto"/>
      </w:divBdr>
      <w:divsChild>
        <w:div w:id="587543911">
          <w:marLeft w:val="0"/>
          <w:marRight w:val="0"/>
          <w:marTop w:val="0"/>
          <w:marBottom w:val="0"/>
          <w:divBdr>
            <w:top w:val="none" w:sz="0" w:space="0" w:color="auto"/>
            <w:left w:val="none" w:sz="0" w:space="0" w:color="auto"/>
            <w:bottom w:val="none" w:sz="0" w:space="0" w:color="auto"/>
            <w:right w:val="none" w:sz="0" w:space="0" w:color="auto"/>
          </w:divBdr>
          <w:divsChild>
            <w:div w:id="50371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2649</Words>
  <Characters>15102</Characters>
  <Application>Microsoft Office Word</Application>
  <DocSecurity>8</DocSecurity>
  <Lines>125</Lines>
  <Paragraphs>35</Paragraphs>
  <ScaleCrop>false</ScaleCrop>
  <HeadingPairs>
    <vt:vector size="2" baseType="variant">
      <vt:variant>
        <vt:lpstr>Titolo</vt:lpstr>
      </vt:variant>
      <vt:variant>
        <vt:i4>1</vt:i4>
      </vt:variant>
    </vt:vector>
  </HeadingPairs>
  <TitlesOfParts>
    <vt:vector size="1" baseType="lpstr">
      <vt:lpstr/>
    </vt:vector>
  </TitlesOfParts>
  <Company>Bonini Assicurazioni Sas</Company>
  <LinksUpToDate>false</LinksUpToDate>
  <CharactersWithSpaces>17716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Windows</dc:creator>
  <cp:keywords/>
  <dc:description/>
  <cp:lastModifiedBy>user</cp:lastModifiedBy>
  <cp:revision>4</cp:revision>
  <dcterms:created xsi:type="dcterms:W3CDTF">2024-05-14T08:49:00Z</dcterms:created>
  <dcterms:modified xsi:type="dcterms:W3CDTF">2024-05-15T09:26:00Z</dcterms:modified>
</cp:coreProperties>
</file>