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GAME DESIGN DOCUMENT</w:t>
      </w:r>
    </w:p>
    <w:p>
      <w:pPr>
        <w:jc w:val="center"/>
      </w:pPr>
      <w:r>
        <w:rPr>
          <w:b/>
          <w:sz w:val="56"/>
        </w:rPr>
        <w:t>Pharaoh’s Power Pots</w:t>
      </w:r>
    </w:p>
    <w:p>
      <w:pPr>
        <w:jc w:val="center"/>
      </w:pPr>
      <w:r>
        <w:rPr>
          <w:i/>
          <w:sz w:val="26"/>
        </w:rPr>
        <w:t>Work in Progress – Updated Rules</w:t>
      </w:r>
    </w:p>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2F3"/>
          </w:tcPr>
          <w:p>
            <w:pPr>
              <w:spacing w:after="0"/>
            </w:pPr>
            <w:r/>
            <w:r>
              <w:rPr>
                <w:b/>
              </w:rPr>
              <w:t>Document Item</w:t>
            </w:r>
          </w:p>
        </w:tc>
        <w:tc>
          <w:tcPr>
            <w:tcW w:type="dxa" w:w="6624"/>
            <w:vAlign w:val="center"/>
            <w:shd w:fill="D9E2F3"/>
          </w:tcPr>
          <w:p>
            <w:pPr>
              <w:spacing w:after="0"/>
            </w:pPr>
            <w:r/>
            <w:r>
              <w:rPr>
                <w:b/>
              </w:rPr>
              <w:t>Value</w:t>
            </w:r>
          </w:p>
        </w:tc>
      </w:tr>
      <w:tr>
        <w:tc>
          <w:tcPr>
            <w:tcW w:type="dxa" w:w="2880"/>
            <w:vAlign w:val="center"/>
          </w:tcPr>
          <w:p>
            <w:pPr>
              <w:spacing w:after="0"/>
            </w:pPr>
            <w:r/>
            <w:r>
              <w:rPr>
                <w:b w:val="0"/>
              </w:rPr>
              <w:t>Document Type</w:t>
            </w:r>
          </w:p>
        </w:tc>
        <w:tc>
          <w:tcPr>
            <w:tcW w:type="dxa" w:w="6624"/>
            <w:vAlign w:val="center"/>
          </w:tcPr>
          <w:p>
            <w:pPr>
              <w:spacing w:after="0"/>
            </w:pPr>
            <w:r/>
            <w:r>
              <w:rPr>
                <w:b w:val="0"/>
              </w:rPr>
              <w:t>Game Design Document (GDD)</w:t>
            </w:r>
          </w:p>
        </w:tc>
      </w:tr>
      <w:tr>
        <w:tc>
          <w:tcPr>
            <w:tcW w:type="dxa" w:w="2880"/>
            <w:vAlign w:val="center"/>
          </w:tcPr>
          <w:p>
            <w:pPr>
              <w:spacing w:after="0"/>
            </w:pPr>
            <w:r/>
            <w:r>
              <w:rPr>
                <w:b w:val="0"/>
              </w:rPr>
              <w:t>Game</w:t>
            </w:r>
          </w:p>
        </w:tc>
        <w:tc>
          <w:tcPr>
            <w:tcW w:type="dxa" w:w="6624"/>
            <w:vAlign w:val="center"/>
          </w:tcPr>
          <w:p>
            <w:pPr>
              <w:spacing w:after="0"/>
            </w:pPr>
            <w:r/>
            <w:r>
              <w:rPr>
                <w:b w:val="0"/>
              </w:rPr>
              <w:t>Pharaoh’s Power Pots</w:t>
            </w:r>
          </w:p>
        </w:tc>
      </w:tr>
      <w:tr>
        <w:tc>
          <w:tcPr>
            <w:tcW w:type="dxa" w:w="2880"/>
            <w:vAlign w:val="center"/>
          </w:tcPr>
          <w:p>
            <w:pPr>
              <w:spacing w:after="0"/>
            </w:pPr>
            <w:r/>
            <w:r>
              <w:rPr>
                <w:b w:val="0"/>
              </w:rPr>
              <w:t>Status</w:t>
            </w:r>
          </w:p>
        </w:tc>
        <w:tc>
          <w:tcPr>
            <w:tcW w:type="dxa" w:w="6624"/>
            <w:vAlign w:val="center"/>
          </w:tcPr>
          <w:p>
            <w:pPr>
              <w:spacing w:after="0"/>
            </w:pPr>
            <w:r/>
            <w:r>
              <w:rPr>
                <w:b w:val="0"/>
              </w:rPr>
              <w:t>WIP – mechanics subject to math tuning</w:t>
            </w:r>
          </w:p>
        </w:tc>
      </w:tr>
      <w:tr>
        <w:tc>
          <w:tcPr>
            <w:tcW w:type="dxa" w:w="2880"/>
            <w:vAlign w:val="center"/>
          </w:tcPr>
          <w:p>
            <w:pPr>
              <w:spacing w:after="0"/>
            </w:pPr>
            <w:r/>
            <w:r>
              <w:rPr>
                <w:b w:val="0"/>
              </w:rPr>
              <w:t>Base Game Grid</w:t>
            </w:r>
          </w:p>
        </w:tc>
        <w:tc>
          <w:tcPr>
            <w:tcW w:type="dxa" w:w="6624"/>
            <w:vAlign w:val="center"/>
          </w:tcPr>
          <w:p>
            <w:pPr>
              <w:spacing w:after="0"/>
            </w:pPr>
            <w:r/>
            <w:r>
              <w:rPr>
                <w:b w:val="0"/>
              </w:rPr>
              <w:t>5 × 3</w:t>
            </w:r>
          </w:p>
        </w:tc>
      </w:tr>
      <w:tr>
        <w:tc>
          <w:tcPr>
            <w:tcW w:type="dxa" w:w="2880"/>
            <w:vAlign w:val="center"/>
          </w:tcPr>
          <w:p>
            <w:pPr>
              <w:spacing w:after="0"/>
            </w:pPr>
            <w:r/>
            <w:r>
              <w:rPr>
                <w:b w:val="0"/>
              </w:rPr>
              <w:t>Hold &amp; Win Grid</w:t>
            </w:r>
          </w:p>
        </w:tc>
        <w:tc>
          <w:tcPr>
            <w:tcW w:type="dxa" w:w="6624"/>
            <w:vAlign w:val="center"/>
          </w:tcPr>
          <w:p>
            <w:pPr>
              <w:spacing w:after="0"/>
            </w:pPr>
            <w:r/>
            <w:r>
              <w:rPr>
                <w:b w:val="0"/>
              </w:rPr>
              <w:t>5 × 3</w:t>
            </w:r>
          </w:p>
        </w:tc>
      </w:tr>
      <w:tr>
        <w:tc>
          <w:tcPr>
            <w:tcW w:type="dxa" w:w="2880"/>
            <w:vAlign w:val="center"/>
          </w:tcPr>
          <w:p>
            <w:pPr>
              <w:spacing w:after="0"/>
            </w:pPr>
            <w:r/>
            <w:r>
              <w:rPr>
                <w:b w:val="0"/>
              </w:rPr>
              <w:t>Paylines</w:t>
            </w:r>
          </w:p>
        </w:tc>
        <w:tc>
          <w:tcPr>
            <w:tcW w:type="dxa" w:w="6624"/>
            <w:vAlign w:val="center"/>
          </w:tcPr>
          <w:p>
            <w:pPr>
              <w:spacing w:after="0"/>
            </w:pPr>
            <w:r/>
            <w:r>
              <w:rPr>
                <w:b w:val="0"/>
              </w:rPr>
              <w:t>10 fixed paylines</w:t>
            </w:r>
          </w:p>
        </w:tc>
      </w:tr>
      <w:tr>
        <w:tc>
          <w:tcPr>
            <w:tcW w:type="dxa" w:w="2880"/>
            <w:vAlign w:val="center"/>
          </w:tcPr>
          <w:p>
            <w:pPr>
              <w:spacing w:after="0"/>
            </w:pPr>
            <w:r/>
            <w:r>
              <w:rPr>
                <w:b w:val="0"/>
              </w:rPr>
              <w:t>Max Win</w:t>
            </w:r>
          </w:p>
        </w:tc>
        <w:tc>
          <w:tcPr>
            <w:tcW w:type="dxa" w:w="6624"/>
            <w:vAlign w:val="center"/>
          </w:tcPr>
          <w:p>
            <w:pPr>
              <w:spacing w:after="0"/>
            </w:pPr>
            <w:r/>
            <w:r>
              <w:rPr>
                <w:b w:val="0"/>
              </w:rPr>
              <w:t>5,000× Total Bet (hard cap)</w:t>
            </w:r>
          </w:p>
        </w:tc>
      </w:tr>
      <w:tr>
        <w:tc>
          <w:tcPr>
            <w:tcW w:type="dxa" w:w="2880"/>
            <w:vAlign w:val="center"/>
          </w:tcPr>
          <w:p>
            <w:pPr>
              <w:spacing w:after="0"/>
            </w:pPr>
            <w:r/>
            <w:r>
              <w:rPr>
                <w:b w:val="0"/>
              </w:rPr>
              <w:t>RTP Variants</w:t>
            </w:r>
          </w:p>
        </w:tc>
        <w:tc>
          <w:tcPr>
            <w:tcW w:type="dxa" w:w="6624"/>
            <w:vAlign w:val="center"/>
          </w:tcPr>
          <w:p>
            <w:pPr>
              <w:spacing w:after="0"/>
            </w:pPr>
            <w:r/>
            <w:r>
              <w:rPr>
                <w:b w:val="0"/>
              </w:rPr>
              <w:t>90% / 92% / 94% / 96%</w:t>
            </w:r>
          </w:p>
        </w:tc>
      </w:tr>
      <w:tr>
        <w:tc>
          <w:tcPr>
            <w:tcW w:type="dxa" w:w="2880"/>
            <w:vAlign w:val="center"/>
          </w:tcPr>
          <w:p>
            <w:pPr>
              <w:spacing w:after="0"/>
            </w:pPr>
            <w:r/>
            <w:r>
              <w:rPr>
                <w:b w:val="0"/>
              </w:rPr>
              <w:t>Target Hit Frequency</w:t>
            </w:r>
          </w:p>
        </w:tc>
        <w:tc>
          <w:tcPr>
            <w:tcW w:type="dxa" w:w="6624"/>
            <w:vAlign w:val="center"/>
          </w:tcPr>
          <w:p>
            <w:pPr>
              <w:spacing w:after="0"/>
            </w:pPr>
            <w:r/>
            <w:r>
              <w:rPr>
                <w:b w:val="0"/>
              </w:rPr>
              <w:t>20%</w:t>
            </w:r>
          </w:p>
        </w:tc>
      </w:tr>
      <w:tr>
        <w:tc>
          <w:tcPr>
            <w:tcW w:type="dxa" w:w="2880"/>
            <w:vAlign w:val="center"/>
          </w:tcPr>
          <w:p>
            <w:pPr>
              <w:spacing w:after="0"/>
            </w:pPr>
            <w:r/>
            <w:r>
              <w:rPr>
                <w:b w:val="0"/>
              </w:rPr>
              <w:t>Volatility</w:t>
            </w:r>
          </w:p>
        </w:tc>
        <w:tc>
          <w:tcPr>
            <w:tcW w:type="dxa" w:w="6624"/>
            <w:vAlign w:val="center"/>
          </w:tcPr>
          <w:p>
            <w:pPr>
              <w:spacing w:after="0"/>
            </w:pPr>
            <w:r/>
            <w:r>
              <w:rPr>
                <w:b w:val="0"/>
              </w:rPr>
              <w:t>High – exact target TBD</w:t>
            </w:r>
          </w:p>
        </w:tc>
      </w:tr>
      <w:tr>
        <w:tc>
          <w:tcPr>
            <w:tcW w:type="dxa" w:w="2880"/>
            <w:vAlign w:val="center"/>
          </w:tcPr>
          <w:p>
            <w:pPr>
              <w:spacing w:after="0"/>
            </w:pPr>
            <w:r/>
            <w:r>
              <w:rPr>
                <w:b w:val="0"/>
              </w:rPr>
              <w:t>Jackpots</w:t>
            </w:r>
          </w:p>
        </w:tc>
        <w:tc>
          <w:tcPr>
            <w:tcW w:type="dxa" w:w="6624"/>
            <w:vAlign w:val="center"/>
          </w:tcPr>
          <w:p>
            <w:pPr>
              <w:spacing w:after="0"/>
            </w:pPr>
            <w:r/>
            <w:r>
              <w:rPr>
                <w:b w:val="0"/>
              </w:rPr>
              <w:t>5 fixed jackpot tiers</w:t>
            </w:r>
          </w:p>
        </w:tc>
      </w:tr>
    </w:tbl>
    <w:p/>
    <w:p>
      <w:r>
        <w:br w:type="page"/>
      </w:r>
    </w:p>
    <w:p>
      <w:pPr>
        <w:pStyle w:val="Heading1"/>
      </w:pPr>
      <w:r>
        <w:t>1. Game Overview</w:t>
      </w:r>
    </w:p>
    <w:p>
      <w:r>
        <w:t>Pharaoh’s Power Pots is a 5-reel, 3-row fixed-payline slot combining a traditional line-win base game, a Book-of-style Symbol Stamping mechanic, and a modular Hold &amp; Win feature driven by multiple Bonus Symbol types.</w:t>
      </w:r>
    </w:p>
    <w:p>
      <w:r>
        <w:t>The Hold &amp; Win remains on a 5×3 window. Bonus symbols can trigger individually or in combinations, and only the Bonus Symbol types involved in the trigger participate in that Hold &amp; Win round.</w:t>
      </w:r>
    </w:p>
    <w:p>
      <w:r>
        <w:t>This revision replaces the previously described Unlocker mechanic with a Multiplier mechanic and excludes Persistent Bonus Symbols from the current ruleset.</w:t>
      </w:r>
    </w:p>
    <w:p>
      <w:pPr>
        <w:pStyle w:val="Heading1"/>
      </w:pPr>
      <w:r>
        <w:t>2. General Game Information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pPr>
              <w:spacing w:after="0"/>
            </w:pPr>
            <w:r/>
            <w:r>
              <w:rPr>
                <w:b/>
              </w:rPr>
              <w:t>Parameter</w:t>
            </w:r>
          </w:p>
        </w:tc>
        <w:tc>
          <w:tcPr>
            <w:tcW w:type="dxa" w:w="5112"/>
            <w:vAlign w:val="center"/>
            <w:shd w:fill="D9E2F3"/>
          </w:tcPr>
          <w:p>
            <w:pPr>
              <w:spacing w:after="0"/>
            </w:pPr>
            <w:r/>
            <w:r>
              <w:rPr>
                <w:b/>
              </w:rPr>
              <w:t>Specification</w:t>
            </w:r>
          </w:p>
        </w:tc>
      </w:tr>
      <w:tr>
        <w:tc>
          <w:tcPr>
            <w:tcW w:type="dxa" w:w="5112"/>
            <w:vAlign w:val="center"/>
          </w:tcPr>
          <w:p>
            <w:pPr>
              <w:spacing w:after="0"/>
            </w:pPr>
            <w:r/>
            <w:r>
              <w:rPr>
                <w:b w:val="0"/>
              </w:rPr>
              <w:t>Layout</w:t>
            </w:r>
          </w:p>
        </w:tc>
        <w:tc>
          <w:tcPr>
            <w:tcW w:type="dxa" w:w="5112"/>
            <w:vAlign w:val="center"/>
          </w:tcPr>
          <w:p>
            <w:pPr>
              <w:spacing w:after="0"/>
            </w:pPr>
            <w:r/>
            <w:r>
              <w:rPr>
                <w:b w:val="0"/>
              </w:rPr>
              <w:t>5 reels × 3 rows</w:t>
            </w:r>
          </w:p>
        </w:tc>
      </w:tr>
      <w:tr>
        <w:tc>
          <w:tcPr>
            <w:tcW w:type="dxa" w:w="5112"/>
            <w:vAlign w:val="center"/>
          </w:tcPr>
          <w:p>
            <w:pPr>
              <w:spacing w:after="0"/>
            </w:pPr>
            <w:r/>
            <w:r>
              <w:rPr>
                <w:b w:val="0"/>
              </w:rPr>
              <w:t>Paylines</w:t>
            </w:r>
          </w:p>
        </w:tc>
        <w:tc>
          <w:tcPr>
            <w:tcW w:type="dxa" w:w="5112"/>
            <w:vAlign w:val="center"/>
          </w:tcPr>
          <w:p>
            <w:pPr>
              <w:spacing w:after="0"/>
            </w:pPr>
            <w:r/>
            <w:r>
              <w:rPr>
                <w:b w:val="0"/>
              </w:rPr>
              <w:t>10 fixed paylines</w:t>
            </w:r>
          </w:p>
        </w:tc>
      </w:tr>
      <w:tr>
        <w:tc>
          <w:tcPr>
            <w:tcW w:type="dxa" w:w="5112"/>
            <w:vAlign w:val="center"/>
          </w:tcPr>
          <w:p>
            <w:pPr>
              <w:spacing w:after="0"/>
            </w:pPr>
            <w:r/>
            <w:r>
              <w:rPr>
                <w:b w:val="0"/>
              </w:rPr>
              <w:t>Pay Direction</w:t>
            </w:r>
          </w:p>
        </w:tc>
        <w:tc>
          <w:tcPr>
            <w:tcW w:type="dxa" w:w="5112"/>
            <w:vAlign w:val="center"/>
          </w:tcPr>
          <w:p>
            <w:pPr>
              <w:spacing w:after="0"/>
            </w:pPr>
            <w:r/>
            <w:r>
              <w:rPr>
                <w:b w:val="0"/>
              </w:rPr>
              <w:t>Left to Right</w:t>
            </w:r>
          </w:p>
        </w:tc>
      </w:tr>
      <w:tr>
        <w:tc>
          <w:tcPr>
            <w:tcW w:type="dxa" w:w="5112"/>
            <w:vAlign w:val="center"/>
          </w:tcPr>
          <w:p>
            <w:pPr>
              <w:spacing w:after="0"/>
            </w:pPr>
            <w:r/>
            <w:r>
              <w:rPr>
                <w:b w:val="0"/>
              </w:rPr>
              <w:t>Line Win Requirement</w:t>
            </w:r>
          </w:p>
        </w:tc>
        <w:tc>
          <w:tcPr>
            <w:tcW w:type="dxa" w:w="5112"/>
            <w:vAlign w:val="center"/>
          </w:tcPr>
          <w:p>
            <w:pPr>
              <w:spacing w:after="0"/>
            </w:pPr>
            <w:r/>
            <w:r>
              <w:rPr>
                <w:b w:val="0"/>
              </w:rPr>
              <w:t>3+ left-aligned matching symbols unless paytable states otherwise</w:t>
            </w:r>
          </w:p>
        </w:tc>
      </w:tr>
      <w:tr>
        <w:tc>
          <w:tcPr>
            <w:tcW w:type="dxa" w:w="5112"/>
            <w:vAlign w:val="center"/>
          </w:tcPr>
          <w:p>
            <w:pPr>
              <w:spacing w:after="0"/>
            </w:pPr>
            <w:r/>
            <w:r>
              <w:rPr>
                <w:b w:val="0"/>
              </w:rPr>
              <w:t>Max Win</w:t>
            </w:r>
          </w:p>
        </w:tc>
        <w:tc>
          <w:tcPr>
            <w:tcW w:type="dxa" w:w="5112"/>
            <w:vAlign w:val="center"/>
          </w:tcPr>
          <w:p>
            <w:pPr>
              <w:spacing w:after="0"/>
            </w:pPr>
            <w:r/>
            <w:r>
              <w:rPr>
                <w:b w:val="0"/>
              </w:rPr>
              <w:t>5,000× Total Bet</w:t>
            </w:r>
          </w:p>
        </w:tc>
      </w:tr>
      <w:tr>
        <w:tc>
          <w:tcPr>
            <w:tcW w:type="dxa" w:w="5112"/>
            <w:vAlign w:val="center"/>
          </w:tcPr>
          <w:p>
            <w:pPr>
              <w:spacing w:after="0"/>
            </w:pPr>
            <w:r/>
            <w:r>
              <w:rPr>
                <w:b w:val="0"/>
              </w:rPr>
              <w:t>Max Win Treatment</w:t>
            </w:r>
          </w:p>
        </w:tc>
        <w:tc>
          <w:tcPr>
            <w:tcW w:type="dxa" w:w="5112"/>
            <w:vAlign w:val="center"/>
          </w:tcPr>
          <w:p>
            <w:pPr>
              <w:spacing w:after="0"/>
            </w:pPr>
            <w:r/>
            <w:r>
              <w:rPr>
                <w:b w:val="0"/>
              </w:rPr>
              <w:t>Hard cap</w:t>
            </w:r>
          </w:p>
        </w:tc>
      </w:tr>
      <w:tr>
        <w:tc>
          <w:tcPr>
            <w:tcW w:type="dxa" w:w="5112"/>
            <w:vAlign w:val="center"/>
          </w:tcPr>
          <w:p>
            <w:pPr>
              <w:spacing w:after="0"/>
            </w:pPr>
            <w:r/>
            <w:r>
              <w:rPr>
                <w:b w:val="0"/>
              </w:rPr>
              <w:t>RTP Tiers</w:t>
            </w:r>
          </w:p>
        </w:tc>
        <w:tc>
          <w:tcPr>
            <w:tcW w:type="dxa" w:w="5112"/>
            <w:vAlign w:val="center"/>
          </w:tcPr>
          <w:p>
            <w:pPr>
              <w:spacing w:after="0"/>
            </w:pPr>
            <w:r/>
            <w:r>
              <w:rPr>
                <w:b w:val="0"/>
              </w:rPr>
              <w:t>90% / 92% / 94% / 96%</w:t>
            </w:r>
          </w:p>
        </w:tc>
      </w:tr>
      <w:tr>
        <w:tc>
          <w:tcPr>
            <w:tcW w:type="dxa" w:w="5112"/>
            <w:vAlign w:val="center"/>
          </w:tcPr>
          <w:p>
            <w:pPr>
              <w:spacing w:after="0"/>
            </w:pPr>
            <w:r/>
            <w:r>
              <w:rPr>
                <w:b w:val="0"/>
              </w:rPr>
              <w:t>Volatility</w:t>
            </w:r>
          </w:p>
        </w:tc>
        <w:tc>
          <w:tcPr>
            <w:tcW w:type="dxa" w:w="5112"/>
            <w:vAlign w:val="center"/>
          </w:tcPr>
          <w:p>
            <w:pPr>
              <w:spacing w:after="0"/>
            </w:pPr>
            <w:r/>
            <w:r>
              <w:rPr>
                <w:b w:val="0"/>
              </w:rPr>
              <w:t>High – TBD</w:t>
            </w:r>
          </w:p>
        </w:tc>
      </w:tr>
      <w:tr>
        <w:tc>
          <w:tcPr>
            <w:tcW w:type="dxa" w:w="5112"/>
            <w:vAlign w:val="center"/>
          </w:tcPr>
          <w:p>
            <w:pPr>
              <w:spacing w:after="0"/>
            </w:pPr>
            <w:r/>
            <w:r>
              <w:rPr>
                <w:b w:val="0"/>
              </w:rPr>
              <w:t>Hit Frequency</w:t>
            </w:r>
          </w:p>
        </w:tc>
        <w:tc>
          <w:tcPr>
            <w:tcW w:type="dxa" w:w="5112"/>
            <w:vAlign w:val="center"/>
          </w:tcPr>
          <w:p>
            <w:pPr>
              <w:spacing w:after="0"/>
            </w:pPr>
            <w:r/>
            <w:r>
              <w:rPr>
                <w:b w:val="0"/>
              </w:rPr>
              <w:t>20% target</w:t>
            </w:r>
          </w:p>
        </w:tc>
      </w:tr>
      <w:tr>
        <w:tc>
          <w:tcPr>
            <w:tcW w:type="dxa" w:w="5112"/>
            <w:vAlign w:val="center"/>
          </w:tcPr>
          <w:p>
            <w:pPr>
              <w:spacing w:after="0"/>
            </w:pPr>
            <w:r/>
            <w:r>
              <w:rPr>
                <w:b w:val="0"/>
              </w:rPr>
              <w:t>Jackpot Count</w:t>
            </w:r>
          </w:p>
        </w:tc>
        <w:tc>
          <w:tcPr>
            <w:tcW w:type="dxa" w:w="5112"/>
            <w:vAlign w:val="center"/>
          </w:tcPr>
          <w:p>
            <w:pPr>
              <w:spacing w:after="0"/>
            </w:pPr>
            <w:r/>
            <w:r>
              <w:rPr>
                <w:b w:val="0"/>
              </w:rPr>
              <w:t>5</w:t>
            </w:r>
          </w:p>
        </w:tc>
      </w:tr>
    </w:tbl>
    <w:p/>
    <w:p>
      <w:pPr>
        <w:pStyle w:val="Heading1"/>
      </w:pPr>
      <w:r>
        <w:t>3. Feature List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pPr>
              <w:spacing w:after="0"/>
            </w:pPr>
            <w:r/>
            <w:r>
              <w:rPr>
                <w:b/>
              </w:rPr>
              <w:t>#</w:t>
            </w:r>
          </w:p>
        </w:tc>
        <w:tc>
          <w:tcPr>
            <w:tcW w:type="dxa" w:w="3408"/>
            <w:vAlign w:val="center"/>
            <w:shd w:fill="D9E2F3"/>
          </w:tcPr>
          <w:p>
            <w:pPr>
              <w:spacing w:after="0"/>
            </w:pPr>
            <w:r/>
            <w:r>
              <w:rPr>
                <w:b/>
              </w:rPr>
              <w:t>Feature</w:t>
            </w:r>
          </w:p>
        </w:tc>
        <w:tc>
          <w:tcPr>
            <w:tcW w:type="dxa" w:w="3408"/>
            <w:vAlign w:val="center"/>
            <w:shd w:fill="D9E2F3"/>
          </w:tcPr>
          <w:p>
            <w:pPr>
              <w:spacing w:after="0"/>
            </w:pPr>
            <w:r/>
            <w:r>
              <w:rPr>
                <w:b/>
              </w:rPr>
              <w:t>Trigger / Availability</w:t>
            </w:r>
          </w:p>
        </w:tc>
      </w:tr>
      <w:tr>
        <w:tc>
          <w:tcPr>
            <w:tcW w:type="dxa" w:w="3408"/>
            <w:vAlign w:val="center"/>
          </w:tcPr>
          <w:p>
            <w:pPr>
              <w:spacing w:after="0"/>
            </w:pPr>
            <w:r/>
            <w:r>
              <w:rPr>
                <w:b w:val="0"/>
              </w:rPr>
              <w:t>1</w:t>
            </w:r>
          </w:p>
        </w:tc>
        <w:tc>
          <w:tcPr>
            <w:tcW w:type="dxa" w:w="3408"/>
            <w:vAlign w:val="center"/>
          </w:tcPr>
          <w:p>
            <w:pPr>
              <w:spacing w:after="0"/>
            </w:pPr>
            <w:r/>
            <w:r>
              <w:rPr>
                <w:b w:val="0"/>
              </w:rPr>
              <w:t>Line Wins</w:t>
            </w:r>
          </w:p>
        </w:tc>
        <w:tc>
          <w:tcPr>
            <w:tcW w:type="dxa" w:w="3408"/>
            <w:vAlign w:val="center"/>
          </w:tcPr>
          <w:p>
            <w:pPr>
              <w:spacing w:after="0"/>
            </w:pPr>
            <w:r/>
            <w:r>
              <w:rPr>
                <w:b w:val="0"/>
              </w:rPr>
              <w:t>3+ left-aligned matching symbols on a payline</w:t>
            </w:r>
          </w:p>
        </w:tc>
      </w:tr>
      <w:tr>
        <w:tc>
          <w:tcPr>
            <w:tcW w:type="dxa" w:w="3408"/>
            <w:vAlign w:val="center"/>
          </w:tcPr>
          <w:p>
            <w:pPr>
              <w:spacing w:after="0"/>
            </w:pPr>
            <w:r/>
            <w:r>
              <w:rPr>
                <w:b w:val="0"/>
              </w:rPr>
              <w:t>2</w:t>
            </w:r>
          </w:p>
        </w:tc>
        <w:tc>
          <w:tcPr>
            <w:tcW w:type="dxa" w:w="3408"/>
            <w:vAlign w:val="center"/>
          </w:tcPr>
          <w:p>
            <w:pPr>
              <w:spacing w:after="0"/>
            </w:pPr>
            <w:r/>
            <w:r>
              <w:rPr>
                <w:b w:val="0"/>
              </w:rPr>
              <w:t>Symbol Stamping</w:t>
            </w:r>
          </w:p>
        </w:tc>
        <w:tc>
          <w:tcPr>
            <w:tcW w:type="dxa" w:w="3408"/>
            <w:vAlign w:val="center"/>
          </w:tcPr>
          <w:p>
            <w:pPr>
              <w:spacing w:after="0"/>
            </w:pPr>
            <w:r/>
            <w:r>
              <w:rPr>
                <w:b w:val="0"/>
              </w:rPr>
              <w:t>Special Symbol lands in the Base Game</w:t>
            </w:r>
          </w:p>
        </w:tc>
      </w:tr>
      <w:tr>
        <w:tc>
          <w:tcPr>
            <w:tcW w:type="dxa" w:w="3408"/>
            <w:vAlign w:val="center"/>
          </w:tcPr>
          <w:p>
            <w:pPr>
              <w:spacing w:after="0"/>
            </w:pPr>
            <w:r/>
            <w:r>
              <w:rPr>
                <w:b w:val="0"/>
              </w:rPr>
              <w:t>3</w:t>
            </w:r>
          </w:p>
        </w:tc>
        <w:tc>
          <w:tcPr>
            <w:tcW w:type="dxa" w:w="3408"/>
            <w:vAlign w:val="center"/>
          </w:tcPr>
          <w:p>
            <w:pPr>
              <w:spacing w:after="0"/>
            </w:pPr>
            <w:r/>
            <w:r>
              <w:rPr>
                <w:b w:val="0"/>
              </w:rPr>
              <w:t>Hold &amp; Win Bonus</w:t>
            </w:r>
          </w:p>
        </w:tc>
        <w:tc>
          <w:tcPr>
            <w:tcW w:type="dxa" w:w="3408"/>
            <w:vAlign w:val="center"/>
          </w:tcPr>
          <w:p>
            <w:pPr>
              <w:spacing w:after="0"/>
            </w:pPr>
            <w:r/>
            <w:r>
              <w:rPr>
                <w:b w:val="0"/>
              </w:rPr>
              <w:t>Triggered by one or more eligible Bonus Symbol types</w:t>
            </w:r>
          </w:p>
        </w:tc>
      </w:tr>
      <w:tr>
        <w:tc>
          <w:tcPr>
            <w:tcW w:type="dxa" w:w="3408"/>
            <w:vAlign w:val="center"/>
          </w:tcPr>
          <w:p>
            <w:pPr>
              <w:spacing w:after="0"/>
            </w:pPr>
            <w:r/>
            <w:r>
              <w:rPr>
                <w:b w:val="0"/>
              </w:rPr>
              <w:t>4</w:t>
            </w:r>
          </w:p>
        </w:tc>
        <w:tc>
          <w:tcPr>
            <w:tcW w:type="dxa" w:w="3408"/>
            <w:vAlign w:val="center"/>
          </w:tcPr>
          <w:p>
            <w:pPr>
              <w:spacing w:after="0"/>
            </w:pPr>
            <w:r/>
            <w:r>
              <w:rPr>
                <w:b w:val="0"/>
              </w:rPr>
              <w:t>Payer (Boost)</w:t>
            </w:r>
          </w:p>
        </w:tc>
        <w:tc>
          <w:tcPr>
            <w:tcW w:type="dxa" w:w="3408"/>
            <w:vAlign w:val="center"/>
          </w:tcPr>
          <w:p>
            <w:pPr>
              <w:spacing w:after="0"/>
            </w:pPr>
            <w:r/>
            <w:r>
              <w:rPr>
                <w:b w:val="0"/>
              </w:rPr>
              <w:t>Bonus mechanic in Base Game / Hold &amp; Win</w:t>
            </w:r>
          </w:p>
        </w:tc>
      </w:tr>
      <w:tr>
        <w:tc>
          <w:tcPr>
            <w:tcW w:type="dxa" w:w="3408"/>
            <w:vAlign w:val="center"/>
          </w:tcPr>
          <w:p>
            <w:pPr>
              <w:spacing w:after="0"/>
            </w:pPr>
            <w:r/>
            <w:r>
              <w:rPr>
                <w:b w:val="0"/>
              </w:rPr>
              <w:t>5</w:t>
            </w:r>
          </w:p>
        </w:tc>
        <w:tc>
          <w:tcPr>
            <w:tcW w:type="dxa" w:w="3408"/>
            <w:vAlign w:val="center"/>
          </w:tcPr>
          <w:p>
            <w:pPr>
              <w:spacing w:after="0"/>
            </w:pPr>
            <w:r/>
            <w:r>
              <w:rPr>
                <w:b w:val="0"/>
              </w:rPr>
              <w:t>Collector</w:t>
            </w:r>
          </w:p>
        </w:tc>
        <w:tc>
          <w:tcPr>
            <w:tcW w:type="dxa" w:w="3408"/>
            <w:vAlign w:val="center"/>
          </w:tcPr>
          <w:p>
            <w:pPr>
              <w:spacing w:after="0"/>
            </w:pPr>
            <w:r/>
            <w:r>
              <w:rPr>
                <w:b w:val="0"/>
              </w:rPr>
              <w:t>Bonus mechanic in Base Game / Hold &amp; Win</w:t>
            </w:r>
          </w:p>
        </w:tc>
      </w:tr>
      <w:tr>
        <w:tc>
          <w:tcPr>
            <w:tcW w:type="dxa" w:w="3408"/>
            <w:vAlign w:val="center"/>
          </w:tcPr>
          <w:p>
            <w:pPr>
              <w:spacing w:after="0"/>
            </w:pPr>
            <w:r/>
            <w:r>
              <w:rPr>
                <w:b w:val="0"/>
              </w:rPr>
              <w:t>6</w:t>
            </w:r>
          </w:p>
        </w:tc>
        <w:tc>
          <w:tcPr>
            <w:tcW w:type="dxa" w:w="3408"/>
            <w:vAlign w:val="center"/>
          </w:tcPr>
          <w:p>
            <w:pPr>
              <w:spacing w:after="0"/>
            </w:pPr>
            <w:r/>
            <w:r>
              <w:rPr>
                <w:b w:val="0"/>
              </w:rPr>
              <w:t>Multiplier</w:t>
            </w:r>
          </w:p>
        </w:tc>
        <w:tc>
          <w:tcPr>
            <w:tcW w:type="dxa" w:w="3408"/>
            <w:vAlign w:val="center"/>
          </w:tcPr>
          <w:p>
            <w:pPr>
              <w:spacing w:after="0"/>
            </w:pPr>
            <w:r/>
            <w:r>
              <w:rPr>
                <w:b w:val="0"/>
              </w:rPr>
              <w:t>Replaces the previous Unlocker mechanic</w:t>
            </w:r>
          </w:p>
        </w:tc>
      </w:tr>
      <w:tr>
        <w:tc>
          <w:tcPr>
            <w:tcW w:type="dxa" w:w="3408"/>
            <w:vAlign w:val="center"/>
          </w:tcPr>
          <w:p>
            <w:pPr>
              <w:spacing w:after="0"/>
            </w:pPr>
            <w:r/>
            <w:r>
              <w:rPr>
                <w:b w:val="0"/>
              </w:rPr>
              <w:t>7</w:t>
            </w:r>
          </w:p>
        </w:tc>
        <w:tc>
          <w:tcPr>
            <w:tcW w:type="dxa" w:w="3408"/>
            <w:vAlign w:val="center"/>
          </w:tcPr>
          <w:p>
            <w:pPr>
              <w:spacing w:after="0"/>
            </w:pPr>
            <w:r/>
            <w:r>
              <w:rPr>
                <w:b w:val="0"/>
              </w:rPr>
              <w:t>Jackpot Coins</w:t>
            </w:r>
          </w:p>
        </w:tc>
        <w:tc>
          <w:tcPr>
            <w:tcW w:type="dxa" w:w="3408"/>
            <w:vAlign w:val="center"/>
          </w:tcPr>
          <w:p>
            <w:pPr>
              <w:spacing w:after="0"/>
            </w:pPr>
            <w:r/>
            <w:r>
              <w:rPr>
                <w:b w:val="0"/>
              </w:rPr>
              <w:t>Appear in Hold &amp; Win</w:t>
            </w:r>
          </w:p>
        </w:tc>
      </w:tr>
    </w:tbl>
    <w:p/>
    <w:p>
      <w:r>
        <w:rPr>
          <w:i/>
        </w:rPr>
        <w:t>Persistent Payer, Persistent Collector and Persistent Unlocker/Multiplier symbols are intentionally excluded from this version.</w:t>
      </w:r>
    </w:p>
    <w:p>
      <w:pPr>
        <w:pStyle w:val="Heading1"/>
      </w:pPr>
      <w:r>
        <w:t>4. Symbols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pPr>
              <w:spacing w:after="0"/>
            </w:pPr>
            <w:r/>
            <w:r>
              <w:rPr>
                <w:b/>
              </w:rPr>
              <w:t>Symbol</w:t>
            </w:r>
          </w:p>
        </w:tc>
        <w:tc>
          <w:tcPr>
            <w:tcW w:type="dxa" w:w="3408"/>
            <w:vAlign w:val="center"/>
            <w:shd w:fill="D9E2F3"/>
          </w:tcPr>
          <w:p>
            <w:pPr>
              <w:spacing w:after="0"/>
            </w:pPr>
            <w:r/>
            <w:r>
              <w:rPr>
                <w:b/>
              </w:rPr>
              <w:t>Type</w:t>
            </w:r>
          </w:p>
        </w:tc>
        <w:tc>
          <w:tcPr>
            <w:tcW w:type="dxa" w:w="3408"/>
            <w:vAlign w:val="center"/>
            <w:shd w:fill="D9E2F3"/>
          </w:tcPr>
          <w:p>
            <w:pPr>
              <w:spacing w:after="0"/>
            </w:pPr>
            <w:r/>
            <w:r>
              <w:rPr>
                <w:b/>
              </w:rPr>
              <w:t>Notes</w:t>
            </w:r>
          </w:p>
        </w:tc>
      </w:tr>
      <w:tr>
        <w:tc>
          <w:tcPr>
            <w:tcW w:type="dxa" w:w="3408"/>
            <w:vAlign w:val="center"/>
          </w:tcPr>
          <w:p>
            <w:pPr>
              <w:spacing w:after="0"/>
            </w:pPr>
            <w:r/>
            <w:r>
              <w:rPr>
                <w:b w:val="0"/>
              </w:rPr>
              <w:t>Wild</w:t>
            </w:r>
          </w:p>
        </w:tc>
        <w:tc>
          <w:tcPr>
            <w:tcW w:type="dxa" w:w="3408"/>
            <w:vAlign w:val="center"/>
          </w:tcPr>
          <w:p>
            <w:pPr>
              <w:spacing w:after="0"/>
            </w:pPr>
            <w:r/>
            <w:r>
              <w:rPr>
                <w:b w:val="0"/>
              </w:rPr>
              <w:t>Wild</w:t>
            </w:r>
          </w:p>
        </w:tc>
        <w:tc>
          <w:tcPr>
            <w:tcW w:type="dxa" w:w="3408"/>
            <w:vAlign w:val="center"/>
          </w:tcPr>
          <w:p>
            <w:pPr>
              <w:spacing w:after="0"/>
            </w:pPr>
            <w:r/>
            <w:r>
              <w:rPr>
                <w:b w:val="0"/>
              </w:rPr>
              <w:t>Substitute symbol; exact exclusions TBD</w:t>
            </w:r>
          </w:p>
        </w:tc>
      </w:tr>
      <w:tr>
        <w:tc>
          <w:tcPr>
            <w:tcW w:type="dxa" w:w="3408"/>
            <w:vAlign w:val="center"/>
          </w:tcPr>
          <w:p>
            <w:pPr>
              <w:spacing w:after="0"/>
            </w:pPr>
            <w:r/>
            <w:r>
              <w:rPr>
                <w:b w:val="0"/>
              </w:rPr>
              <w:t>H1</w:t>
            </w:r>
          </w:p>
        </w:tc>
        <w:tc>
          <w:tcPr>
            <w:tcW w:type="dxa" w:w="3408"/>
            <w:vAlign w:val="center"/>
          </w:tcPr>
          <w:p>
            <w:pPr>
              <w:spacing w:after="0"/>
            </w:pPr>
            <w:r/>
            <w:r>
              <w:rPr>
                <w:b w:val="0"/>
              </w:rPr>
              <w:t>High</w:t>
            </w:r>
          </w:p>
        </w:tc>
        <w:tc>
          <w:tcPr>
            <w:tcW w:type="dxa" w:w="3408"/>
            <w:vAlign w:val="center"/>
          </w:tcPr>
          <w:p>
            <w:pPr>
              <w:spacing w:after="0"/>
            </w:pPr>
            <w:r/>
            <w:r>
              <w:rPr>
                <w:b w:val="0"/>
              </w:rPr>
              <w:t>Pays from 2 OAK</w:t>
            </w:r>
          </w:p>
        </w:tc>
      </w:tr>
      <w:tr>
        <w:tc>
          <w:tcPr>
            <w:tcW w:type="dxa" w:w="3408"/>
            <w:vAlign w:val="center"/>
          </w:tcPr>
          <w:p>
            <w:pPr>
              <w:spacing w:after="0"/>
            </w:pPr>
            <w:r/>
            <w:r>
              <w:rPr>
                <w:b w:val="0"/>
              </w:rPr>
              <w:t>H2</w:t>
            </w:r>
          </w:p>
        </w:tc>
        <w:tc>
          <w:tcPr>
            <w:tcW w:type="dxa" w:w="3408"/>
            <w:vAlign w:val="center"/>
          </w:tcPr>
          <w:p>
            <w:pPr>
              <w:spacing w:after="0"/>
            </w:pPr>
            <w:r/>
            <w:r>
              <w:rPr>
                <w:b w:val="0"/>
              </w:rPr>
              <w:t>High</w:t>
            </w:r>
          </w:p>
        </w:tc>
        <w:tc>
          <w:tcPr>
            <w:tcW w:type="dxa" w:w="3408"/>
            <w:vAlign w:val="center"/>
          </w:tcPr>
          <w:p>
            <w:pPr>
              <w:spacing w:after="0"/>
            </w:pPr>
            <w:r/>
            <w:r>
              <w:rPr>
                <w:b w:val="0"/>
              </w:rPr>
              <w:t>Pays from 3 OAK</w:t>
            </w:r>
          </w:p>
        </w:tc>
      </w:tr>
      <w:tr>
        <w:tc>
          <w:tcPr>
            <w:tcW w:type="dxa" w:w="3408"/>
            <w:vAlign w:val="center"/>
          </w:tcPr>
          <w:p>
            <w:pPr>
              <w:spacing w:after="0"/>
            </w:pPr>
            <w:r/>
            <w:r>
              <w:rPr>
                <w:b w:val="0"/>
              </w:rPr>
              <w:t>H3</w:t>
            </w:r>
          </w:p>
        </w:tc>
        <w:tc>
          <w:tcPr>
            <w:tcW w:type="dxa" w:w="3408"/>
            <w:vAlign w:val="center"/>
          </w:tcPr>
          <w:p>
            <w:pPr>
              <w:spacing w:after="0"/>
            </w:pPr>
            <w:r/>
            <w:r>
              <w:rPr>
                <w:b w:val="0"/>
              </w:rPr>
              <w:t>High</w:t>
            </w:r>
          </w:p>
        </w:tc>
        <w:tc>
          <w:tcPr>
            <w:tcW w:type="dxa" w:w="3408"/>
            <w:vAlign w:val="center"/>
          </w:tcPr>
          <w:p>
            <w:pPr>
              <w:spacing w:after="0"/>
            </w:pPr>
            <w:r/>
            <w:r>
              <w:rPr>
                <w:b w:val="0"/>
              </w:rPr>
              <w:t>Pays from 3 OAK</w:t>
            </w:r>
          </w:p>
        </w:tc>
      </w:tr>
      <w:tr>
        <w:tc>
          <w:tcPr>
            <w:tcW w:type="dxa" w:w="3408"/>
            <w:vAlign w:val="center"/>
          </w:tcPr>
          <w:p>
            <w:pPr>
              <w:spacing w:after="0"/>
            </w:pPr>
            <w:r/>
            <w:r>
              <w:rPr>
                <w:b w:val="0"/>
              </w:rPr>
              <w:t>H4</w:t>
            </w:r>
          </w:p>
        </w:tc>
        <w:tc>
          <w:tcPr>
            <w:tcW w:type="dxa" w:w="3408"/>
            <w:vAlign w:val="center"/>
          </w:tcPr>
          <w:p>
            <w:pPr>
              <w:spacing w:after="0"/>
            </w:pPr>
            <w:r/>
            <w:r>
              <w:rPr>
                <w:b w:val="0"/>
              </w:rPr>
              <w:t>High</w:t>
            </w:r>
          </w:p>
        </w:tc>
        <w:tc>
          <w:tcPr>
            <w:tcW w:type="dxa" w:w="3408"/>
            <w:vAlign w:val="center"/>
          </w:tcPr>
          <w:p>
            <w:pPr>
              <w:spacing w:after="0"/>
            </w:pPr>
            <w:r/>
            <w:r>
              <w:rPr>
                <w:b w:val="0"/>
              </w:rPr>
              <w:t>Pays from 3 OAK</w:t>
            </w:r>
          </w:p>
        </w:tc>
      </w:tr>
      <w:tr>
        <w:tc>
          <w:tcPr>
            <w:tcW w:type="dxa" w:w="3408"/>
            <w:vAlign w:val="center"/>
          </w:tcPr>
          <w:p>
            <w:pPr>
              <w:spacing w:after="0"/>
            </w:pPr>
            <w:r/>
            <w:r>
              <w:rPr>
                <w:b w:val="0"/>
              </w:rPr>
              <w:t>Low Symbols</w:t>
            </w:r>
          </w:p>
        </w:tc>
        <w:tc>
          <w:tcPr>
            <w:tcW w:type="dxa" w:w="3408"/>
            <w:vAlign w:val="center"/>
          </w:tcPr>
          <w:p>
            <w:pPr>
              <w:spacing w:after="0"/>
            </w:pPr>
            <w:r/>
            <w:r>
              <w:rPr>
                <w:b w:val="0"/>
              </w:rPr>
              <w:t>Low</w:t>
            </w:r>
          </w:p>
        </w:tc>
        <w:tc>
          <w:tcPr>
            <w:tcW w:type="dxa" w:w="3408"/>
            <w:vAlign w:val="center"/>
          </w:tcPr>
          <w:p>
            <w:pPr>
              <w:spacing w:after="0"/>
            </w:pPr>
            <w:r/>
            <w:r>
              <w:rPr>
                <w:b w:val="0"/>
              </w:rPr>
              <w:t>Multiple low symbols share the same visible pay schedule</w:t>
            </w:r>
          </w:p>
        </w:tc>
      </w:tr>
      <w:tr>
        <w:tc>
          <w:tcPr>
            <w:tcW w:type="dxa" w:w="3408"/>
            <w:vAlign w:val="center"/>
          </w:tcPr>
          <w:p>
            <w:pPr>
              <w:spacing w:after="0"/>
            </w:pPr>
            <w:r/>
            <w:r>
              <w:rPr>
                <w:b w:val="0"/>
              </w:rPr>
              <w:t>Special Symbol</w:t>
            </w:r>
          </w:p>
        </w:tc>
        <w:tc>
          <w:tcPr>
            <w:tcW w:type="dxa" w:w="3408"/>
            <w:vAlign w:val="center"/>
          </w:tcPr>
          <w:p>
            <w:pPr>
              <w:spacing w:after="0"/>
            </w:pPr>
            <w:r/>
            <w:r>
              <w:rPr>
                <w:b w:val="0"/>
              </w:rPr>
              <w:t>Feature</w:t>
            </w:r>
          </w:p>
        </w:tc>
        <w:tc>
          <w:tcPr>
            <w:tcW w:type="dxa" w:w="3408"/>
            <w:vAlign w:val="center"/>
          </w:tcPr>
          <w:p>
            <w:pPr>
              <w:spacing w:after="0"/>
            </w:pPr>
            <w:r/>
            <w:r>
              <w:rPr>
                <w:b w:val="0"/>
              </w:rPr>
              <w:t>Triggers Symbol Stamping</w:t>
            </w:r>
          </w:p>
        </w:tc>
      </w:tr>
      <w:tr>
        <w:tc>
          <w:tcPr>
            <w:tcW w:type="dxa" w:w="3408"/>
            <w:vAlign w:val="center"/>
          </w:tcPr>
          <w:p>
            <w:pPr>
              <w:spacing w:after="0"/>
            </w:pPr>
            <w:r/>
            <w:r>
              <w:rPr>
                <w:b w:val="0"/>
              </w:rPr>
              <w:t>Collector</w:t>
            </w:r>
          </w:p>
        </w:tc>
        <w:tc>
          <w:tcPr>
            <w:tcW w:type="dxa" w:w="3408"/>
            <w:vAlign w:val="center"/>
          </w:tcPr>
          <w:p>
            <w:pPr>
              <w:spacing w:after="0"/>
            </w:pPr>
            <w:r/>
            <w:r>
              <w:rPr>
                <w:b w:val="0"/>
              </w:rPr>
              <w:t>Bonus Symbol</w:t>
            </w:r>
          </w:p>
        </w:tc>
        <w:tc>
          <w:tcPr>
            <w:tcW w:type="dxa" w:w="3408"/>
            <w:vAlign w:val="center"/>
          </w:tcPr>
          <w:p>
            <w:pPr>
              <w:spacing w:after="0"/>
            </w:pPr>
            <w:r/>
            <w:r>
              <w:rPr>
                <w:b w:val="0"/>
              </w:rPr>
              <w:t>Hold &amp; Win modifier</w:t>
            </w:r>
          </w:p>
        </w:tc>
      </w:tr>
      <w:tr>
        <w:tc>
          <w:tcPr>
            <w:tcW w:type="dxa" w:w="3408"/>
            <w:vAlign w:val="center"/>
          </w:tcPr>
          <w:p>
            <w:pPr>
              <w:spacing w:after="0"/>
            </w:pPr>
            <w:r/>
            <w:r>
              <w:rPr>
                <w:b w:val="0"/>
              </w:rPr>
              <w:t>Payer (Boost)</w:t>
            </w:r>
          </w:p>
        </w:tc>
        <w:tc>
          <w:tcPr>
            <w:tcW w:type="dxa" w:w="3408"/>
            <w:vAlign w:val="center"/>
          </w:tcPr>
          <w:p>
            <w:pPr>
              <w:spacing w:after="0"/>
            </w:pPr>
            <w:r/>
            <w:r>
              <w:rPr>
                <w:b w:val="0"/>
              </w:rPr>
              <w:t>Bonus Symbol</w:t>
            </w:r>
          </w:p>
        </w:tc>
        <w:tc>
          <w:tcPr>
            <w:tcW w:type="dxa" w:w="3408"/>
            <w:vAlign w:val="center"/>
          </w:tcPr>
          <w:p>
            <w:pPr>
              <w:spacing w:after="0"/>
            </w:pPr>
            <w:r/>
            <w:r>
              <w:rPr>
                <w:b w:val="0"/>
              </w:rPr>
              <w:t>Hold &amp; Win modifier</w:t>
            </w:r>
          </w:p>
        </w:tc>
      </w:tr>
      <w:tr>
        <w:tc>
          <w:tcPr>
            <w:tcW w:type="dxa" w:w="3408"/>
            <w:vAlign w:val="center"/>
          </w:tcPr>
          <w:p>
            <w:pPr>
              <w:spacing w:after="0"/>
            </w:pPr>
            <w:r/>
            <w:r>
              <w:rPr>
                <w:b w:val="0"/>
              </w:rPr>
              <w:t>Multiplier</w:t>
            </w:r>
          </w:p>
        </w:tc>
        <w:tc>
          <w:tcPr>
            <w:tcW w:type="dxa" w:w="3408"/>
            <w:vAlign w:val="center"/>
          </w:tcPr>
          <w:p>
            <w:pPr>
              <w:spacing w:after="0"/>
            </w:pPr>
            <w:r/>
            <w:r>
              <w:rPr>
                <w:b w:val="0"/>
              </w:rPr>
              <w:t>Bonus Symbol</w:t>
            </w:r>
          </w:p>
        </w:tc>
        <w:tc>
          <w:tcPr>
            <w:tcW w:type="dxa" w:w="3408"/>
            <w:vAlign w:val="center"/>
          </w:tcPr>
          <w:p>
            <w:pPr>
              <w:spacing w:after="0"/>
            </w:pPr>
            <w:r/>
            <w:r>
              <w:rPr>
                <w:b w:val="0"/>
              </w:rPr>
              <w:t>Replaces Unlocker</w:t>
            </w:r>
          </w:p>
        </w:tc>
      </w:tr>
      <w:tr>
        <w:tc>
          <w:tcPr>
            <w:tcW w:type="dxa" w:w="3408"/>
            <w:vAlign w:val="center"/>
          </w:tcPr>
          <w:p>
            <w:pPr>
              <w:spacing w:after="0"/>
            </w:pPr>
            <w:r/>
            <w:r>
              <w:rPr>
                <w:b w:val="0"/>
              </w:rPr>
              <w:t>Coin</w:t>
            </w:r>
          </w:p>
        </w:tc>
        <w:tc>
          <w:tcPr>
            <w:tcW w:type="dxa" w:w="3408"/>
            <w:vAlign w:val="center"/>
          </w:tcPr>
          <w:p>
            <w:pPr>
              <w:spacing w:after="0"/>
            </w:pPr>
            <w:r/>
            <w:r>
              <w:rPr>
                <w:b w:val="0"/>
              </w:rPr>
              <w:t>H&amp;W Coin</w:t>
            </w:r>
          </w:p>
        </w:tc>
        <w:tc>
          <w:tcPr>
            <w:tcW w:type="dxa" w:w="3408"/>
            <w:vAlign w:val="center"/>
          </w:tcPr>
          <w:p>
            <w:pPr>
              <w:spacing w:after="0"/>
            </w:pPr>
            <w:r/>
            <w:r>
              <w:rPr>
                <w:b w:val="0"/>
              </w:rPr>
              <w:t>Carries a credit value</w:t>
            </w:r>
          </w:p>
        </w:tc>
      </w:tr>
      <w:tr>
        <w:tc>
          <w:tcPr>
            <w:tcW w:type="dxa" w:w="3408"/>
            <w:vAlign w:val="center"/>
          </w:tcPr>
          <w:p>
            <w:pPr>
              <w:spacing w:after="0"/>
            </w:pPr>
            <w:r/>
            <w:r>
              <w:rPr>
                <w:b w:val="0"/>
              </w:rPr>
              <w:t>Jackpot Coin</w:t>
            </w:r>
          </w:p>
        </w:tc>
        <w:tc>
          <w:tcPr>
            <w:tcW w:type="dxa" w:w="3408"/>
            <w:vAlign w:val="center"/>
          </w:tcPr>
          <w:p>
            <w:pPr>
              <w:spacing w:after="0"/>
            </w:pPr>
            <w:r/>
            <w:r>
              <w:rPr>
                <w:b w:val="0"/>
              </w:rPr>
              <w:t>H&amp;W Coin</w:t>
            </w:r>
          </w:p>
        </w:tc>
        <w:tc>
          <w:tcPr>
            <w:tcW w:type="dxa" w:w="3408"/>
            <w:vAlign w:val="center"/>
          </w:tcPr>
          <w:p>
            <w:pPr>
              <w:spacing w:after="0"/>
            </w:pPr>
            <w:r/>
            <w:r>
              <w:rPr>
                <w:b w:val="0"/>
              </w:rPr>
              <w:t>Carries a jackpot tier identity</w:t>
            </w:r>
          </w:p>
        </w:tc>
      </w:tr>
    </w:tbl>
    <w:p/>
    <w:p>
      <w:pPr>
        <w:pStyle w:val="Heading1"/>
      </w:pPr>
      <w:r>
        <w:t>5. Paytable</w:t>
      </w:r>
    </w:p>
    <w:p>
      <w:r>
        <w:t>Displayed values are multiples of Total Bet.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2F3"/>
          </w:tcPr>
          <w:p>
            <w:pPr>
              <w:spacing w:after="0"/>
            </w:pPr>
            <w:r/>
            <w:r>
              <w:rPr>
                <w:b/>
              </w:rPr>
              <w:t>Symbol</w:t>
            </w:r>
          </w:p>
        </w:tc>
        <w:tc>
          <w:tcPr>
            <w:tcW w:type="dxa" w:w="2045"/>
            <w:vAlign w:val="center"/>
            <w:shd w:fill="D9E2F3"/>
          </w:tcPr>
          <w:p>
            <w:pPr>
              <w:spacing w:after="0"/>
            </w:pPr>
            <w:r/>
            <w:r>
              <w:rPr>
                <w:b/>
              </w:rPr>
              <w:t>2 OAK</w:t>
            </w:r>
          </w:p>
        </w:tc>
        <w:tc>
          <w:tcPr>
            <w:tcW w:type="dxa" w:w="2045"/>
            <w:vAlign w:val="center"/>
            <w:shd w:fill="D9E2F3"/>
          </w:tcPr>
          <w:p>
            <w:pPr>
              <w:spacing w:after="0"/>
            </w:pPr>
            <w:r/>
            <w:r>
              <w:rPr>
                <w:b/>
              </w:rPr>
              <w:t>3 OAK</w:t>
            </w:r>
          </w:p>
        </w:tc>
        <w:tc>
          <w:tcPr>
            <w:tcW w:type="dxa" w:w="2045"/>
            <w:vAlign w:val="center"/>
            <w:shd w:fill="D9E2F3"/>
          </w:tcPr>
          <w:p>
            <w:pPr>
              <w:spacing w:after="0"/>
            </w:pPr>
            <w:r/>
            <w:r>
              <w:rPr>
                <w:b/>
              </w:rPr>
              <w:t>4 OAK</w:t>
            </w:r>
          </w:p>
        </w:tc>
        <w:tc>
          <w:tcPr>
            <w:tcW w:type="dxa" w:w="2045"/>
            <w:vAlign w:val="center"/>
            <w:shd w:fill="D9E2F3"/>
          </w:tcPr>
          <w:p>
            <w:pPr>
              <w:spacing w:after="0"/>
            </w:pPr>
            <w:r/>
            <w:r>
              <w:rPr>
                <w:b/>
              </w:rPr>
              <w:t>5 OAK</w:t>
            </w:r>
          </w:p>
        </w:tc>
      </w:tr>
      <w:tr>
        <w:tc>
          <w:tcPr>
            <w:tcW w:type="dxa" w:w="2045"/>
            <w:vAlign w:val="center"/>
          </w:tcPr>
          <w:p>
            <w:pPr>
              <w:spacing w:after="0"/>
            </w:pPr>
            <w:r/>
            <w:r>
              <w:rPr>
                <w:b w:val="0"/>
              </w:rPr>
              <w:t>H1</w:t>
            </w:r>
          </w:p>
        </w:tc>
        <w:tc>
          <w:tcPr>
            <w:tcW w:type="dxa" w:w="2045"/>
            <w:vAlign w:val="center"/>
          </w:tcPr>
          <w:p>
            <w:pPr>
              <w:spacing w:after="0"/>
            </w:pPr>
            <w:r/>
            <w:r>
              <w:rPr>
                <w:b w:val="0"/>
              </w:rPr>
              <w:t>0.05×</w:t>
            </w:r>
          </w:p>
        </w:tc>
        <w:tc>
          <w:tcPr>
            <w:tcW w:type="dxa" w:w="2045"/>
            <w:vAlign w:val="center"/>
          </w:tcPr>
          <w:p>
            <w:pPr>
              <w:spacing w:after="0"/>
            </w:pPr>
            <w:r/>
            <w:r>
              <w:rPr>
                <w:b w:val="0"/>
              </w:rPr>
              <w:t>0.25×</w:t>
            </w:r>
          </w:p>
        </w:tc>
        <w:tc>
          <w:tcPr>
            <w:tcW w:type="dxa" w:w="2045"/>
            <w:vAlign w:val="center"/>
          </w:tcPr>
          <w:p>
            <w:pPr>
              <w:spacing w:after="0"/>
            </w:pPr>
            <w:r/>
            <w:r>
              <w:rPr>
                <w:b w:val="0"/>
              </w:rPr>
              <w:t>0.80×</w:t>
            </w:r>
          </w:p>
        </w:tc>
        <w:tc>
          <w:tcPr>
            <w:tcW w:type="dxa" w:w="2045"/>
            <w:vAlign w:val="center"/>
          </w:tcPr>
          <w:p>
            <w:pPr>
              <w:spacing w:after="0"/>
            </w:pPr>
            <w:r/>
            <w:r>
              <w:rPr>
                <w:b w:val="0"/>
              </w:rPr>
              <w:t>1.25×</w:t>
            </w:r>
          </w:p>
        </w:tc>
      </w:tr>
      <w:tr>
        <w:tc>
          <w:tcPr>
            <w:tcW w:type="dxa" w:w="2045"/>
            <w:vAlign w:val="center"/>
          </w:tcPr>
          <w:p>
            <w:pPr>
              <w:spacing w:after="0"/>
            </w:pPr>
            <w:r/>
            <w:r>
              <w:rPr>
                <w:b w:val="0"/>
              </w:rPr>
              <w:t>H2</w:t>
            </w:r>
          </w:p>
        </w:tc>
        <w:tc>
          <w:tcPr>
            <w:tcW w:type="dxa" w:w="2045"/>
            <w:vAlign w:val="center"/>
          </w:tcPr>
          <w:p>
            <w:pPr>
              <w:spacing w:after="0"/>
            </w:pPr>
            <w:r/>
            <w:r>
              <w:rPr>
                <w:b w:val="0"/>
              </w:rPr>
              <w:t>—</w:t>
            </w:r>
          </w:p>
        </w:tc>
        <w:tc>
          <w:tcPr>
            <w:tcW w:type="dxa" w:w="2045"/>
            <w:vAlign w:val="center"/>
          </w:tcPr>
          <w:p>
            <w:pPr>
              <w:spacing w:after="0"/>
            </w:pPr>
            <w:r/>
            <w:r>
              <w:rPr>
                <w:b w:val="0"/>
              </w:rPr>
              <w:t>0.20×</w:t>
            </w:r>
          </w:p>
        </w:tc>
        <w:tc>
          <w:tcPr>
            <w:tcW w:type="dxa" w:w="2045"/>
            <w:vAlign w:val="center"/>
          </w:tcPr>
          <w:p>
            <w:pPr>
              <w:spacing w:after="0"/>
            </w:pPr>
            <w:r/>
            <w:r>
              <w:rPr>
                <w:b w:val="0"/>
              </w:rPr>
              <w:t>0.50×</w:t>
            </w:r>
          </w:p>
        </w:tc>
        <w:tc>
          <w:tcPr>
            <w:tcW w:type="dxa" w:w="2045"/>
            <w:vAlign w:val="center"/>
          </w:tcPr>
          <w:p>
            <w:pPr>
              <w:spacing w:after="0"/>
            </w:pPr>
            <w:r/>
            <w:r>
              <w:rPr>
                <w:b w:val="0"/>
              </w:rPr>
              <w:t>1.00×</w:t>
            </w:r>
          </w:p>
        </w:tc>
      </w:tr>
      <w:tr>
        <w:tc>
          <w:tcPr>
            <w:tcW w:type="dxa" w:w="2045"/>
            <w:vAlign w:val="center"/>
          </w:tcPr>
          <w:p>
            <w:pPr>
              <w:spacing w:after="0"/>
            </w:pPr>
            <w:r/>
            <w:r>
              <w:rPr>
                <w:b w:val="0"/>
              </w:rPr>
              <w:t>H3</w:t>
            </w:r>
          </w:p>
        </w:tc>
        <w:tc>
          <w:tcPr>
            <w:tcW w:type="dxa" w:w="2045"/>
            <w:vAlign w:val="center"/>
          </w:tcPr>
          <w:p>
            <w:pPr>
              <w:spacing w:after="0"/>
            </w:pPr>
            <w:r/>
            <w:r>
              <w:rPr>
                <w:b w:val="0"/>
              </w:rPr>
              <w:t>—</w:t>
            </w:r>
          </w:p>
        </w:tc>
        <w:tc>
          <w:tcPr>
            <w:tcW w:type="dxa" w:w="2045"/>
            <w:vAlign w:val="center"/>
          </w:tcPr>
          <w:p>
            <w:pPr>
              <w:spacing w:after="0"/>
            </w:pPr>
            <w:r/>
            <w:r>
              <w:rPr>
                <w:b w:val="0"/>
              </w:rPr>
              <w:t>0.20×</w:t>
            </w:r>
          </w:p>
        </w:tc>
        <w:tc>
          <w:tcPr>
            <w:tcW w:type="dxa" w:w="2045"/>
            <w:vAlign w:val="center"/>
          </w:tcPr>
          <w:p>
            <w:pPr>
              <w:spacing w:after="0"/>
            </w:pPr>
            <w:r/>
            <w:r>
              <w:rPr>
                <w:b w:val="0"/>
              </w:rPr>
              <w:t>0.40×</w:t>
            </w:r>
          </w:p>
        </w:tc>
        <w:tc>
          <w:tcPr>
            <w:tcW w:type="dxa" w:w="2045"/>
            <w:vAlign w:val="center"/>
          </w:tcPr>
          <w:p>
            <w:pPr>
              <w:spacing w:after="0"/>
            </w:pPr>
            <w:r/>
            <w:r>
              <w:rPr>
                <w:b w:val="0"/>
              </w:rPr>
              <w:t>1.00×</w:t>
            </w:r>
          </w:p>
        </w:tc>
      </w:tr>
      <w:tr>
        <w:tc>
          <w:tcPr>
            <w:tcW w:type="dxa" w:w="2045"/>
            <w:vAlign w:val="center"/>
          </w:tcPr>
          <w:p>
            <w:pPr>
              <w:spacing w:after="0"/>
            </w:pPr>
            <w:r/>
            <w:r>
              <w:rPr>
                <w:b w:val="0"/>
              </w:rPr>
              <w:t>H4</w:t>
            </w:r>
          </w:p>
        </w:tc>
        <w:tc>
          <w:tcPr>
            <w:tcW w:type="dxa" w:w="2045"/>
            <w:vAlign w:val="center"/>
          </w:tcPr>
          <w:p>
            <w:pPr>
              <w:spacing w:after="0"/>
            </w:pPr>
            <w:r/>
            <w:r>
              <w:rPr>
                <w:b w:val="0"/>
              </w:rPr>
              <w:t>—</w:t>
            </w:r>
          </w:p>
        </w:tc>
        <w:tc>
          <w:tcPr>
            <w:tcW w:type="dxa" w:w="2045"/>
            <w:vAlign w:val="center"/>
          </w:tcPr>
          <w:p>
            <w:pPr>
              <w:spacing w:after="0"/>
            </w:pPr>
            <w:r/>
            <w:r>
              <w:rPr>
                <w:b w:val="0"/>
              </w:rPr>
              <w:t>0.20×</w:t>
            </w:r>
          </w:p>
        </w:tc>
        <w:tc>
          <w:tcPr>
            <w:tcW w:type="dxa" w:w="2045"/>
            <w:vAlign w:val="center"/>
          </w:tcPr>
          <w:p>
            <w:pPr>
              <w:spacing w:after="0"/>
            </w:pPr>
            <w:r/>
            <w:r>
              <w:rPr>
                <w:b w:val="0"/>
              </w:rPr>
              <w:t>0.25×</w:t>
            </w:r>
          </w:p>
        </w:tc>
        <w:tc>
          <w:tcPr>
            <w:tcW w:type="dxa" w:w="2045"/>
            <w:vAlign w:val="center"/>
          </w:tcPr>
          <w:p>
            <w:pPr>
              <w:spacing w:after="0"/>
            </w:pPr>
            <w:r/>
            <w:r>
              <w:rPr>
                <w:b w:val="0"/>
              </w:rPr>
              <w:t>0.80×</w:t>
            </w:r>
          </w:p>
        </w:tc>
      </w:tr>
      <w:tr>
        <w:tc>
          <w:tcPr>
            <w:tcW w:type="dxa" w:w="2045"/>
            <w:vAlign w:val="center"/>
          </w:tcPr>
          <w:p>
            <w:pPr>
              <w:spacing w:after="0"/>
            </w:pPr>
            <w:r/>
            <w:r>
              <w:rPr>
                <w:b w:val="0"/>
              </w:rPr>
              <w:t>Low Symbols</w:t>
            </w:r>
          </w:p>
        </w:tc>
        <w:tc>
          <w:tcPr>
            <w:tcW w:type="dxa" w:w="2045"/>
            <w:vAlign w:val="center"/>
          </w:tcPr>
          <w:p>
            <w:pPr>
              <w:spacing w:after="0"/>
            </w:pPr>
            <w:r/>
            <w:r>
              <w:rPr>
                <w:b w:val="0"/>
              </w:rPr>
              <w:t>—</w:t>
            </w:r>
          </w:p>
        </w:tc>
        <w:tc>
          <w:tcPr>
            <w:tcW w:type="dxa" w:w="2045"/>
            <w:vAlign w:val="center"/>
          </w:tcPr>
          <w:p>
            <w:pPr>
              <w:spacing w:after="0"/>
            </w:pPr>
            <w:r/>
            <w:r>
              <w:rPr>
                <w:b w:val="0"/>
              </w:rPr>
              <w:t>0.10×</w:t>
            </w:r>
          </w:p>
        </w:tc>
        <w:tc>
          <w:tcPr>
            <w:tcW w:type="dxa" w:w="2045"/>
            <w:vAlign w:val="center"/>
          </w:tcPr>
          <w:p>
            <w:pPr>
              <w:spacing w:after="0"/>
            </w:pPr>
            <w:r/>
            <w:r>
              <w:rPr>
                <w:b w:val="0"/>
              </w:rPr>
              <w:t>0.20×</w:t>
            </w:r>
          </w:p>
        </w:tc>
        <w:tc>
          <w:tcPr>
            <w:tcW w:type="dxa" w:w="2045"/>
            <w:vAlign w:val="center"/>
          </w:tcPr>
          <w:p>
            <w:pPr>
              <w:spacing w:after="0"/>
            </w:pPr>
            <w:r/>
            <w:r>
              <w:rPr>
                <w:b w:val="0"/>
              </w:rPr>
              <w:t>0.30×</w:t>
            </w:r>
          </w:p>
        </w:tc>
      </w:tr>
      <w:tr>
        <w:tc>
          <w:tcPr>
            <w:tcW w:type="dxa" w:w="2045"/>
            <w:vAlign w:val="center"/>
          </w:tcPr>
          <w:p>
            <w:pPr>
              <w:spacing w:after="0"/>
            </w:pPr>
            <w:r/>
            <w:r>
              <w:rPr>
                <w:b w:val="0"/>
              </w:rPr>
              <w:t>Wild</w:t>
            </w:r>
          </w:p>
        </w:tc>
        <w:tc>
          <w:tcPr>
            <w:tcW w:type="dxa" w:w="2045"/>
            <w:vAlign w:val="center"/>
          </w:tcPr>
          <w:p>
            <w:pPr>
              <w:spacing w:after="0"/>
            </w:pPr>
            <w:r/>
            <w:r>
              <w:rPr>
                <w:b w:val="0"/>
              </w:rPr>
              <w:t>Substitute only</w:t>
            </w:r>
          </w:p>
        </w:tc>
        <w:tc>
          <w:tcPr>
            <w:tcW w:type="dxa" w:w="2045"/>
            <w:vAlign w:val="center"/>
          </w:tcPr>
          <w:p>
            <w:pPr>
              <w:spacing w:after="0"/>
            </w:pPr>
            <w:r/>
            <w:r>
              <w:rPr>
                <w:b w:val="0"/>
              </w:rPr>
              <w:t>—</w:t>
            </w:r>
          </w:p>
        </w:tc>
        <w:tc>
          <w:tcPr>
            <w:tcW w:type="dxa" w:w="2045"/>
            <w:vAlign w:val="center"/>
          </w:tcPr>
          <w:p>
            <w:pPr>
              <w:spacing w:after="0"/>
            </w:pPr>
            <w:r/>
            <w:r>
              <w:rPr>
                <w:b w:val="0"/>
              </w:rPr>
              <w:t>—</w:t>
            </w:r>
          </w:p>
        </w:tc>
        <w:tc>
          <w:tcPr>
            <w:tcW w:type="dxa" w:w="2045"/>
            <w:vAlign w:val="center"/>
          </w:tcPr>
          <w:p>
            <w:pPr>
              <w:spacing w:after="0"/>
            </w:pPr>
            <w:r/>
            <w:r>
              <w:rPr>
                <w:b w:val="0"/>
              </w:rPr>
              <w:t>—</w:t>
            </w:r>
          </w:p>
        </w:tc>
      </w:tr>
    </w:tbl>
    <w:p/>
    <w:p>
      <w:pPr>
        <w:pStyle w:val="Heading1"/>
      </w:pPr>
      <w:r>
        <w:t>6. Base Game</w:t>
      </w:r>
    </w:p>
    <w:p>
      <w:r>
        <w:t>The Base Game is played on a 5×3 reel window using 10 fixed paylines. Line wins are evaluated from left to right.</w:t>
      </w:r>
    </w:p>
    <w:p>
      <w:r>
        <w:t>Bonus Symbols may appear in the Base Game and are associated with the pots above the reels. The source material states that the collected Bonus Symbols can randomly lead to a Hold &amp; Win trigger.</w:t>
      </w:r>
    </w:p>
    <w:p>
      <w:pPr>
        <w:pStyle w:val="Heading1"/>
      </w:pPr>
      <w:r>
        <w:t>7. Symbol Stamping Feature</w:t>
      </w:r>
    </w:p>
    <w:p>
      <w:r>
        <w:t>When a Special Symbol lands in the Base Game, it displays/selects one regular paying symbol. That selected symbol is then stamped over the other positions on every reel on which the selected symbol already appears, causing those reels to become filled with that selected symbol.</w:t>
      </w:r>
    </w:p>
    <w:p>
      <w:r>
        <w:t>Illustrative resolution sequence:</w:t>
      </w:r>
    </w:p>
    <w:p>
      <w:pPr>
        <w:pStyle w:val="ListNumber"/>
      </w:pPr>
      <w:r>
        <w:t>The spin stops on the generated Base Game outcome.</w:t>
      </w:r>
    </w:p>
    <w:p>
      <w:pPr>
        <w:pStyle w:val="ListNumber"/>
      </w:pPr>
      <w:r>
        <w:t>The Special Symbol selects/displays one regular paying symbol.</w:t>
      </w:r>
    </w:p>
    <w:p>
      <w:pPr>
        <w:pStyle w:val="ListNumber"/>
      </w:pPr>
      <w:r>
        <w:t>Every reel containing the selected symbol is identified.</w:t>
      </w:r>
    </w:p>
    <w:p>
      <w:pPr>
        <w:pStyle w:val="ListNumber"/>
      </w:pPr>
      <w:r>
        <w:t>All positions on each identified reel are stamped to the selected symbol.</w:t>
      </w:r>
    </w:p>
    <w:p>
      <w:pPr>
        <w:pStyle w:val="ListNumber"/>
      </w:pPr>
      <w:r>
        <w:t>The post-stamping outcome is evaluated for wins according to the final evaluation order.</w:t>
      </w:r>
    </w:p>
    <w:p>
      <w:r>
        <w:rPr>
          <w:i/>
        </w:rPr>
        <w:t>Still to confirm: multiple Special Symbols on one spin, eligible symbol-selection pool, Wild/Bonus overwrite rules, and whether pre-stamp and post-stamp wins are both paid.</w:t>
      </w:r>
    </w:p>
    <w:p>
      <w:pPr>
        <w:pStyle w:val="Heading1"/>
      </w:pPr>
      <w:r>
        <w:t>8. Bonus Symbols in the Base Game</w:t>
      </w:r>
    </w:p>
    <w:p>
      <w:r>
        <w:t>Eligible Bonus Symbols may appear in Normal and Super states. The Super state is visually represented by an animated effect such as glow or fire around the symbol.</w:t>
      </w:r>
    </w:p>
    <w:p>
      <w:r>
        <w:t>The earlier source referred to Special Symbols being collected into pots; for clarity in this GDD, the term Special Symbol is reserved for the Stamping trigger, while Payer, Collector and Multiplier are referred to as Bonus Symbols.</w:t>
      </w:r>
    </w:p>
    <w:p>
      <w:pPr>
        <w:pStyle w:val="Heading1"/>
      </w:pPr>
      <w:r>
        <w:t>9. Hold &amp; Win Trigger</w:t>
      </w:r>
    </w:p>
    <w:p>
      <w:r>
        <w:t>Bonus Symbols collected into the pots during the Base Game may randomly trigger the Hold &amp; Win Bonus.</w:t>
      </w:r>
    </w:p>
    <w:p>
      <w:r>
        <w:t>A Hold &amp; Win can be triggered by one eligible Bonus Symbol type or by a combination of two or three different Bonus Symbol types. Normal and Super states may be combined in the same trigger.</w:t>
      </w:r>
    </w:p>
    <w:p>
      <w:r>
        <w:t>Only the Bonus Symbol types that participated in the trigger are active in that Hold &amp; Win round.</w:t>
      </w:r>
    </w:p>
    <w:p>
      <w:pPr>
        <w:pStyle w:val="ListBullet"/>
      </w:pPr>
      <w:r>
        <w:t>Example: Collector + Payer trigger → Collector and Payer mechanics are active; Multiplier is excluded.</w:t>
      </w:r>
    </w:p>
    <w:p>
      <w:pPr>
        <w:pStyle w:val="ListBullet"/>
      </w:pPr>
      <w:r>
        <w:t>Example: Payer + Multiplier trigger → Payer and Multiplier are active; Collector is excluded.</w:t>
      </w:r>
    </w:p>
    <w:p>
      <w:pPr>
        <w:pStyle w:val="Heading1"/>
      </w:pPr>
      <w:r>
        <w:t>10. Hold &amp; Win Grid and Spin Rules</w:t>
      </w:r>
    </w:p>
    <w:p>
      <w:r>
        <w:t>The Hold &amp; Win is played on the same 5×3 window as the Base Game. There is no 5×6 expansion and there are no locked positions.</w:t>
      </w:r>
    </w:p>
    <w:p>
      <w:r>
        <w:t>The Hold &amp; Win starts with 3 spins.</w:t>
      </w:r>
    </w:p>
    <w:p>
      <w:pPr>
        <w:pStyle w:val="ListBullet"/>
      </w:pPr>
      <w:r>
        <w:t>A spin that lands no new eligible Hold &amp; Win symbol decreases the remaining-spin counter by 1.</w:t>
      </w:r>
    </w:p>
    <w:p>
      <w:pPr>
        <w:pStyle w:val="ListBullet"/>
      </w:pPr>
      <w:r>
        <w:t>Any spin that lands at least one new eligible Hold &amp; Win symbol resets the remaining-spin counter back to 3.</w:t>
      </w:r>
    </w:p>
    <w:p>
      <w:pPr>
        <w:pStyle w:val="ListBullet"/>
      </w:pPr>
      <w:r>
        <w:t>Three consecutive spins with no new eligible symbols end the feature.</w:t>
      </w:r>
    </w:p>
    <w:p>
      <w:r>
        <w:t>Symbols that can appear in the Hold &amp; Win include standard Coins, Jackpot Coins and the Bonus Symbol types active for that feature.</w:t>
      </w:r>
    </w:p>
    <w:p>
      <w:pPr>
        <w:pStyle w:val="Heading1"/>
      </w:pPr>
      <w:r>
        <w:t>11. Hold &amp; Win Payout Timing and Collection Order</w:t>
      </w:r>
    </w:p>
    <w:p>
      <w:r>
        <w:t>The Hold &amp; Win pays only when the feature ends. The final Hold &amp; Win award is based on the values present/awarded during the completed feature, including standard Coin values, awarded Jackpot values and applicable Bonus Symbol effects.</w:t>
      </w:r>
    </w:p>
    <w:p>
      <w:r>
        <w:t>Final values are collected in top-to-bottom order, starting from the leftmost reel and proceeding reel by reel to the right. In practical screen order, collection begins with the leftmost top coin and ends with the rightmost bottom coin.</w:t>
      </w:r>
    </w:p>
    <w:p>
      <w:r>
        <w:rPr>
          <w:i/>
        </w:rPr>
        <w:t>Any intermediate animations do not constitute settlement of the feature; the Hold &amp; Win is settled at the end.</w:t>
      </w:r>
    </w:p>
    <w:p>
      <w:pPr>
        <w:pStyle w:val="Heading1"/>
      </w:pPr>
      <w:r>
        <w:t>12. Bonus Symbols in the Hold &amp; Win</w:t>
      </w:r>
    </w:p>
    <w:p>
      <w:r>
        <w:t>The current non-persistent Bonus Symbol set consists of Collector, Payer (Boost) and Multiplier.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pPr>
              <w:spacing w:after="0"/>
            </w:pPr>
            <w:r/>
            <w:r>
              <w:rPr>
                <w:b/>
              </w:rPr>
              <w:t>Bonus Symbol</w:t>
            </w:r>
          </w:p>
        </w:tc>
        <w:tc>
          <w:tcPr>
            <w:tcW w:type="dxa" w:w="5112"/>
            <w:vAlign w:val="center"/>
            <w:shd w:fill="D9E2F3"/>
          </w:tcPr>
          <w:p>
            <w:pPr>
              <w:spacing w:after="0"/>
            </w:pPr>
            <w:r/>
            <w:r>
              <w:rPr>
                <w:b/>
              </w:rPr>
              <w:t>Current Rule</w:t>
            </w:r>
          </w:p>
        </w:tc>
      </w:tr>
      <w:tr>
        <w:tc>
          <w:tcPr>
            <w:tcW w:type="dxa" w:w="5112"/>
            <w:vAlign w:val="center"/>
          </w:tcPr>
          <w:p>
            <w:pPr>
              <w:spacing w:after="0"/>
            </w:pPr>
            <w:r/>
            <w:r>
              <w:rPr>
                <w:b w:val="0"/>
              </w:rPr>
              <w:t>Collector</w:t>
            </w:r>
          </w:p>
        </w:tc>
        <w:tc>
          <w:tcPr>
            <w:tcW w:type="dxa" w:w="5112"/>
            <w:vAlign w:val="center"/>
          </w:tcPr>
          <w:p>
            <w:pPr>
              <w:spacing w:after="0"/>
            </w:pPr>
            <w:r/>
            <w:r>
              <w:rPr>
                <w:b w:val="0"/>
              </w:rPr>
              <w:t>Collects all applicable coin values in the spin in which the Collector lands.</w:t>
            </w:r>
          </w:p>
        </w:tc>
      </w:tr>
      <w:tr>
        <w:tc>
          <w:tcPr>
            <w:tcW w:type="dxa" w:w="5112"/>
            <w:vAlign w:val="center"/>
          </w:tcPr>
          <w:p>
            <w:pPr>
              <w:spacing w:after="0"/>
            </w:pPr>
            <w:r/>
            <w:r>
              <w:rPr>
                <w:b w:val="0"/>
              </w:rPr>
              <w:t>Payer (Boost)</w:t>
            </w:r>
          </w:p>
        </w:tc>
        <w:tc>
          <w:tcPr>
            <w:tcW w:type="dxa" w:w="5112"/>
            <w:vAlign w:val="center"/>
          </w:tcPr>
          <w:p>
            <w:pPr>
              <w:spacing w:after="0"/>
            </w:pPr>
            <w:r/>
            <w:r>
              <w:rPr>
                <w:b w:val="0"/>
              </w:rPr>
              <w:t>Pays its own value to a random number of eligible coins in the spin in which the Payer lands.</w:t>
            </w:r>
          </w:p>
        </w:tc>
      </w:tr>
      <w:tr>
        <w:tc>
          <w:tcPr>
            <w:tcW w:type="dxa" w:w="5112"/>
            <w:vAlign w:val="center"/>
          </w:tcPr>
          <w:p>
            <w:pPr>
              <w:spacing w:after="0"/>
            </w:pPr>
            <w:r/>
            <w:r>
              <w:rPr>
                <w:b w:val="0"/>
              </w:rPr>
              <w:t>Multiplier</w:t>
            </w:r>
          </w:p>
        </w:tc>
        <w:tc>
          <w:tcPr>
            <w:tcW w:type="dxa" w:w="5112"/>
            <w:vAlign w:val="center"/>
          </w:tcPr>
          <w:p>
            <w:pPr>
              <w:spacing w:after="0"/>
            </w:pPr>
            <w:r/>
            <w:r>
              <w:rPr>
                <w:b w:val="0"/>
              </w:rPr>
              <w:t>Replaces the previous Unlocker mechanic. Exact multiplier target, scope and application rule are TBD and must be finalised before math implementation.</w:t>
            </w:r>
          </w:p>
        </w:tc>
      </w:tr>
    </w:tbl>
    <w:p/>
    <w:p>
      <w:r>
        <w:t>The screenshots also describe Super states as persistent-on-every-spin behaviour for the older Payer/Collector/Unlocker design. Because persistent symbols are being kept aside for now, those Super-state persistent rules are not part of this version.</w:t>
      </w:r>
    </w:p>
    <w:p>
      <w:pPr>
        <w:pStyle w:val="Heading1"/>
      </w:pPr>
      <w:r>
        <w:t>13. Multiplier Mechanic – Replacement for Unlocker</w:t>
      </w:r>
    </w:p>
    <w:p>
      <w:r>
        <w:t>All references to Unlocker and grid unlocking are removed. The third Bonus Symbol family is now Multiplier.</w:t>
      </w:r>
    </w:p>
    <w:p>
      <w:r>
        <w:t>The exact Multiplier behaviour is intentionally left open rather than assumed. The final design must define:</w:t>
      </w:r>
    </w:p>
    <w:p>
      <w:pPr>
        <w:pStyle w:val="ListBullet"/>
      </w:pPr>
      <w:r>
        <w:t>The multiplier value or multiplier-value distribution.</w:t>
      </w:r>
    </w:p>
    <w:p>
      <w:pPr>
        <w:pStyle w:val="ListBullet"/>
      </w:pPr>
      <w:r>
        <w:t>Whether the multiplier applies to one coin, multiple random coins, all coins in that spin, or another defined target set.</w:t>
      </w:r>
    </w:p>
    <w:p>
      <w:pPr>
        <w:pStyle w:val="ListBullet"/>
      </w:pPr>
      <w:r>
        <w:t>Whether it affects ordinary Coins only, Bonus Symbol values, Jackpot Coins, or any subset of those.</w:t>
      </w:r>
    </w:p>
    <w:p>
      <w:pPr>
        <w:pStyle w:val="ListBullet"/>
      </w:pPr>
      <w:r>
        <w:t>Whether multiple Multiplier symbols stack additively or multiplicatively.</w:t>
      </w:r>
    </w:p>
    <w:p>
      <w:pPr>
        <w:pStyle w:val="ListBullet"/>
      </w:pPr>
      <w:r>
        <w:t>Whether the Multiplier modifies values immediately or only during final collection.</w:t>
      </w:r>
    </w:p>
    <w:p>
      <w:pPr>
        <w:pStyle w:val="Heading1"/>
      </w:pPr>
      <w:r>
        <w:t>14. Jackpot System</w:t>
      </w:r>
    </w:p>
    <w:p>
      <w:r>
        <w:t>Jackpots are fixed multipliers of Total Bet and can only be awarded through Jackpot Coins during the Hold &amp; Win Bonus.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pPr>
              <w:spacing w:after="0"/>
            </w:pPr>
            <w:r/>
            <w:r>
              <w:rPr>
                <w:b/>
              </w:rPr>
              <w:t>Tier</w:t>
            </w:r>
          </w:p>
        </w:tc>
        <w:tc>
          <w:tcPr>
            <w:tcW w:type="dxa" w:w="3408"/>
            <w:vAlign w:val="center"/>
            <w:shd w:fill="D9E2F3"/>
          </w:tcPr>
          <w:p>
            <w:pPr>
              <w:spacing w:after="0"/>
            </w:pPr>
            <w:r/>
            <w:r>
              <w:rPr>
                <w:b/>
              </w:rPr>
              <w:t>Value</w:t>
            </w:r>
          </w:p>
        </w:tc>
        <w:tc>
          <w:tcPr>
            <w:tcW w:type="dxa" w:w="3408"/>
            <w:vAlign w:val="center"/>
            <w:shd w:fill="D9E2F3"/>
          </w:tcPr>
          <w:p>
            <w:pPr>
              <w:spacing w:after="0"/>
            </w:pPr>
            <w:r/>
            <w:r>
              <w:rPr>
                <w:b/>
              </w:rPr>
              <w:t>Source</w:t>
            </w:r>
          </w:p>
        </w:tc>
      </w:tr>
      <w:tr>
        <w:tc>
          <w:tcPr>
            <w:tcW w:type="dxa" w:w="3408"/>
            <w:vAlign w:val="center"/>
          </w:tcPr>
          <w:p>
            <w:pPr>
              <w:spacing w:after="0"/>
            </w:pPr>
            <w:r/>
            <w:r>
              <w:rPr>
                <w:b w:val="0"/>
              </w:rPr>
              <w:t>MINI</w:t>
            </w:r>
          </w:p>
        </w:tc>
        <w:tc>
          <w:tcPr>
            <w:tcW w:type="dxa" w:w="3408"/>
            <w:vAlign w:val="center"/>
          </w:tcPr>
          <w:p>
            <w:pPr>
              <w:spacing w:after="0"/>
            </w:pPr>
            <w:r/>
            <w:r>
              <w:rPr>
                <w:b w:val="0"/>
              </w:rPr>
              <w:t>5× Total Bet</w:t>
            </w:r>
          </w:p>
        </w:tc>
        <w:tc>
          <w:tcPr>
            <w:tcW w:type="dxa" w:w="3408"/>
            <w:vAlign w:val="center"/>
          </w:tcPr>
          <w:p>
            <w:pPr>
              <w:spacing w:after="0"/>
            </w:pPr>
            <w:r/>
            <w:r>
              <w:rPr>
                <w:b w:val="0"/>
              </w:rPr>
              <w:t>Jackpot Coin</w:t>
            </w:r>
          </w:p>
        </w:tc>
      </w:tr>
      <w:tr>
        <w:tc>
          <w:tcPr>
            <w:tcW w:type="dxa" w:w="3408"/>
            <w:vAlign w:val="center"/>
          </w:tcPr>
          <w:p>
            <w:pPr>
              <w:spacing w:after="0"/>
            </w:pPr>
            <w:r/>
            <w:r>
              <w:rPr>
                <w:b w:val="0"/>
              </w:rPr>
              <w:t>MINOR</w:t>
            </w:r>
          </w:p>
        </w:tc>
        <w:tc>
          <w:tcPr>
            <w:tcW w:type="dxa" w:w="3408"/>
            <w:vAlign w:val="center"/>
          </w:tcPr>
          <w:p>
            <w:pPr>
              <w:spacing w:after="0"/>
            </w:pPr>
            <w:r/>
            <w:r>
              <w:rPr>
                <w:b w:val="0"/>
              </w:rPr>
              <w:t>10× Total Bet</w:t>
            </w:r>
          </w:p>
        </w:tc>
        <w:tc>
          <w:tcPr>
            <w:tcW w:type="dxa" w:w="3408"/>
            <w:vAlign w:val="center"/>
          </w:tcPr>
          <w:p>
            <w:pPr>
              <w:spacing w:after="0"/>
            </w:pPr>
            <w:r/>
            <w:r>
              <w:rPr>
                <w:b w:val="0"/>
              </w:rPr>
              <w:t>Jackpot Coin</w:t>
            </w:r>
          </w:p>
        </w:tc>
      </w:tr>
      <w:tr>
        <w:tc>
          <w:tcPr>
            <w:tcW w:type="dxa" w:w="3408"/>
            <w:vAlign w:val="center"/>
          </w:tcPr>
          <w:p>
            <w:pPr>
              <w:spacing w:after="0"/>
            </w:pPr>
            <w:r/>
            <w:r>
              <w:rPr>
                <w:b w:val="0"/>
              </w:rPr>
              <w:t>MIDI</w:t>
            </w:r>
          </w:p>
        </w:tc>
        <w:tc>
          <w:tcPr>
            <w:tcW w:type="dxa" w:w="3408"/>
            <w:vAlign w:val="center"/>
          </w:tcPr>
          <w:p>
            <w:pPr>
              <w:spacing w:after="0"/>
            </w:pPr>
            <w:r/>
            <w:r>
              <w:rPr>
                <w:b w:val="0"/>
              </w:rPr>
              <w:t>20× Total Bet</w:t>
            </w:r>
          </w:p>
        </w:tc>
        <w:tc>
          <w:tcPr>
            <w:tcW w:type="dxa" w:w="3408"/>
            <w:vAlign w:val="center"/>
          </w:tcPr>
          <w:p>
            <w:pPr>
              <w:spacing w:after="0"/>
            </w:pPr>
            <w:r/>
            <w:r>
              <w:rPr>
                <w:b w:val="0"/>
              </w:rPr>
              <w:t>Jackpot Coin</w:t>
            </w:r>
          </w:p>
        </w:tc>
      </w:tr>
      <w:tr>
        <w:tc>
          <w:tcPr>
            <w:tcW w:type="dxa" w:w="3408"/>
            <w:vAlign w:val="center"/>
          </w:tcPr>
          <w:p>
            <w:pPr>
              <w:spacing w:after="0"/>
            </w:pPr>
            <w:r/>
            <w:r>
              <w:rPr>
                <w:b w:val="0"/>
              </w:rPr>
              <w:t>MAJOR</w:t>
            </w:r>
          </w:p>
        </w:tc>
        <w:tc>
          <w:tcPr>
            <w:tcW w:type="dxa" w:w="3408"/>
            <w:vAlign w:val="center"/>
          </w:tcPr>
          <w:p>
            <w:pPr>
              <w:spacing w:after="0"/>
            </w:pPr>
            <w:r/>
            <w:r>
              <w:rPr>
                <w:b w:val="0"/>
              </w:rPr>
              <w:t>50× Total Bet</w:t>
            </w:r>
          </w:p>
        </w:tc>
        <w:tc>
          <w:tcPr>
            <w:tcW w:type="dxa" w:w="3408"/>
            <w:vAlign w:val="center"/>
          </w:tcPr>
          <w:p>
            <w:pPr>
              <w:spacing w:after="0"/>
            </w:pPr>
            <w:r/>
            <w:r>
              <w:rPr>
                <w:b w:val="0"/>
              </w:rPr>
              <w:t>Jackpot Coin</w:t>
            </w:r>
          </w:p>
        </w:tc>
      </w:tr>
      <w:tr>
        <w:tc>
          <w:tcPr>
            <w:tcW w:type="dxa" w:w="3408"/>
            <w:vAlign w:val="center"/>
          </w:tcPr>
          <w:p>
            <w:pPr>
              <w:spacing w:after="0"/>
            </w:pPr>
            <w:r/>
            <w:r>
              <w:rPr>
                <w:b w:val="0"/>
              </w:rPr>
              <w:t>GRAND</w:t>
            </w:r>
          </w:p>
        </w:tc>
        <w:tc>
          <w:tcPr>
            <w:tcW w:type="dxa" w:w="3408"/>
            <w:vAlign w:val="center"/>
          </w:tcPr>
          <w:p>
            <w:pPr>
              <w:spacing w:after="0"/>
            </w:pPr>
            <w:r/>
            <w:r>
              <w:rPr>
                <w:b w:val="0"/>
              </w:rPr>
              <w:t>1,000× Total Bet</w:t>
            </w:r>
          </w:p>
        </w:tc>
        <w:tc>
          <w:tcPr>
            <w:tcW w:type="dxa" w:w="3408"/>
            <w:vAlign w:val="center"/>
          </w:tcPr>
          <w:p>
            <w:pPr>
              <w:spacing w:after="0"/>
            </w:pPr>
            <w:r/>
            <w:r>
              <w:rPr>
                <w:b w:val="0"/>
              </w:rPr>
              <w:t>Jackpot Coin</w:t>
            </w:r>
          </w:p>
        </w:tc>
      </w:tr>
    </w:tbl>
    <w:p/>
    <w:p>
      <w:pPr>
        <w:pStyle w:val="Heading1"/>
      </w:pPr>
      <w:r>
        <w:t>15. Jackpot Counter Mechanic</w:t>
      </w:r>
    </w:p>
    <w:p>
      <w:r>
        <w:t>Each jackpot tier has its own independent counter with a target of 3 qualifying lands during the Hold &amp; Win.</w:t>
      </w:r>
    </w:p>
    <w:p>
      <w:pPr>
        <w:pStyle w:val="ListBullet"/>
      </w:pPr>
      <w:r>
        <w:t>When a Jackpot Coin of a given tier lands, that tier’s counter increases by 1.</w:t>
      </w:r>
    </w:p>
    <w:p>
      <w:pPr>
        <w:pStyle w:val="ListBullet"/>
      </w:pPr>
      <w:r>
        <w:t>The Jackpot Coin itself does not remain held on the Hold &amp; Win grid for the next spin.</w:t>
      </w:r>
    </w:p>
    <w:p>
      <w:pPr>
        <w:pStyle w:val="ListBullet"/>
      </w:pPr>
      <w:r>
        <w:t>The counter retains its progress for the remainder of the current Hold &amp; Win feature.</w:t>
      </w:r>
    </w:p>
    <w:p>
      <w:pPr>
        <w:pStyle w:val="ListBullet"/>
      </w:pPr>
      <w:r>
        <w:t>When the same jackpot tier has landed a total of 3 times during the feature, that jackpot is awarded.</w:t>
      </w:r>
    </w:p>
    <w:p>
      <w:pPr>
        <w:pStyle w:val="ListBullet"/>
      </w:pPr>
      <w:r>
        <w:t>Each jackpot tier tracks progress independently.</w:t>
      </w:r>
    </w:p>
    <w:p>
      <w:pPr>
        <w:pStyle w:val="ListBullet"/>
      </w:pPr>
      <w:r>
        <w:t>Unless otherwise specified, a jackpot counter starts from 0 at the beginning of each new Hold &amp; Win feature.</w:t>
      </w:r>
    </w:p>
    <w:p>
      <w:r>
        <w:t>Example – MINI:</w:t>
      </w:r>
    </w:p>
    <w:p>
      <w:pPr>
        <w:pStyle w:val="ListNumber"/>
      </w:pPr>
      <w:r>
        <w:t>MINI lands during Spin 2 → MINI counter becomes 1/3.</w:t>
      </w:r>
    </w:p>
    <w:p>
      <w:pPr>
        <w:pStyle w:val="ListNumber"/>
      </w:pPr>
      <w:r>
        <w:t>The MINI Jackpot Coin disappears and does not occupy a held position on the next spin.</w:t>
      </w:r>
    </w:p>
    <w:p>
      <w:pPr>
        <w:pStyle w:val="ListNumber"/>
      </w:pPr>
      <w:r>
        <w:t>MINI must land two additional times later in the same Hold &amp; Win.</w:t>
      </w:r>
    </w:p>
    <w:p>
      <w:pPr>
        <w:pStyle w:val="ListNumber"/>
      </w:pPr>
      <w:r>
        <w:t>On the third total MINI landing, the 5× MINI jackpot is awarded.</w:t>
      </w:r>
    </w:p>
    <w:p>
      <w:r>
        <w:t>The same 3-hit counter rule applies independently to MINOR, MIDI, MAJOR and GRAND.</w:t>
      </w:r>
    </w:p>
    <w:p>
      <w:r>
        <w:rPr>
          <w:i/>
        </w:rPr>
        <w:t>TBD: whether additional lands after a jackpot has already been awarded in the same Hold &amp; Win can start a fresh 0/3 cycle, or whether each jackpot tier can be awarded only once per feature.</w:t>
      </w:r>
    </w:p>
    <w:p>
      <w:pPr>
        <w:pStyle w:val="Heading1"/>
      </w:pPr>
      <w:r>
        <w:t>16. Max Win</w:t>
      </w:r>
    </w:p>
    <w:p>
      <w:r>
        <w:t>The game has a hard maximum win of 5,000× Total Bet for the complete paid game round.</w:t>
      </w:r>
    </w:p>
    <w:p>
      <w:r>
        <w:t>If accumulated awards would exceed 5,000×, the credited win is capped at 5,000×. Final presentation/termination behaviour after reaching the cap remains a product implementation decision.</w:t>
      </w:r>
    </w:p>
    <w:p>
      <w:pPr>
        <w:pStyle w:val="Heading1"/>
      </w:pPr>
      <w:r>
        <w:t>17. RTP and Math Configuration</w:t>
      </w:r>
    </w:p>
    <w:p>
      <w:r>
        <w:t>Required RTP variants:</w:t>
      </w:r>
    </w:p>
    <w:p>
      <w:pPr>
        <w:pStyle w:val="ListBullet"/>
      </w:pPr>
      <w:r>
        <w:t>90%</w:t>
      </w:r>
    </w:p>
    <w:p>
      <w:pPr>
        <w:pStyle w:val="ListBullet"/>
      </w:pPr>
      <w:r>
        <w:t>92%</w:t>
      </w:r>
    </w:p>
    <w:p>
      <w:pPr>
        <w:pStyle w:val="ListBullet"/>
      </w:pPr>
      <w:r>
        <w:t>94%</w:t>
      </w:r>
    </w:p>
    <w:p>
      <w:pPr>
        <w:pStyle w:val="ListBullet"/>
      </w:pPr>
      <w:r>
        <w:t>96%</w:t>
      </w:r>
    </w:p>
    <w:p>
      <w:r>
        <w:t>The rule set should remain consistent across RTP variants. Mathematical tuning may use approved configurable parameters such as reel strips, symbol weights, feature trigger weights, coin distributions, Bonus Symbol distributions and jackpot-hit distributions.</w:t>
      </w:r>
    </w:p>
    <w:p>
      <w:pPr>
        <w:pStyle w:val="Heading1"/>
      </w:pPr>
      <w:r>
        <w:t>18. Key Math Outputs Required</w:t>
      </w:r>
    </w:p>
    <w:p>
      <w:pPr>
        <w:pStyle w:val="ListBullet"/>
      </w:pPr>
      <w:r>
        <w:t>Overall RTP and RTP by game mode.</w:t>
      </w:r>
    </w:p>
    <w:p>
      <w:pPr>
        <w:pStyle w:val="ListBullet"/>
      </w:pPr>
      <w:r>
        <w:t>Base line-win RTP.</w:t>
      </w:r>
    </w:p>
    <w:p>
      <w:pPr>
        <w:pStyle w:val="ListBullet"/>
      </w:pPr>
      <w:r>
        <w:t>Symbol Stamping RTP.</w:t>
      </w:r>
    </w:p>
    <w:p>
      <w:pPr>
        <w:pStyle w:val="ListBullet"/>
      </w:pPr>
      <w:r>
        <w:t>Hold &amp; Win trigger frequency.</w:t>
      </w:r>
    </w:p>
    <w:p>
      <w:pPr>
        <w:pStyle w:val="ListBullet"/>
      </w:pPr>
      <w:r>
        <w:t>Single-, double- and triple-Bonus-Symbol trigger frequencies.</w:t>
      </w:r>
    </w:p>
    <w:p>
      <w:pPr>
        <w:pStyle w:val="ListBullet"/>
      </w:pPr>
      <w:r>
        <w:t>Average Hold &amp; Win award.</w:t>
      </w:r>
    </w:p>
    <w:p>
      <w:pPr>
        <w:pStyle w:val="ListBullet"/>
      </w:pPr>
      <w:r>
        <w:t>Average Hold &amp; Win duration.</w:t>
      </w:r>
    </w:p>
    <w:p>
      <w:pPr>
        <w:pStyle w:val="ListBullet"/>
      </w:pPr>
      <w:r>
        <w:t>Coin value distribution and contribution.</w:t>
      </w:r>
    </w:p>
    <w:p>
      <w:pPr>
        <w:pStyle w:val="ListBullet"/>
      </w:pPr>
      <w:r>
        <w:t>Collector contribution.</w:t>
      </w:r>
    </w:p>
    <w:p>
      <w:pPr>
        <w:pStyle w:val="ListBullet"/>
      </w:pPr>
      <w:r>
        <w:t>Payer contribution.</w:t>
      </w:r>
    </w:p>
    <w:p>
      <w:pPr>
        <w:pStyle w:val="ListBullet"/>
      </w:pPr>
      <w:r>
        <w:t>Multiplier contribution once finalised.</w:t>
      </w:r>
    </w:p>
    <w:p>
      <w:pPr>
        <w:pStyle w:val="ListBullet"/>
      </w:pPr>
      <w:r>
        <w:t>Per-jackpot counter progress distribution.</w:t>
      </w:r>
    </w:p>
    <w:p>
      <w:pPr>
        <w:pStyle w:val="ListBullet"/>
      </w:pPr>
      <w:r>
        <w:t>Per-jackpot award frequency.</w:t>
      </w:r>
    </w:p>
    <w:p>
      <w:pPr>
        <w:pStyle w:val="ListBullet"/>
      </w:pPr>
      <w:r>
        <w:t>Jackpot RTP by tier.</w:t>
      </w:r>
    </w:p>
    <w:p>
      <w:pPr>
        <w:pStyle w:val="ListBullet"/>
      </w:pPr>
      <w:r>
        <w:t>Max-win frequency.</w:t>
      </w:r>
    </w:p>
    <w:p>
      <w:pPr>
        <w:pStyle w:val="ListBullet"/>
      </w:pPr>
      <w:r>
        <w:t>Overall hit frequency.</w:t>
      </w:r>
    </w:p>
    <w:p>
      <w:pPr>
        <w:pStyle w:val="ListBullet"/>
      </w:pPr>
      <w:r>
        <w:t>Volatility / standard deviation.</w:t>
      </w:r>
    </w:p>
    <w:p>
      <w:pPr>
        <w:pStyle w:val="Heading1"/>
      </w:pPr>
      <w:r>
        <w:t>19. Interaction and Edge Cases Requiring Final Definition</w:t>
      </w:r>
    </w:p>
    <w:p>
      <w:pPr>
        <w:pStyle w:val="ListBullet"/>
      </w:pPr>
      <w:r>
        <w:t>Multiple Special Symbols in the same Base Game spin.</w:t>
      </w:r>
    </w:p>
    <w:p>
      <w:pPr>
        <w:pStyle w:val="ListBullet"/>
      </w:pPr>
      <w:r>
        <w:t>Stamping over Wilds or Bonus Symbols.</w:t>
      </w:r>
    </w:p>
    <w:p>
      <w:pPr>
        <w:pStyle w:val="ListBullet"/>
      </w:pPr>
      <w:r>
        <w:t>Whether Stamping can create or alter a Hold &amp; Win trigger.</w:t>
      </w:r>
    </w:p>
    <w:p>
      <w:pPr>
        <w:pStyle w:val="ListBullet"/>
      </w:pPr>
      <w:r>
        <w:t>Multiple Bonus Symbol types landing on the same Base Game spin.</w:t>
      </w:r>
    </w:p>
    <w:p>
      <w:pPr>
        <w:pStyle w:val="ListBullet"/>
      </w:pPr>
      <w:r>
        <w:t>Payer and Collector acting in the same Hold &amp; Win spin.</w:t>
      </w:r>
    </w:p>
    <w:p>
      <w:pPr>
        <w:pStyle w:val="ListBullet"/>
      </w:pPr>
      <w:r>
        <w:t>Multiplier interaction with Payer-modified coins.</w:t>
      </w:r>
    </w:p>
    <w:p>
      <w:pPr>
        <w:pStyle w:val="ListBullet"/>
      </w:pPr>
      <w:r>
        <w:t>Multiplier interaction with Collector.</w:t>
      </w:r>
    </w:p>
    <w:p>
      <w:pPr>
        <w:pStyle w:val="ListBullet"/>
      </w:pPr>
      <w:r>
        <w:t>Whether Jackpot Coins are eligible targets for Payer, Collector or Multiplier.</w:t>
      </w:r>
    </w:p>
    <w:p>
      <w:pPr>
        <w:pStyle w:val="ListBullet"/>
      </w:pPr>
      <w:r>
        <w:t>Multiple Jackpot Coins of the same tier landing on one spin and whether each increments the counter separately.</w:t>
      </w:r>
    </w:p>
    <w:p>
      <w:pPr>
        <w:pStyle w:val="ListBullet"/>
      </w:pPr>
      <w:r>
        <w:t>Multiple different jackpot tiers landing on one spin.</w:t>
      </w:r>
    </w:p>
    <w:p>
      <w:pPr>
        <w:pStyle w:val="ListBullet"/>
      </w:pPr>
      <w:r>
        <w:t>Jackpot counter behaviour after a tier is awarded.</w:t>
      </w:r>
    </w:p>
    <w:p>
      <w:pPr>
        <w:pStyle w:val="ListBullet"/>
      </w:pPr>
      <w:r>
        <w:t>Whether jackpot counters reset only at feature end or under any other condition.</w:t>
      </w:r>
    </w:p>
    <w:p>
      <w:pPr>
        <w:pStyle w:val="ListBullet"/>
      </w:pPr>
      <w:r>
        <w:t>Whether a Jackpot Coin counts as a 'new symbol' for the 3-spin reset despite not remaining on the grid.</w:t>
      </w:r>
    </w:p>
    <w:p>
      <w:pPr>
        <w:pStyle w:val="ListBullet"/>
      </w:pPr>
      <w:r>
        <w:t>Behaviour when the 5,000× cap is reached before Hold &amp; Win completion.</w:t>
      </w:r>
    </w:p>
    <w:p>
      <w:pPr>
        <w:pStyle w:val="Heading1"/>
      </w:pPr>
      <w:r>
        <w:t>20. Current Confirmed Design Summary</w:t>
      </w:r>
    </w:p>
    <w:p>
      <w:r>
        <w:t>Pharaoh’s Power Pots is a 5×3, 10-payline slot with a 5×3 Hold &amp; Win. The Base Game includes a Symbol Stamping mechanic. Hold &amp; Win uses a 3-spin reset model: every spin with at least one new eligible symbol resets the counter to 3, while empty spins decrement it.</w:t>
      </w:r>
    </w:p>
    <w:p>
      <w:r>
        <w:t>The current Bonus Symbol families are Collector, Payer and Multiplier. Unlocker has been removed, and persistent symbol versions are excluded for the time being. Jackpot Coins do not stay on the grid; instead, each jackpot tier has a 0/3 counter. A jackpot is awarded when its tier has landed three times within the Hold &amp; Win.</w:t>
      </w:r>
    </w:p>
    <w:p>
      <w:r>
        <w:t>Confirmed jackpot values are MINI 5×, MINOR 10×, MIDI 20×, MAJOR 50× and GRAND 1,000× Total Bet. The overall game has a 5,000× Total Bet hard cap and is intended to support 90%, 92%, 94% and 96% RTP variants.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