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B1B16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Default="003B1B16" w:rsidP="003B1B1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Pr="005273A2" w:rsidRDefault="003B1B16" w:rsidP="003B1B1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Default="003B1B16" w:rsidP="003B1B1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Pr="005273A2" w:rsidRDefault="003B1B16" w:rsidP="003B1B16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7881/17</w:t>
            </w:r>
          </w:p>
        </w:tc>
      </w:tr>
      <w:tr w:rsidR="003B1B16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Default="003B1B16" w:rsidP="003B1B1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Pr="0043590B" w:rsidRDefault="003B1B16" w:rsidP="003B1B16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43590B">
              <w:rPr>
                <w:rFonts w:eastAsia="Times New Roman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B16" w:rsidRDefault="003B1B16" w:rsidP="003B1B1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B16" w:rsidRDefault="003B1B16" w:rsidP="003B1B1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B1B16" w:rsidRPr="003B1B16" w:rsidTr="006505AF">
        <w:tc>
          <w:tcPr>
            <w:tcW w:w="1843" w:type="dxa"/>
            <w:vAlign w:val="center"/>
          </w:tcPr>
          <w:p w:rsidR="00EC4747" w:rsidRPr="003B1B16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3B1B16">
              <w:rPr>
                <w:rFonts w:ascii="Arial Narrow" w:eastAsia="Times New Roman" w:hAnsi="Arial Narrow" w:cs="Arial"/>
              </w:rPr>
              <w:t>Conta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B1B16">
              <w:rPr>
                <w:rFonts w:ascii="Arial Narrow" w:eastAsia="Times New Roman" w:hAnsi="Arial Narrow" w:cs="Arial"/>
              </w:rPr>
              <w:t>t wi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B1B1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3B1B16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3B1B16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3B1B16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B1B1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3B1B16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B1B1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B1B1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B1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3B1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3B1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3B1B16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3B1B16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3B1B16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B1B16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3B1B16">
              <w:rPr>
                <w:rFonts w:ascii="Arial Narrow" w:hAnsi="Arial Narrow"/>
                <w:sz w:val="20"/>
                <w:szCs w:val="20"/>
              </w:rPr>
              <w:t>supply</w:t>
            </w:r>
            <w:r w:rsidRPr="003B1B16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3B1B16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3B1B16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B1B16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3B1B16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3B1B16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3B1B16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B1B16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B1B1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B1B16">
              <w:rPr>
                <w:rFonts w:ascii="Arial Narrow" w:eastAsia="Times New Roman" w:hAnsi="Arial Narrow" w:cs="Arial"/>
              </w:rPr>
              <w:t>pp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B1B16">
              <w:rPr>
                <w:rFonts w:ascii="Arial Narrow" w:eastAsia="Times New Roman" w:hAnsi="Arial Narrow" w:cs="Arial"/>
              </w:rPr>
              <w:t>o</w:t>
            </w:r>
            <w:r w:rsidRPr="003B1B1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B1B16">
              <w:rPr>
                <w:rFonts w:ascii="Arial Narrow" w:eastAsia="Times New Roman" w:hAnsi="Arial Narrow" w:cs="Arial"/>
              </w:rPr>
              <w:t>ed pe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B1B16">
              <w:rPr>
                <w:rFonts w:ascii="Arial Narrow" w:eastAsia="Times New Roman" w:hAnsi="Arial Narrow" w:cs="Arial"/>
              </w:rPr>
              <w:t>s</w:t>
            </w:r>
            <w:r w:rsidRPr="003B1B1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B1B16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3B1B16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B1B16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B1B16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3B1B16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3B1B16">
              <w:rPr>
                <w:rFonts w:ascii="Arial Narrow" w:eastAsia="Times New Roman" w:hAnsi="Arial Narrow" w:cs="Arial"/>
              </w:rPr>
              <w:t>Supe</w:t>
            </w:r>
            <w:r w:rsidR="00EC4747" w:rsidRPr="003B1B16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3B1B16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3B1B16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3B1B16">
              <w:rPr>
                <w:rFonts w:ascii="Arial Narrow" w:eastAsia="Times New Roman" w:hAnsi="Arial Narrow" w:cs="Arial"/>
              </w:rPr>
              <w:t>s</w:t>
            </w:r>
            <w:r w:rsidR="00EC4747" w:rsidRPr="003B1B16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3B1B1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3B1B16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3B1B16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B1B16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3B1B16">
              <w:rPr>
                <w:rFonts w:ascii="Arial Narrow" w:eastAsia="Times New Roman" w:hAnsi="Arial Narrow" w:cs="Arial"/>
              </w:rPr>
              <w:t>Contr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B1B16">
              <w:rPr>
                <w:rFonts w:ascii="Arial Narrow" w:eastAsia="Times New Roman" w:hAnsi="Arial Narrow" w:cs="Arial"/>
              </w:rPr>
              <w:t>tor / all ‘</w:t>
            </w:r>
            <w:r w:rsidRPr="003B1B1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3B1B16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3B1B16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B1B16" w:rsidRPr="003B1B16" w:rsidTr="006505AF">
        <w:tc>
          <w:tcPr>
            <w:tcW w:w="1843" w:type="dxa"/>
            <w:vAlign w:val="center"/>
          </w:tcPr>
          <w:p w:rsidR="00CE3A92" w:rsidRPr="003B1B16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3B1B16">
              <w:rPr>
                <w:rFonts w:ascii="Arial Narrow" w:eastAsia="Times New Roman" w:hAnsi="Arial Narrow" w:cs="Arial"/>
              </w:rPr>
              <w:t>Cut roof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B1B16">
              <w:rPr>
                <w:rFonts w:ascii="Arial Narrow" w:eastAsia="Times New Roman" w:hAnsi="Arial Narrow" w:cs="Arial"/>
              </w:rPr>
              <w:t>t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B1B16">
              <w:rPr>
                <w:rFonts w:ascii="Arial Narrow" w:eastAsia="Times New Roman" w:hAnsi="Arial Narrow" w:cs="Arial"/>
              </w:rPr>
              <w:t xml:space="preserve">les to fit 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B1B16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3B1B16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3B1B16">
              <w:rPr>
                <w:rFonts w:ascii="Arial Narrow" w:eastAsia="Times New Roman" w:hAnsi="Arial Narrow" w:cs="Arial"/>
              </w:rPr>
              <w:t xml:space="preserve">ridges / </w:t>
            </w:r>
            <w:r w:rsidRPr="003B1B16">
              <w:rPr>
                <w:rFonts w:ascii="Arial Narrow" w:eastAsia="Times New Roman" w:hAnsi="Arial Narrow" w:cs="Arial"/>
              </w:rPr>
              <w:t>h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B1B16">
              <w:rPr>
                <w:rFonts w:ascii="Arial Narrow" w:eastAsia="Times New Roman" w:hAnsi="Arial Narrow" w:cs="Arial"/>
              </w:rPr>
              <w:t>p</w:t>
            </w:r>
            <w:r w:rsidR="00D47EB6" w:rsidRPr="003B1B16">
              <w:rPr>
                <w:rFonts w:ascii="Arial Narrow" w:eastAsia="Times New Roman" w:hAnsi="Arial Narrow" w:cs="Arial"/>
              </w:rPr>
              <w:t>s</w:t>
            </w:r>
            <w:r w:rsidRPr="003B1B16">
              <w:rPr>
                <w:rFonts w:ascii="Arial Narrow" w:eastAsia="Times New Roman" w:hAnsi="Arial Narrow" w:cs="Arial"/>
              </w:rPr>
              <w:t xml:space="preserve"> / vall</w:t>
            </w:r>
            <w:r w:rsidRPr="003B1B16">
              <w:rPr>
                <w:rFonts w:ascii="Arial Narrow" w:eastAsia="Times New Roman" w:hAnsi="Arial Narrow" w:cs="Arial"/>
                <w:spacing w:val="2"/>
              </w:rPr>
              <w:t>e</w:t>
            </w:r>
            <w:r w:rsidRPr="003B1B16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3B1B16">
              <w:rPr>
                <w:rFonts w:ascii="Arial Narrow" w:eastAsia="Times New Roman" w:hAnsi="Arial Narrow" w:cs="Arial"/>
              </w:rPr>
              <w:t>s</w:t>
            </w:r>
            <w:r w:rsidR="00325631" w:rsidRPr="003B1B16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3B1B16">
              <w:rPr>
                <w:rFonts w:ascii="Arial Narrow" w:eastAsia="Times New Roman" w:hAnsi="Arial Narrow" w:cs="Arial"/>
              </w:rPr>
              <w:t>-</w:t>
            </w:r>
          </w:p>
          <w:p w:rsidR="00325631" w:rsidRPr="003B1B16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3B1B16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B1B16">
              <w:rPr>
                <w:rFonts w:ascii="Arial Narrow" w:eastAsia="Times New Roman" w:hAnsi="Arial Narrow" w:cs="Arial"/>
              </w:rPr>
              <w:t>-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B1B16">
              <w:rPr>
                <w:rFonts w:ascii="Arial Narrow" w:eastAsia="Times New Roman" w:hAnsi="Arial Narrow" w:cs="Arial"/>
              </w:rPr>
              <w:t>dispose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B1B16">
              <w:rPr>
                <w:rFonts w:ascii="Arial Narrow" w:eastAsia="Times New Roman" w:hAnsi="Arial Narrow" w:cs="Arial"/>
              </w:rPr>
              <w:t>of til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3B1B16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3B1B16">
              <w:rPr>
                <w:rFonts w:ascii="Arial Narrow" w:eastAsia="Times New Roman" w:hAnsi="Arial Narrow" w:cs="Arial"/>
              </w:rPr>
              <w:t>-</w:t>
            </w:r>
            <w:r w:rsidR="00920129" w:rsidRPr="003B1B16">
              <w:rPr>
                <w:rFonts w:ascii="Arial Narrow" w:eastAsia="Times New Roman" w:hAnsi="Arial Narrow" w:cs="Arial"/>
              </w:rPr>
              <w:t>cuts</w:t>
            </w:r>
            <w:r w:rsidRPr="003B1B16">
              <w:rPr>
                <w:rFonts w:ascii="Arial Narrow" w:eastAsia="Times New Roman" w:hAnsi="Arial Narrow" w:cs="Arial"/>
              </w:rPr>
              <w:t xml:space="preserve"> f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3B1B16">
              <w:rPr>
                <w:rFonts w:ascii="Arial Narrow" w:eastAsia="Times New Roman" w:hAnsi="Arial Narrow" w:cs="Arial"/>
              </w:rPr>
              <w:t>om roof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B1B16">
              <w:rPr>
                <w:rFonts w:ascii="Arial Narrow" w:eastAsia="Times New Roman" w:hAnsi="Arial Narrow" w:cs="Arial"/>
              </w:rPr>
              <w:t>su</w:t>
            </w:r>
            <w:r w:rsidRPr="003B1B16">
              <w:rPr>
                <w:rFonts w:ascii="Arial Narrow" w:eastAsia="Times New Roman" w:hAnsi="Arial Narrow" w:cs="Arial"/>
                <w:spacing w:val="2"/>
              </w:rPr>
              <w:t>r</w:t>
            </w:r>
            <w:r w:rsidRPr="003B1B16">
              <w:rPr>
                <w:rFonts w:ascii="Arial Narrow" w:eastAsia="Times New Roman" w:hAnsi="Arial Narrow" w:cs="Arial"/>
              </w:rPr>
              <w:t>f</w:t>
            </w:r>
            <w:r w:rsidRPr="003B1B16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3B1B16">
              <w:rPr>
                <w:rFonts w:ascii="Arial Narrow" w:eastAsia="Times New Roman" w:hAnsi="Arial Narrow" w:cs="Arial"/>
                <w:spacing w:val="1"/>
              </w:rPr>
              <w:t>c</w:t>
            </w:r>
            <w:r w:rsidRPr="003B1B16">
              <w:rPr>
                <w:rFonts w:ascii="Arial Narrow" w:eastAsia="Times New Roman" w:hAnsi="Arial Narrow" w:cs="Arial"/>
              </w:rPr>
              <w:t>e</w:t>
            </w:r>
            <w:r w:rsidR="00180780" w:rsidRPr="003B1B16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3B1B16">
              <w:rPr>
                <w:rFonts w:ascii="Arial Narrow" w:eastAsia="Times New Roman" w:hAnsi="Arial Narrow" w:cs="Arial"/>
              </w:rPr>
              <w:t>-</w:t>
            </w:r>
          </w:p>
          <w:p w:rsidR="0056287F" w:rsidRPr="003B1B16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3B1B16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3B1B16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B1B16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3B1B1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3B1B1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3B1B1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B1B16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3B1B16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3B1B16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3B1B16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3B1B16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3B1B16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3B1B16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3B1B16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3B1B16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3B1B16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3B1B1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3B1B1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3B1B1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3B1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3B1B1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3B1B16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3B1B16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3B1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3B1B16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3B1B16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3B1B16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3B1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3B1B16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3B1B16" w:rsidRDefault="00CE3A92" w:rsidP="00CF3988">
            <w:pPr>
              <w:spacing w:after="0"/>
              <w:rPr>
                <w:rFonts w:eastAsia="Times New Roman" w:cs="Arial"/>
              </w:rPr>
            </w:pPr>
            <w:r w:rsidRPr="003B1B16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3B1B16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3B1B1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3B1B1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3B1B16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3B1B16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B1B1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3B1B16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3B1B16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3B1B16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3B1B16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3B1B16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3B1B16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3B1B16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B1B1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B1B1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B1B1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3B1B1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3B1B1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3B1B16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3B1B16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B1B16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3B1B1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B1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B1B16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3B1B16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3B1B1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B1B1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B1B16">
              <w:rPr>
                <w:rFonts w:ascii="Arial Narrow" w:eastAsia="Times New Roman" w:hAnsi="Arial Narrow" w:cs="Arial"/>
              </w:rPr>
              <w:t xml:space="preserve">tor / all </w:t>
            </w:r>
            <w:r w:rsidRPr="003B1B16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3B1B1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3B1B16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3B1B16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3B1B16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3B1B16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4F5" w:rsidRDefault="00B314F5" w:rsidP="0014268F">
      <w:pPr>
        <w:spacing w:after="0" w:line="240" w:lineRule="auto"/>
      </w:pPr>
      <w:r>
        <w:separator/>
      </w:r>
    </w:p>
  </w:endnote>
  <w:endnote w:type="continuationSeparator" w:id="0">
    <w:p w:rsidR="00B314F5" w:rsidRDefault="00B314F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92" w:rsidRPr="008A3ED4" w:rsidRDefault="00CE3A92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3B1B16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3B1B16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="00164D8B">
      <w:rPr>
        <w:rFonts w:cs="Arial"/>
        <w:b/>
        <w:sz w:val="20"/>
        <w:szCs w:val="20"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Pr="008A3ED4" w:rsidRDefault="00121CDE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3B1B16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3B1B16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 w:rsidR="00164D8B">
      <w:rPr>
        <w:rFonts w:cs="Arial"/>
        <w:b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4F5" w:rsidRDefault="00B314F5" w:rsidP="0014268F">
      <w:pPr>
        <w:spacing w:after="0" w:line="240" w:lineRule="auto"/>
      </w:pPr>
      <w:r>
        <w:separator/>
      </w:r>
    </w:p>
  </w:footnote>
  <w:footnote w:type="continuationSeparator" w:id="0">
    <w:p w:rsidR="00B314F5" w:rsidRDefault="00B314F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Default="00B314F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121CDE" w:rsidRPr="00121CDE" w:rsidRDefault="00121CD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1B16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14F5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2017-10-14T02:47:00Z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